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A5874" w14:textId="45DCA5F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2BC1531" wp14:editId="7485CED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07C7F">
        <w:rPr>
          <w:rStyle w:val="StyleTimesNewRoman105pt"/>
        </w:rPr>
        <w:t>47</w:t>
      </w:r>
      <w:r w:rsidRPr="007A0461">
        <w:rPr>
          <w:rStyle w:val="StyleTimesNewRoman105pt"/>
        </w:rPr>
        <w:tab/>
        <w:t xml:space="preserve">p. </w:t>
      </w:r>
      <w:r w:rsidR="00207C7F">
        <w:rPr>
          <w:rStyle w:val="StyleTimesNewRoman105pt"/>
        </w:rPr>
        <w:t>3217</w:t>
      </w:r>
    </w:p>
    <w:p w14:paraId="1D20291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5D6289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3E0B1CE"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E11EA1A" w14:textId="77777777" w:rsidR="00EB5C72" w:rsidRPr="003471CD" w:rsidRDefault="00EB5C72" w:rsidP="00EB5C72">
      <w:pPr>
        <w:pBdr>
          <w:top w:val="single" w:sz="6" w:space="0" w:color="auto"/>
        </w:pBdr>
        <w:spacing w:after="0" w:line="240" w:lineRule="auto"/>
        <w:jc w:val="center"/>
        <w:rPr>
          <w:color w:val="000000"/>
          <w:sz w:val="20"/>
        </w:rPr>
      </w:pPr>
    </w:p>
    <w:p w14:paraId="204EBF1D" w14:textId="1BC3680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95BAB">
        <w:rPr>
          <w:smallCaps/>
          <w:color w:val="000000"/>
          <w:sz w:val="28"/>
          <w:szCs w:val="26"/>
        </w:rPr>
        <w:t>14</w:t>
      </w:r>
      <w:r>
        <w:rPr>
          <w:smallCaps/>
          <w:color w:val="000000"/>
          <w:sz w:val="28"/>
          <w:szCs w:val="26"/>
        </w:rPr>
        <w:t xml:space="preserve"> </w:t>
      </w:r>
      <w:r w:rsidR="00E95BAB">
        <w:rPr>
          <w:smallCaps/>
          <w:color w:val="000000"/>
          <w:sz w:val="28"/>
          <w:szCs w:val="26"/>
        </w:rPr>
        <w:t>August</w:t>
      </w:r>
      <w:r w:rsidRPr="003471CD">
        <w:rPr>
          <w:smallCaps/>
          <w:color w:val="000000"/>
          <w:sz w:val="28"/>
          <w:szCs w:val="26"/>
        </w:rPr>
        <w:t xml:space="preserve"> 202</w:t>
      </w:r>
      <w:r w:rsidR="00E95BAB">
        <w:rPr>
          <w:smallCaps/>
          <w:color w:val="000000"/>
          <w:sz w:val="28"/>
          <w:szCs w:val="26"/>
        </w:rPr>
        <w:t>5</w:t>
      </w:r>
    </w:p>
    <w:p w14:paraId="080682F2" w14:textId="4DE8298B" w:rsidR="00EB5C72" w:rsidRPr="003471CD" w:rsidRDefault="00EB5C72" w:rsidP="00EB5C72">
      <w:pPr>
        <w:spacing w:after="0" w:line="240" w:lineRule="exact"/>
        <w:jc w:val="center"/>
        <w:rPr>
          <w:color w:val="000000"/>
          <w:sz w:val="20"/>
        </w:rPr>
      </w:pPr>
    </w:p>
    <w:p w14:paraId="7CDA355C" w14:textId="220B7F51" w:rsidR="008008DD" w:rsidRPr="00612978" w:rsidRDefault="008008DD" w:rsidP="008008DD">
      <w:pPr>
        <w:pBdr>
          <w:top w:val="single" w:sz="6" w:space="1" w:color="auto"/>
        </w:pBdr>
        <w:spacing w:after="0" w:line="360" w:lineRule="exact"/>
        <w:jc w:val="center"/>
        <w:rPr>
          <w:color w:val="000000"/>
          <w:sz w:val="20"/>
          <w:szCs w:val="20"/>
        </w:rPr>
      </w:pPr>
    </w:p>
    <w:p w14:paraId="5A3DF425" w14:textId="77777777" w:rsidR="001B7138" w:rsidRPr="008008DD" w:rsidRDefault="001B7138" w:rsidP="00A620DA">
      <w:pPr>
        <w:spacing w:after="0"/>
        <w:jc w:val="center"/>
        <w:rPr>
          <w:b/>
          <w:smallCaps/>
          <w:sz w:val="20"/>
          <w:szCs w:val="20"/>
        </w:rPr>
      </w:pPr>
      <w:r w:rsidRPr="008008DD">
        <w:rPr>
          <w:b/>
          <w:smallCaps/>
          <w:sz w:val="20"/>
          <w:szCs w:val="20"/>
        </w:rPr>
        <w:t>Contents</w:t>
      </w:r>
    </w:p>
    <w:p w14:paraId="15CC14AC" w14:textId="77777777" w:rsidR="001B7138" w:rsidRPr="008008DD" w:rsidRDefault="001B7138" w:rsidP="00A620DA">
      <w:pPr>
        <w:spacing w:after="0"/>
        <w:jc w:val="center"/>
        <w:rPr>
          <w:b/>
          <w:smallCaps/>
          <w:sz w:val="20"/>
          <w:szCs w:val="20"/>
        </w:rPr>
      </w:pPr>
    </w:p>
    <w:p w14:paraId="5141CD2B" w14:textId="77777777" w:rsidR="001B7138" w:rsidRDefault="001B7138" w:rsidP="00A620DA">
      <w:pPr>
        <w:spacing w:after="0"/>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63E6338" w14:textId="5F10D2D0" w:rsidR="00A620DA" w:rsidRDefault="00B1073C" w:rsidP="00A620DA">
      <w:pPr>
        <w:pStyle w:val="TOC1"/>
        <w:spacing w:before="0"/>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06061746" w:history="1">
        <w:r w:rsidR="00A620DA" w:rsidRPr="001814F2">
          <w:rPr>
            <w:rStyle w:val="Hyperlink"/>
          </w:rPr>
          <w:t>Governor’s Instruments</w:t>
        </w:r>
      </w:hyperlink>
    </w:p>
    <w:p w14:paraId="7271272B" w14:textId="661DAC5A"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47" w:history="1">
        <w:r w:rsidRPr="001814F2">
          <w:rPr>
            <w:rStyle w:val="Hyperlink"/>
            <w:noProof/>
          </w:rPr>
          <w:t>Appointments, Resignations and General Matters</w:t>
        </w:r>
        <w:r>
          <w:rPr>
            <w:noProof/>
            <w:webHidden/>
          </w:rPr>
          <w:tab/>
        </w:r>
        <w:r>
          <w:rPr>
            <w:noProof/>
            <w:webHidden/>
          </w:rPr>
          <w:fldChar w:fldCharType="begin"/>
        </w:r>
        <w:r>
          <w:rPr>
            <w:noProof/>
            <w:webHidden/>
          </w:rPr>
          <w:instrText xml:space="preserve"> PAGEREF _Toc206061747 \h </w:instrText>
        </w:r>
        <w:r>
          <w:rPr>
            <w:noProof/>
            <w:webHidden/>
          </w:rPr>
        </w:r>
        <w:r>
          <w:rPr>
            <w:noProof/>
            <w:webHidden/>
          </w:rPr>
          <w:fldChar w:fldCharType="separate"/>
        </w:r>
        <w:r w:rsidR="00F50B74">
          <w:rPr>
            <w:noProof/>
            <w:webHidden/>
          </w:rPr>
          <w:t>3218</w:t>
        </w:r>
        <w:r>
          <w:rPr>
            <w:noProof/>
            <w:webHidden/>
          </w:rPr>
          <w:fldChar w:fldCharType="end"/>
        </w:r>
      </w:hyperlink>
    </w:p>
    <w:p w14:paraId="79F895ED" w14:textId="48F79E53" w:rsidR="00A620DA" w:rsidRP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48" w:history="1">
        <w:r w:rsidRPr="001814F2">
          <w:rPr>
            <w:rStyle w:val="Hyperlink"/>
            <w:noProof/>
          </w:rPr>
          <w:t>Proclamations</w:t>
        </w:r>
      </w:hyperlink>
      <w:r w:rsidRPr="00A620DA">
        <w:rPr>
          <w:rStyle w:val="Hyperlink"/>
          <w:noProof/>
          <w:color w:val="auto"/>
          <w:u w:val="none"/>
        </w:rPr>
        <w:t>—</w:t>
      </w:r>
    </w:p>
    <w:p w14:paraId="509CA84C" w14:textId="01B37BFD" w:rsidR="00A620DA" w:rsidRDefault="00A620DA" w:rsidP="00A620DA">
      <w:pPr>
        <w:pStyle w:val="TOC3"/>
        <w:tabs>
          <w:tab w:val="right" w:leader="dot" w:pos="4550"/>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6061749" w:history="1">
        <w:r w:rsidRPr="001814F2">
          <w:rPr>
            <w:rStyle w:val="Hyperlink"/>
            <w:noProof/>
          </w:rPr>
          <w:t>Retirement Villages (Miscellaneous) Amendment Act (Commencement) Proclamation 2025</w:t>
        </w:r>
        <w:r>
          <w:rPr>
            <w:noProof/>
            <w:webHidden/>
          </w:rPr>
          <w:tab/>
        </w:r>
        <w:r>
          <w:rPr>
            <w:noProof/>
            <w:webHidden/>
          </w:rPr>
          <w:fldChar w:fldCharType="begin"/>
        </w:r>
        <w:r>
          <w:rPr>
            <w:noProof/>
            <w:webHidden/>
          </w:rPr>
          <w:instrText xml:space="preserve"> PAGEREF _Toc206061749 \h </w:instrText>
        </w:r>
        <w:r>
          <w:rPr>
            <w:noProof/>
            <w:webHidden/>
          </w:rPr>
        </w:r>
        <w:r>
          <w:rPr>
            <w:noProof/>
            <w:webHidden/>
          </w:rPr>
          <w:fldChar w:fldCharType="separate"/>
        </w:r>
        <w:r w:rsidR="00F50B74">
          <w:rPr>
            <w:noProof/>
            <w:webHidden/>
          </w:rPr>
          <w:t>3219</w:t>
        </w:r>
        <w:r>
          <w:rPr>
            <w:noProof/>
            <w:webHidden/>
          </w:rPr>
          <w:fldChar w:fldCharType="end"/>
        </w:r>
      </w:hyperlink>
    </w:p>
    <w:p w14:paraId="24F1478C" w14:textId="13977E84" w:rsidR="00A620DA" w:rsidRDefault="00A620DA" w:rsidP="00A620DA">
      <w:pPr>
        <w:pStyle w:val="TOC3"/>
        <w:tabs>
          <w:tab w:val="right" w:leader="dot" w:pos="4550"/>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6061750" w:history="1">
        <w:r w:rsidRPr="001814F2">
          <w:rPr>
            <w:rStyle w:val="Hyperlink"/>
            <w:noProof/>
          </w:rPr>
          <w:t xml:space="preserve">Disability Inclusion (Review Recommendations) </w:t>
        </w:r>
        <w:r>
          <w:rPr>
            <w:rStyle w:val="Hyperlink"/>
            <w:noProof/>
          </w:rPr>
          <w:br/>
        </w:r>
        <w:r w:rsidRPr="001814F2">
          <w:rPr>
            <w:rStyle w:val="Hyperlink"/>
            <w:noProof/>
          </w:rPr>
          <w:t xml:space="preserve">Amendment Act (Commencement) </w:t>
        </w:r>
        <w:r>
          <w:rPr>
            <w:rStyle w:val="Hyperlink"/>
            <w:noProof/>
          </w:rPr>
          <w:br/>
        </w:r>
        <w:r w:rsidRPr="001814F2">
          <w:rPr>
            <w:rStyle w:val="Hyperlink"/>
            <w:noProof/>
          </w:rPr>
          <w:t>Proclamation 2025</w:t>
        </w:r>
        <w:r>
          <w:rPr>
            <w:noProof/>
            <w:webHidden/>
          </w:rPr>
          <w:tab/>
        </w:r>
        <w:r>
          <w:rPr>
            <w:noProof/>
            <w:webHidden/>
          </w:rPr>
          <w:fldChar w:fldCharType="begin"/>
        </w:r>
        <w:r>
          <w:rPr>
            <w:noProof/>
            <w:webHidden/>
          </w:rPr>
          <w:instrText xml:space="preserve"> PAGEREF _Toc206061750 \h </w:instrText>
        </w:r>
        <w:r>
          <w:rPr>
            <w:noProof/>
            <w:webHidden/>
          </w:rPr>
        </w:r>
        <w:r>
          <w:rPr>
            <w:noProof/>
            <w:webHidden/>
          </w:rPr>
          <w:fldChar w:fldCharType="separate"/>
        </w:r>
        <w:r w:rsidR="00F50B74">
          <w:rPr>
            <w:noProof/>
            <w:webHidden/>
          </w:rPr>
          <w:t>3219</w:t>
        </w:r>
        <w:r>
          <w:rPr>
            <w:noProof/>
            <w:webHidden/>
          </w:rPr>
          <w:fldChar w:fldCharType="end"/>
        </w:r>
      </w:hyperlink>
    </w:p>
    <w:p w14:paraId="57529AD4" w14:textId="05D3173D"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51" w:history="1">
        <w:r w:rsidRPr="001814F2">
          <w:rPr>
            <w:rStyle w:val="Hyperlink"/>
            <w:noProof/>
          </w:rPr>
          <w:t>Regulations</w:t>
        </w:r>
      </w:hyperlink>
      <w:r w:rsidRPr="00A620DA">
        <w:rPr>
          <w:rStyle w:val="Hyperlink"/>
          <w:noProof/>
          <w:color w:val="auto"/>
          <w:u w:val="none"/>
        </w:rPr>
        <w:t>—</w:t>
      </w:r>
    </w:p>
    <w:p w14:paraId="170A901C" w14:textId="09ED83CF" w:rsidR="00A620DA" w:rsidRDefault="00A620DA" w:rsidP="008F1F08">
      <w:pPr>
        <w:pStyle w:val="TOC3"/>
        <w:tabs>
          <w:tab w:val="right" w:leader="dot" w:pos="4550"/>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6061752" w:history="1">
        <w:r w:rsidRPr="001814F2">
          <w:rPr>
            <w:rStyle w:val="Hyperlink"/>
            <w:noProof/>
          </w:rPr>
          <w:t xml:space="preserve">Public Sector (Honesty and Accountability) </w:t>
        </w:r>
        <w:r>
          <w:rPr>
            <w:rStyle w:val="Hyperlink"/>
            <w:noProof/>
          </w:rPr>
          <w:br/>
        </w:r>
        <w:r w:rsidRPr="001814F2">
          <w:rPr>
            <w:rStyle w:val="Hyperlink"/>
            <w:noProof/>
          </w:rPr>
          <w:t>Regulations 2025</w:t>
        </w:r>
        <w:r>
          <w:rPr>
            <w:rStyle w:val="Hyperlink"/>
            <w:noProof/>
          </w:rPr>
          <w:t>—No. 87 of 2025</w:t>
        </w:r>
        <w:r>
          <w:rPr>
            <w:noProof/>
            <w:webHidden/>
          </w:rPr>
          <w:tab/>
        </w:r>
        <w:r>
          <w:rPr>
            <w:noProof/>
            <w:webHidden/>
          </w:rPr>
          <w:fldChar w:fldCharType="begin"/>
        </w:r>
        <w:r>
          <w:rPr>
            <w:noProof/>
            <w:webHidden/>
          </w:rPr>
          <w:instrText xml:space="preserve"> PAGEREF _Toc206061752 \h </w:instrText>
        </w:r>
        <w:r>
          <w:rPr>
            <w:noProof/>
            <w:webHidden/>
          </w:rPr>
        </w:r>
        <w:r>
          <w:rPr>
            <w:noProof/>
            <w:webHidden/>
          </w:rPr>
          <w:fldChar w:fldCharType="separate"/>
        </w:r>
        <w:r w:rsidR="00F50B74">
          <w:rPr>
            <w:noProof/>
            <w:webHidden/>
          </w:rPr>
          <w:t>3220</w:t>
        </w:r>
        <w:r>
          <w:rPr>
            <w:noProof/>
            <w:webHidden/>
          </w:rPr>
          <w:fldChar w:fldCharType="end"/>
        </w:r>
      </w:hyperlink>
    </w:p>
    <w:p w14:paraId="0B473487" w14:textId="3D0A2671" w:rsidR="00A620DA" w:rsidRDefault="00A620DA" w:rsidP="00A620DA">
      <w:pPr>
        <w:pStyle w:val="TOC3"/>
        <w:tabs>
          <w:tab w:val="right" w:leader="dot" w:pos="4550"/>
        </w:tabs>
        <w:spacing w:before="0" w:after="0" w:line="170" w:lineRule="exact"/>
        <w:ind w:left="160"/>
        <w:rPr>
          <w:rFonts w:asciiTheme="minorHAnsi" w:eastAsiaTheme="minorEastAsia" w:hAnsiTheme="minorHAnsi" w:cstheme="minorBidi"/>
          <w:noProof/>
          <w:color w:val="auto"/>
          <w:kern w:val="2"/>
          <w:sz w:val="24"/>
          <w:szCs w:val="24"/>
          <w14:ligatures w14:val="standardContextual"/>
        </w:rPr>
      </w:pPr>
      <w:hyperlink w:anchor="_Toc206061753" w:history="1">
        <w:r w:rsidRPr="001814F2">
          <w:rPr>
            <w:rStyle w:val="Hyperlink"/>
            <w:noProof/>
          </w:rPr>
          <w:t>Motor Vehicles Regulations 2025</w:t>
        </w:r>
        <w:r>
          <w:rPr>
            <w:rStyle w:val="Hyperlink"/>
            <w:noProof/>
          </w:rPr>
          <w:t>—No. 88 of 2025</w:t>
        </w:r>
        <w:r>
          <w:rPr>
            <w:noProof/>
            <w:webHidden/>
          </w:rPr>
          <w:tab/>
        </w:r>
        <w:r>
          <w:rPr>
            <w:noProof/>
            <w:webHidden/>
          </w:rPr>
          <w:fldChar w:fldCharType="begin"/>
        </w:r>
        <w:r>
          <w:rPr>
            <w:noProof/>
            <w:webHidden/>
          </w:rPr>
          <w:instrText xml:space="preserve"> PAGEREF _Toc206061753 \h </w:instrText>
        </w:r>
        <w:r>
          <w:rPr>
            <w:noProof/>
            <w:webHidden/>
          </w:rPr>
        </w:r>
        <w:r>
          <w:rPr>
            <w:noProof/>
            <w:webHidden/>
          </w:rPr>
          <w:fldChar w:fldCharType="separate"/>
        </w:r>
        <w:r w:rsidR="00F50B74">
          <w:rPr>
            <w:noProof/>
            <w:webHidden/>
          </w:rPr>
          <w:t>3223</w:t>
        </w:r>
        <w:r>
          <w:rPr>
            <w:noProof/>
            <w:webHidden/>
          </w:rPr>
          <w:fldChar w:fldCharType="end"/>
        </w:r>
      </w:hyperlink>
    </w:p>
    <w:p w14:paraId="45B6D4EB" w14:textId="1AA33F6B" w:rsidR="00A620DA" w:rsidRDefault="00A620DA" w:rsidP="00A620DA">
      <w:pPr>
        <w:pStyle w:val="TOC3"/>
        <w:tabs>
          <w:tab w:val="right" w:leader="dot" w:pos="4550"/>
        </w:tabs>
        <w:spacing w:before="0" w:after="0" w:line="170" w:lineRule="exact"/>
        <w:ind w:left="160"/>
        <w:rPr>
          <w:rFonts w:asciiTheme="minorHAnsi" w:eastAsiaTheme="minorEastAsia" w:hAnsiTheme="minorHAnsi" w:cstheme="minorBidi"/>
          <w:noProof/>
          <w:color w:val="auto"/>
          <w:kern w:val="2"/>
          <w:sz w:val="24"/>
          <w:szCs w:val="24"/>
          <w14:ligatures w14:val="standardContextual"/>
        </w:rPr>
      </w:pPr>
      <w:hyperlink w:anchor="_Toc206061754" w:history="1">
        <w:r w:rsidRPr="001814F2">
          <w:rPr>
            <w:rStyle w:val="Hyperlink"/>
            <w:noProof/>
          </w:rPr>
          <w:t>Mental Health Regulations 2025</w:t>
        </w:r>
        <w:r>
          <w:rPr>
            <w:rStyle w:val="Hyperlink"/>
            <w:noProof/>
          </w:rPr>
          <w:t>—No. 89 of 2025</w:t>
        </w:r>
        <w:r>
          <w:rPr>
            <w:noProof/>
            <w:webHidden/>
          </w:rPr>
          <w:tab/>
        </w:r>
        <w:r>
          <w:rPr>
            <w:noProof/>
            <w:webHidden/>
          </w:rPr>
          <w:fldChar w:fldCharType="begin"/>
        </w:r>
        <w:r>
          <w:rPr>
            <w:noProof/>
            <w:webHidden/>
          </w:rPr>
          <w:instrText xml:space="preserve"> PAGEREF _Toc206061754 \h </w:instrText>
        </w:r>
        <w:r>
          <w:rPr>
            <w:noProof/>
            <w:webHidden/>
          </w:rPr>
        </w:r>
        <w:r>
          <w:rPr>
            <w:noProof/>
            <w:webHidden/>
          </w:rPr>
          <w:fldChar w:fldCharType="separate"/>
        </w:r>
        <w:r w:rsidR="00F50B74">
          <w:rPr>
            <w:noProof/>
            <w:webHidden/>
          </w:rPr>
          <w:t>3320</w:t>
        </w:r>
        <w:r>
          <w:rPr>
            <w:noProof/>
            <w:webHidden/>
          </w:rPr>
          <w:fldChar w:fldCharType="end"/>
        </w:r>
      </w:hyperlink>
    </w:p>
    <w:p w14:paraId="121305DA" w14:textId="73BC8DCB" w:rsidR="00A620DA" w:rsidRDefault="00A620DA" w:rsidP="008F1F08">
      <w:pPr>
        <w:pStyle w:val="TOC3"/>
        <w:tabs>
          <w:tab w:val="right" w:leader="dot" w:pos="4550"/>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6061755" w:history="1">
        <w:r w:rsidRPr="001814F2">
          <w:rPr>
            <w:rStyle w:val="Hyperlink"/>
            <w:noProof/>
          </w:rPr>
          <w:t>Retirement Villages (Miscellaneous) Amendment Regulations 2025</w:t>
        </w:r>
        <w:r>
          <w:rPr>
            <w:rStyle w:val="Hyperlink"/>
            <w:noProof/>
          </w:rPr>
          <w:t>—No. 90 of 2025</w:t>
        </w:r>
        <w:r>
          <w:rPr>
            <w:noProof/>
            <w:webHidden/>
          </w:rPr>
          <w:tab/>
        </w:r>
        <w:r>
          <w:rPr>
            <w:noProof/>
            <w:webHidden/>
          </w:rPr>
          <w:fldChar w:fldCharType="begin"/>
        </w:r>
        <w:r>
          <w:rPr>
            <w:noProof/>
            <w:webHidden/>
          </w:rPr>
          <w:instrText xml:space="preserve"> PAGEREF _Toc206061755 \h </w:instrText>
        </w:r>
        <w:r>
          <w:rPr>
            <w:noProof/>
            <w:webHidden/>
          </w:rPr>
        </w:r>
        <w:r>
          <w:rPr>
            <w:noProof/>
            <w:webHidden/>
          </w:rPr>
          <w:fldChar w:fldCharType="separate"/>
        </w:r>
        <w:r w:rsidR="00F50B74">
          <w:rPr>
            <w:noProof/>
            <w:webHidden/>
          </w:rPr>
          <w:t>3323</w:t>
        </w:r>
        <w:r>
          <w:rPr>
            <w:noProof/>
            <w:webHidden/>
          </w:rPr>
          <w:fldChar w:fldCharType="end"/>
        </w:r>
      </w:hyperlink>
    </w:p>
    <w:p w14:paraId="7ED444CC" w14:textId="33682939" w:rsidR="00A620DA" w:rsidRDefault="00A620DA" w:rsidP="00A620DA">
      <w:pPr>
        <w:pStyle w:val="TOC3"/>
        <w:tabs>
          <w:tab w:val="right" w:leader="dot" w:pos="4550"/>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6061756" w:history="1">
        <w:r w:rsidRPr="001814F2">
          <w:rPr>
            <w:rStyle w:val="Hyperlink"/>
            <w:noProof/>
          </w:rPr>
          <w:t>Residential Tenancies Regulations 2025</w:t>
        </w:r>
        <w:r>
          <w:rPr>
            <w:rStyle w:val="Hyperlink"/>
            <w:noProof/>
          </w:rPr>
          <w:t>—</w:t>
        </w:r>
        <w:r>
          <w:rPr>
            <w:rStyle w:val="Hyperlink"/>
            <w:noProof/>
          </w:rPr>
          <w:br/>
          <w:t>No. 91 of 2025</w:t>
        </w:r>
        <w:r>
          <w:rPr>
            <w:noProof/>
            <w:webHidden/>
          </w:rPr>
          <w:tab/>
        </w:r>
        <w:r>
          <w:rPr>
            <w:noProof/>
            <w:webHidden/>
          </w:rPr>
          <w:fldChar w:fldCharType="begin"/>
        </w:r>
        <w:r>
          <w:rPr>
            <w:noProof/>
            <w:webHidden/>
          </w:rPr>
          <w:instrText xml:space="preserve"> PAGEREF _Toc206061756 \h </w:instrText>
        </w:r>
        <w:r>
          <w:rPr>
            <w:noProof/>
            <w:webHidden/>
          </w:rPr>
        </w:r>
        <w:r>
          <w:rPr>
            <w:noProof/>
            <w:webHidden/>
          </w:rPr>
          <w:fldChar w:fldCharType="separate"/>
        </w:r>
        <w:r w:rsidR="00F50B74">
          <w:rPr>
            <w:noProof/>
            <w:webHidden/>
          </w:rPr>
          <w:t>3340</w:t>
        </w:r>
        <w:r>
          <w:rPr>
            <w:noProof/>
            <w:webHidden/>
          </w:rPr>
          <w:fldChar w:fldCharType="end"/>
        </w:r>
      </w:hyperlink>
    </w:p>
    <w:p w14:paraId="306046B0" w14:textId="28597D91" w:rsidR="00A620DA" w:rsidRDefault="00A620DA" w:rsidP="00A620DA">
      <w:pPr>
        <w:pStyle w:val="TOC3"/>
        <w:tabs>
          <w:tab w:val="right" w:leader="dot" w:pos="4550"/>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6061757" w:history="1">
        <w:r w:rsidRPr="001814F2">
          <w:rPr>
            <w:rStyle w:val="Hyperlink"/>
            <w:noProof/>
          </w:rPr>
          <w:t>Legislative Instruments (Postponement of Expiry) Regulations 2025</w:t>
        </w:r>
        <w:r>
          <w:rPr>
            <w:rStyle w:val="Hyperlink"/>
            <w:noProof/>
          </w:rPr>
          <w:t>—No. 92 of 2025</w:t>
        </w:r>
        <w:r>
          <w:rPr>
            <w:noProof/>
            <w:webHidden/>
          </w:rPr>
          <w:tab/>
        </w:r>
        <w:r>
          <w:rPr>
            <w:noProof/>
            <w:webHidden/>
          </w:rPr>
          <w:fldChar w:fldCharType="begin"/>
        </w:r>
        <w:r>
          <w:rPr>
            <w:noProof/>
            <w:webHidden/>
          </w:rPr>
          <w:instrText xml:space="preserve"> PAGEREF _Toc206061757 \h </w:instrText>
        </w:r>
        <w:r>
          <w:rPr>
            <w:noProof/>
            <w:webHidden/>
          </w:rPr>
        </w:r>
        <w:r>
          <w:rPr>
            <w:noProof/>
            <w:webHidden/>
          </w:rPr>
          <w:fldChar w:fldCharType="separate"/>
        </w:r>
        <w:r w:rsidR="00F50B74">
          <w:rPr>
            <w:noProof/>
            <w:webHidden/>
          </w:rPr>
          <w:t>3397</w:t>
        </w:r>
        <w:r>
          <w:rPr>
            <w:noProof/>
            <w:webHidden/>
          </w:rPr>
          <w:fldChar w:fldCharType="end"/>
        </w:r>
      </w:hyperlink>
    </w:p>
    <w:p w14:paraId="78849C16" w14:textId="1909BB96" w:rsidR="00A620DA" w:rsidRDefault="00A620DA" w:rsidP="00A620DA">
      <w:pPr>
        <w:pStyle w:val="TOC1"/>
        <w:rPr>
          <w:rFonts w:asciiTheme="minorHAnsi" w:eastAsiaTheme="minorEastAsia" w:hAnsiTheme="minorHAnsi" w:cstheme="minorBidi"/>
          <w:color w:val="auto"/>
          <w:kern w:val="2"/>
          <w:sz w:val="24"/>
          <w:szCs w:val="24"/>
          <w14:ligatures w14:val="standardContextual"/>
        </w:rPr>
      </w:pPr>
      <w:hyperlink w:anchor="_Toc206061758" w:history="1">
        <w:r w:rsidRPr="001814F2">
          <w:rPr>
            <w:rStyle w:val="Hyperlink"/>
          </w:rPr>
          <w:t>State Government Instruments</w:t>
        </w:r>
      </w:hyperlink>
    </w:p>
    <w:p w14:paraId="1264E325" w14:textId="595D2743"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59" w:history="1">
        <w:r w:rsidRPr="001814F2">
          <w:rPr>
            <w:rStyle w:val="Hyperlink"/>
            <w:noProof/>
          </w:rPr>
          <w:t>Associations Incorporation Act 1985</w:t>
        </w:r>
        <w:r>
          <w:rPr>
            <w:noProof/>
            <w:webHidden/>
          </w:rPr>
          <w:tab/>
        </w:r>
        <w:r>
          <w:rPr>
            <w:noProof/>
            <w:webHidden/>
          </w:rPr>
          <w:fldChar w:fldCharType="begin"/>
        </w:r>
        <w:r>
          <w:rPr>
            <w:noProof/>
            <w:webHidden/>
          </w:rPr>
          <w:instrText xml:space="preserve"> PAGEREF _Toc206061759 \h </w:instrText>
        </w:r>
        <w:r>
          <w:rPr>
            <w:noProof/>
            <w:webHidden/>
          </w:rPr>
        </w:r>
        <w:r>
          <w:rPr>
            <w:noProof/>
            <w:webHidden/>
          </w:rPr>
          <w:fldChar w:fldCharType="separate"/>
        </w:r>
        <w:r w:rsidR="00F50B74">
          <w:rPr>
            <w:noProof/>
            <w:webHidden/>
          </w:rPr>
          <w:t>3402</w:t>
        </w:r>
        <w:r>
          <w:rPr>
            <w:noProof/>
            <w:webHidden/>
          </w:rPr>
          <w:fldChar w:fldCharType="end"/>
        </w:r>
      </w:hyperlink>
    </w:p>
    <w:p w14:paraId="436AAC54" w14:textId="4FCDA694"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0" w:history="1">
        <w:r w:rsidRPr="001814F2">
          <w:rPr>
            <w:rStyle w:val="Hyperlink"/>
            <w:noProof/>
          </w:rPr>
          <w:t>Disability Inclusion Act 2018</w:t>
        </w:r>
        <w:r>
          <w:rPr>
            <w:noProof/>
            <w:webHidden/>
          </w:rPr>
          <w:tab/>
        </w:r>
        <w:r>
          <w:rPr>
            <w:noProof/>
            <w:webHidden/>
          </w:rPr>
          <w:fldChar w:fldCharType="begin"/>
        </w:r>
        <w:r>
          <w:rPr>
            <w:noProof/>
            <w:webHidden/>
          </w:rPr>
          <w:instrText xml:space="preserve"> PAGEREF _Toc206061760 \h </w:instrText>
        </w:r>
        <w:r>
          <w:rPr>
            <w:noProof/>
            <w:webHidden/>
          </w:rPr>
        </w:r>
        <w:r>
          <w:rPr>
            <w:noProof/>
            <w:webHidden/>
          </w:rPr>
          <w:fldChar w:fldCharType="separate"/>
        </w:r>
        <w:r w:rsidR="00F50B74">
          <w:rPr>
            <w:noProof/>
            <w:webHidden/>
          </w:rPr>
          <w:t>3402</w:t>
        </w:r>
        <w:r>
          <w:rPr>
            <w:noProof/>
            <w:webHidden/>
          </w:rPr>
          <w:fldChar w:fldCharType="end"/>
        </w:r>
      </w:hyperlink>
    </w:p>
    <w:p w14:paraId="6E61DA98" w14:textId="4D9A0E44"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1" w:history="1">
        <w:r w:rsidRPr="001814F2">
          <w:rPr>
            <w:rStyle w:val="Hyperlink"/>
            <w:noProof/>
          </w:rPr>
          <w:t>Fisheries Management Act 2007</w:t>
        </w:r>
        <w:r>
          <w:rPr>
            <w:noProof/>
            <w:webHidden/>
          </w:rPr>
          <w:tab/>
        </w:r>
        <w:r>
          <w:rPr>
            <w:noProof/>
            <w:webHidden/>
          </w:rPr>
          <w:fldChar w:fldCharType="begin"/>
        </w:r>
        <w:r>
          <w:rPr>
            <w:noProof/>
            <w:webHidden/>
          </w:rPr>
          <w:instrText xml:space="preserve"> PAGEREF _Toc206061761 \h </w:instrText>
        </w:r>
        <w:r>
          <w:rPr>
            <w:noProof/>
            <w:webHidden/>
          </w:rPr>
        </w:r>
        <w:r>
          <w:rPr>
            <w:noProof/>
            <w:webHidden/>
          </w:rPr>
          <w:fldChar w:fldCharType="separate"/>
        </w:r>
        <w:r w:rsidR="00F50B74">
          <w:rPr>
            <w:noProof/>
            <w:webHidden/>
          </w:rPr>
          <w:t>3418</w:t>
        </w:r>
        <w:r>
          <w:rPr>
            <w:noProof/>
            <w:webHidden/>
          </w:rPr>
          <w:fldChar w:fldCharType="end"/>
        </w:r>
      </w:hyperlink>
    </w:p>
    <w:p w14:paraId="3B0BEF62" w14:textId="3D6AC81A"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2" w:history="1">
        <w:r w:rsidRPr="001814F2">
          <w:rPr>
            <w:rStyle w:val="Hyperlink"/>
            <w:noProof/>
          </w:rPr>
          <w:t>Geographical Names Act 1991</w:t>
        </w:r>
        <w:r>
          <w:rPr>
            <w:noProof/>
            <w:webHidden/>
          </w:rPr>
          <w:tab/>
        </w:r>
        <w:r>
          <w:rPr>
            <w:noProof/>
            <w:webHidden/>
          </w:rPr>
          <w:fldChar w:fldCharType="begin"/>
        </w:r>
        <w:r>
          <w:rPr>
            <w:noProof/>
            <w:webHidden/>
          </w:rPr>
          <w:instrText xml:space="preserve"> PAGEREF _Toc206061762 \h </w:instrText>
        </w:r>
        <w:r>
          <w:rPr>
            <w:noProof/>
            <w:webHidden/>
          </w:rPr>
        </w:r>
        <w:r>
          <w:rPr>
            <w:noProof/>
            <w:webHidden/>
          </w:rPr>
          <w:fldChar w:fldCharType="separate"/>
        </w:r>
        <w:r w:rsidR="00F50B74">
          <w:rPr>
            <w:noProof/>
            <w:webHidden/>
          </w:rPr>
          <w:t>3419</w:t>
        </w:r>
        <w:r>
          <w:rPr>
            <w:noProof/>
            <w:webHidden/>
          </w:rPr>
          <w:fldChar w:fldCharType="end"/>
        </w:r>
      </w:hyperlink>
    </w:p>
    <w:p w14:paraId="53EB474F" w14:textId="32746878"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3" w:history="1">
        <w:r w:rsidRPr="001814F2">
          <w:rPr>
            <w:rStyle w:val="Hyperlink"/>
            <w:noProof/>
          </w:rPr>
          <w:t>Housing Improvement Act 2016</w:t>
        </w:r>
        <w:r>
          <w:rPr>
            <w:noProof/>
            <w:webHidden/>
          </w:rPr>
          <w:tab/>
        </w:r>
        <w:r>
          <w:rPr>
            <w:noProof/>
            <w:webHidden/>
          </w:rPr>
          <w:fldChar w:fldCharType="begin"/>
        </w:r>
        <w:r>
          <w:rPr>
            <w:noProof/>
            <w:webHidden/>
          </w:rPr>
          <w:instrText xml:space="preserve"> PAGEREF _Toc206061763 \h </w:instrText>
        </w:r>
        <w:r>
          <w:rPr>
            <w:noProof/>
            <w:webHidden/>
          </w:rPr>
        </w:r>
        <w:r>
          <w:rPr>
            <w:noProof/>
            <w:webHidden/>
          </w:rPr>
          <w:fldChar w:fldCharType="separate"/>
        </w:r>
        <w:r w:rsidR="00F50B74">
          <w:rPr>
            <w:noProof/>
            <w:webHidden/>
          </w:rPr>
          <w:t>3419</w:t>
        </w:r>
        <w:r>
          <w:rPr>
            <w:noProof/>
            <w:webHidden/>
          </w:rPr>
          <w:fldChar w:fldCharType="end"/>
        </w:r>
      </w:hyperlink>
    </w:p>
    <w:p w14:paraId="041B9132" w14:textId="3D8B4117"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4" w:history="1">
        <w:r w:rsidRPr="001814F2">
          <w:rPr>
            <w:rStyle w:val="Hyperlink"/>
            <w:noProof/>
          </w:rPr>
          <w:t>Justices of the Peace Act 2005</w:t>
        </w:r>
        <w:r>
          <w:rPr>
            <w:noProof/>
            <w:webHidden/>
          </w:rPr>
          <w:tab/>
        </w:r>
        <w:r>
          <w:rPr>
            <w:noProof/>
            <w:webHidden/>
          </w:rPr>
          <w:fldChar w:fldCharType="begin"/>
        </w:r>
        <w:r>
          <w:rPr>
            <w:noProof/>
            <w:webHidden/>
          </w:rPr>
          <w:instrText xml:space="preserve"> PAGEREF _Toc206061764 \h </w:instrText>
        </w:r>
        <w:r>
          <w:rPr>
            <w:noProof/>
            <w:webHidden/>
          </w:rPr>
        </w:r>
        <w:r>
          <w:rPr>
            <w:noProof/>
            <w:webHidden/>
          </w:rPr>
          <w:fldChar w:fldCharType="separate"/>
        </w:r>
        <w:r w:rsidR="00F50B74">
          <w:rPr>
            <w:noProof/>
            <w:webHidden/>
          </w:rPr>
          <w:t>3420</w:t>
        </w:r>
        <w:r>
          <w:rPr>
            <w:noProof/>
            <w:webHidden/>
          </w:rPr>
          <w:fldChar w:fldCharType="end"/>
        </w:r>
      </w:hyperlink>
    </w:p>
    <w:p w14:paraId="309DE96E" w14:textId="7B136EBC"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206061765" w:history="1">
        <w:r w:rsidRPr="001814F2">
          <w:rPr>
            <w:rStyle w:val="Hyperlink"/>
            <w:noProof/>
          </w:rPr>
          <w:t>Land Acquisition Act 1969</w:t>
        </w:r>
        <w:r>
          <w:rPr>
            <w:noProof/>
            <w:webHidden/>
          </w:rPr>
          <w:tab/>
        </w:r>
        <w:r>
          <w:rPr>
            <w:noProof/>
            <w:webHidden/>
          </w:rPr>
          <w:fldChar w:fldCharType="begin"/>
        </w:r>
        <w:r>
          <w:rPr>
            <w:noProof/>
            <w:webHidden/>
          </w:rPr>
          <w:instrText xml:space="preserve"> PAGEREF _Toc206061765 \h </w:instrText>
        </w:r>
        <w:r>
          <w:rPr>
            <w:noProof/>
            <w:webHidden/>
          </w:rPr>
        </w:r>
        <w:r>
          <w:rPr>
            <w:noProof/>
            <w:webHidden/>
          </w:rPr>
          <w:fldChar w:fldCharType="separate"/>
        </w:r>
        <w:r w:rsidR="00F50B74">
          <w:rPr>
            <w:noProof/>
            <w:webHidden/>
          </w:rPr>
          <w:t>3421</w:t>
        </w:r>
        <w:r>
          <w:rPr>
            <w:noProof/>
            <w:webHidden/>
          </w:rPr>
          <w:fldChar w:fldCharType="end"/>
        </w:r>
      </w:hyperlink>
    </w:p>
    <w:p w14:paraId="3510F8A1" w14:textId="0634D3E2"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6" w:history="1">
        <w:r w:rsidRPr="001814F2">
          <w:rPr>
            <w:rStyle w:val="Hyperlink"/>
            <w:noProof/>
          </w:rPr>
          <w:t>Landscape South Australia Act 2019</w:t>
        </w:r>
        <w:r>
          <w:rPr>
            <w:noProof/>
            <w:webHidden/>
          </w:rPr>
          <w:tab/>
        </w:r>
        <w:r>
          <w:rPr>
            <w:noProof/>
            <w:webHidden/>
          </w:rPr>
          <w:fldChar w:fldCharType="begin"/>
        </w:r>
        <w:r>
          <w:rPr>
            <w:noProof/>
            <w:webHidden/>
          </w:rPr>
          <w:instrText xml:space="preserve"> PAGEREF _Toc206061766 \h </w:instrText>
        </w:r>
        <w:r>
          <w:rPr>
            <w:noProof/>
            <w:webHidden/>
          </w:rPr>
        </w:r>
        <w:r>
          <w:rPr>
            <w:noProof/>
            <w:webHidden/>
          </w:rPr>
          <w:fldChar w:fldCharType="separate"/>
        </w:r>
        <w:r w:rsidR="00F50B74">
          <w:rPr>
            <w:noProof/>
            <w:webHidden/>
          </w:rPr>
          <w:t>3422</w:t>
        </w:r>
        <w:r>
          <w:rPr>
            <w:noProof/>
            <w:webHidden/>
          </w:rPr>
          <w:fldChar w:fldCharType="end"/>
        </w:r>
      </w:hyperlink>
    </w:p>
    <w:p w14:paraId="671EFFE5" w14:textId="3E780C5F"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7" w:history="1">
        <w:r w:rsidRPr="001814F2">
          <w:rPr>
            <w:rStyle w:val="Hyperlink"/>
            <w:noProof/>
          </w:rPr>
          <w:t>Mental Health Act 2009</w:t>
        </w:r>
        <w:r>
          <w:rPr>
            <w:noProof/>
            <w:webHidden/>
          </w:rPr>
          <w:tab/>
        </w:r>
        <w:r>
          <w:rPr>
            <w:noProof/>
            <w:webHidden/>
          </w:rPr>
          <w:fldChar w:fldCharType="begin"/>
        </w:r>
        <w:r>
          <w:rPr>
            <w:noProof/>
            <w:webHidden/>
          </w:rPr>
          <w:instrText xml:space="preserve"> PAGEREF _Toc206061767 \h </w:instrText>
        </w:r>
        <w:r>
          <w:rPr>
            <w:noProof/>
            <w:webHidden/>
          </w:rPr>
        </w:r>
        <w:r>
          <w:rPr>
            <w:noProof/>
            <w:webHidden/>
          </w:rPr>
          <w:fldChar w:fldCharType="separate"/>
        </w:r>
        <w:r w:rsidR="00F50B74">
          <w:rPr>
            <w:noProof/>
            <w:webHidden/>
          </w:rPr>
          <w:t>3423</w:t>
        </w:r>
        <w:r>
          <w:rPr>
            <w:noProof/>
            <w:webHidden/>
          </w:rPr>
          <w:fldChar w:fldCharType="end"/>
        </w:r>
      </w:hyperlink>
    </w:p>
    <w:p w14:paraId="2B4BD201" w14:textId="46B61451"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8" w:history="1">
        <w:r w:rsidRPr="001814F2">
          <w:rPr>
            <w:rStyle w:val="Hyperlink"/>
            <w:noProof/>
          </w:rPr>
          <w:t>Mining Act 1971</w:t>
        </w:r>
        <w:r>
          <w:rPr>
            <w:noProof/>
            <w:webHidden/>
          </w:rPr>
          <w:tab/>
        </w:r>
        <w:r>
          <w:rPr>
            <w:noProof/>
            <w:webHidden/>
          </w:rPr>
          <w:fldChar w:fldCharType="begin"/>
        </w:r>
        <w:r>
          <w:rPr>
            <w:noProof/>
            <w:webHidden/>
          </w:rPr>
          <w:instrText xml:space="preserve"> PAGEREF _Toc206061768 \h </w:instrText>
        </w:r>
        <w:r>
          <w:rPr>
            <w:noProof/>
            <w:webHidden/>
          </w:rPr>
        </w:r>
        <w:r>
          <w:rPr>
            <w:noProof/>
            <w:webHidden/>
          </w:rPr>
          <w:fldChar w:fldCharType="separate"/>
        </w:r>
        <w:r w:rsidR="00F50B74">
          <w:rPr>
            <w:noProof/>
            <w:webHidden/>
          </w:rPr>
          <w:t>3423</w:t>
        </w:r>
        <w:r>
          <w:rPr>
            <w:noProof/>
            <w:webHidden/>
          </w:rPr>
          <w:fldChar w:fldCharType="end"/>
        </w:r>
      </w:hyperlink>
    </w:p>
    <w:p w14:paraId="16C433BA" w14:textId="630F8325"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69" w:history="1">
        <w:r w:rsidRPr="001814F2">
          <w:rPr>
            <w:rStyle w:val="Hyperlink"/>
            <w:noProof/>
          </w:rPr>
          <w:t>Motor Vehicles Act 1959</w:t>
        </w:r>
        <w:r>
          <w:rPr>
            <w:noProof/>
            <w:webHidden/>
          </w:rPr>
          <w:tab/>
        </w:r>
        <w:r>
          <w:rPr>
            <w:noProof/>
            <w:webHidden/>
          </w:rPr>
          <w:fldChar w:fldCharType="begin"/>
        </w:r>
        <w:r>
          <w:rPr>
            <w:noProof/>
            <w:webHidden/>
          </w:rPr>
          <w:instrText xml:space="preserve"> PAGEREF _Toc206061769 \h </w:instrText>
        </w:r>
        <w:r>
          <w:rPr>
            <w:noProof/>
            <w:webHidden/>
          </w:rPr>
        </w:r>
        <w:r>
          <w:rPr>
            <w:noProof/>
            <w:webHidden/>
          </w:rPr>
          <w:fldChar w:fldCharType="separate"/>
        </w:r>
        <w:r w:rsidR="00F50B74">
          <w:rPr>
            <w:noProof/>
            <w:webHidden/>
          </w:rPr>
          <w:t>3424</w:t>
        </w:r>
        <w:r>
          <w:rPr>
            <w:noProof/>
            <w:webHidden/>
          </w:rPr>
          <w:fldChar w:fldCharType="end"/>
        </w:r>
      </w:hyperlink>
    </w:p>
    <w:p w14:paraId="0001255D" w14:textId="1EE59186"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0" w:history="1">
        <w:r w:rsidRPr="001814F2">
          <w:rPr>
            <w:rStyle w:val="Hyperlink"/>
            <w:noProof/>
          </w:rPr>
          <w:t>National Parks and Wildlife Act 1972</w:t>
        </w:r>
        <w:r>
          <w:rPr>
            <w:noProof/>
            <w:webHidden/>
          </w:rPr>
          <w:tab/>
        </w:r>
        <w:r>
          <w:rPr>
            <w:noProof/>
            <w:webHidden/>
          </w:rPr>
          <w:fldChar w:fldCharType="begin"/>
        </w:r>
        <w:r>
          <w:rPr>
            <w:noProof/>
            <w:webHidden/>
          </w:rPr>
          <w:instrText xml:space="preserve"> PAGEREF _Toc206061770 \h </w:instrText>
        </w:r>
        <w:r>
          <w:rPr>
            <w:noProof/>
            <w:webHidden/>
          </w:rPr>
        </w:r>
        <w:r>
          <w:rPr>
            <w:noProof/>
            <w:webHidden/>
          </w:rPr>
          <w:fldChar w:fldCharType="separate"/>
        </w:r>
        <w:r w:rsidR="00F50B74">
          <w:rPr>
            <w:noProof/>
            <w:webHidden/>
          </w:rPr>
          <w:t>3426</w:t>
        </w:r>
        <w:r>
          <w:rPr>
            <w:noProof/>
            <w:webHidden/>
          </w:rPr>
          <w:fldChar w:fldCharType="end"/>
        </w:r>
      </w:hyperlink>
    </w:p>
    <w:p w14:paraId="47031C81" w14:textId="2A8F7616"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1" w:history="1">
        <w:r w:rsidRPr="001814F2">
          <w:rPr>
            <w:rStyle w:val="Hyperlink"/>
            <w:noProof/>
          </w:rPr>
          <w:t>Planning, Development and Infrastructure Act 2016</w:t>
        </w:r>
        <w:r>
          <w:rPr>
            <w:noProof/>
            <w:webHidden/>
          </w:rPr>
          <w:tab/>
        </w:r>
        <w:r>
          <w:rPr>
            <w:noProof/>
            <w:webHidden/>
          </w:rPr>
          <w:fldChar w:fldCharType="begin"/>
        </w:r>
        <w:r>
          <w:rPr>
            <w:noProof/>
            <w:webHidden/>
          </w:rPr>
          <w:instrText xml:space="preserve"> PAGEREF _Toc206061771 \h </w:instrText>
        </w:r>
        <w:r>
          <w:rPr>
            <w:noProof/>
            <w:webHidden/>
          </w:rPr>
        </w:r>
        <w:r>
          <w:rPr>
            <w:noProof/>
            <w:webHidden/>
          </w:rPr>
          <w:fldChar w:fldCharType="separate"/>
        </w:r>
        <w:r w:rsidR="00F50B74">
          <w:rPr>
            <w:noProof/>
            <w:webHidden/>
          </w:rPr>
          <w:t>3426</w:t>
        </w:r>
        <w:r>
          <w:rPr>
            <w:noProof/>
            <w:webHidden/>
          </w:rPr>
          <w:fldChar w:fldCharType="end"/>
        </w:r>
      </w:hyperlink>
    </w:p>
    <w:p w14:paraId="5D6951C9" w14:textId="697BF914"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2" w:history="1">
        <w:r w:rsidRPr="001814F2">
          <w:rPr>
            <w:rStyle w:val="Hyperlink"/>
            <w:noProof/>
          </w:rPr>
          <w:t>Roads (Opening and Closing) Act 1991</w:t>
        </w:r>
        <w:r>
          <w:rPr>
            <w:noProof/>
            <w:webHidden/>
          </w:rPr>
          <w:tab/>
        </w:r>
        <w:r>
          <w:rPr>
            <w:noProof/>
            <w:webHidden/>
          </w:rPr>
          <w:fldChar w:fldCharType="begin"/>
        </w:r>
        <w:r>
          <w:rPr>
            <w:noProof/>
            <w:webHidden/>
          </w:rPr>
          <w:instrText xml:space="preserve"> PAGEREF _Toc206061772 \h </w:instrText>
        </w:r>
        <w:r>
          <w:rPr>
            <w:noProof/>
            <w:webHidden/>
          </w:rPr>
        </w:r>
        <w:r>
          <w:rPr>
            <w:noProof/>
            <w:webHidden/>
          </w:rPr>
          <w:fldChar w:fldCharType="separate"/>
        </w:r>
        <w:r w:rsidR="00F50B74">
          <w:rPr>
            <w:noProof/>
            <w:webHidden/>
          </w:rPr>
          <w:t>3429</w:t>
        </w:r>
        <w:r>
          <w:rPr>
            <w:noProof/>
            <w:webHidden/>
          </w:rPr>
          <w:fldChar w:fldCharType="end"/>
        </w:r>
      </w:hyperlink>
    </w:p>
    <w:p w14:paraId="2C737A51" w14:textId="74EF267A"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3" w:history="1">
        <w:r w:rsidRPr="001814F2">
          <w:rPr>
            <w:rStyle w:val="Hyperlink"/>
            <w:noProof/>
          </w:rPr>
          <w:t>South Australian Housing Trust Act 1995</w:t>
        </w:r>
        <w:r>
          <w:rPr>
            <w:noProof/>
            <w:webHidden/>
          </w:rPr>
          <w:tab/>
        </w:r>
        <w:r>
          <w:rPr>
            <w:noProof/>
            <w:webHidden/>
          </w:rPr>
          <w:fldChar w:fldCharType="begin"/>
        </w:r>
        <w:r>
          <w:rPr>
            <w:noProof/>
            <w:webHidden/>
          </w:rPr>
          <w:instrText xml:space="preserve"> PAGEREF _Toc206061773 \h </w:instrText>
        </w:r>
        <w:r>
          <w:rPr>
            <w:noProof/>
            <w:webHidden/>
          </w:rPr>
        </w:r>
        <w:r>
          <w:rPr>
            <w:noProof/>
            <w:webHidden/>
          </w:rPr>
          <w:fldChar w:fldCharType="separate"/>
        </w:r>
        <w:r w:rsidR="00F50B74">
          <w:rPr>
            <w:noProof/>
            <w:webHidden/>
          </w:rPr>
          <w:t>3430</w:t>
        </w:r>
        <w:r>
          <w:rPr>
            <w:noProof/>
            <w:webHidden/>
          </w:rPr>
          <w:fldChar w:fldCharType="end"/>
        </w:r>
      </w:hyperlink>
    </w:p>
    <w:p w14:paraId="65283749" w14:textId="63B23105"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4" w:history="1">
        <w:r w:rsidRPr="001814F2">
          <w:rPr>
            <w:rStyle w:val="Hyperlink"/>
            <w:noProof/>
          </w:rPr>
          <w:t>Summary Offences Act 1953</w:t>
        </w:r>
        <w:r>
          <w:rPr>
            <w:noProof/>
            <w:webHidden/>
          </w:rPr>
          <w:tab/>
        </w:r>
        <w:r>
          <w:rPr>
            <w:noProof/>
            <w:webHidden/>
          </w:rPr>
          <w:fldChar w:fldCharType="begin"/>
        </w:r>
        <w:r>
          <w:rPr>
            <w:noProof/>
            <w:webHidden/>
          </w:rPr>
          <w:instrText xml:space="preserve"> PAGEREF _Toc206061774 \h </w:instrText>
        </w:r>
        <w:r>
          <w:rPr>
            <w:noProof/>
            <w:webHidden/>
          </w:rPr>
        </w:r>
        <w:r>
          <w:rPr>
            <w:noProof/>
            <w:webHidden/>
          </w:rPr>
          <w:fldChar w:fldCharType="separate"/>
        </w:r>
        <w:r w:rsidR="00F50B74">
          <w:rPr>
            <w:noProof/>
            <w:webHidden/>
          </w:rPr>
          <w:t>3430</w:t>
        </w:r>
        <w:r>
          <w:rPr>
            <w:noProof/>
            <w:webHidden/>
          </w:rPr>
          <w:fldChar w:fldCharType="end"/>
        </w:r>
      </w:hyperlink>
    </w:p>
    <w:p w14:paraId="52DDDEC2" w14:textId="790FE08C"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5" w:history="1">
        <w:r w:rsidRPr="001814F2">
          <w:rPr>
            <w:rStyle w:val="Hyperlink"/>
            <w:noProof/>
          </w:rPr>
          <w:t>Urban Renewal Act 1995</w:t>
        </w:r>
        <w:r>
          <w:rPr>
            <w:noProof/>
            <w:webHidden/>
          </w:rPr>
          <w:tab/>
        </w:r>
        <w:r>
          <w:rPr>
            <w:noProof/>
            <w:webHidden/>
          </w:rPr>
          <w:fldChar w:fldCharType="begin"/>
        </w:r>
        <w:r>
          <w:rPr>
            <w:noProof/>
            <w:webHidden/>
          </w:rPr>
          <w:instrText xml:space="preserve"> PAGEREF _Toc206061775 \h </w:instrText>
        </w:r>
        <w:r>
          <w:rPr>
            <w:noProof/>
            <w:webHidden/>
          </w:rPr>
        </w:r>
        <w:r>
          <w:rPr>
            <w:noProof/>
            <w:webHidden/>
          </w:rPr>
          <w:fldChar w:fldCharType="separate"/>
        </w:r>
        <w:r w:rsidR="00F50B74">
          <w:rPr>
            <w:noProof/>
            <w:webHidden/>
          </w:rPr>
          <w:t>3430</w:t>
        </w:r>
        <w:r>
          <w:rPr>
            <w:noProof/>
            <w:webHidden/>
          </w:rPr>
          <w:fldChar w:fldCharType="end"/>
        </w:r>
      </w:hyperlink>
    </w:p>
    <w:p w14:paraId="24B7A041" w14:textId="65F0B875" w:rsidR="00A620DA" w:rsidRDefault="00A620DA" w:rsidP="00A620DA">
      <w:pPr>
        <w:pStyle w:val="TOC1"/>
        <w:rPr>
          <w:rFonts w:asciiTheme="minorHAnsi" w:eastAsiaTheme="minorEastAsia" w:hAnsiTheme="minorHAnsi" w:cstheme="minorBidi"/>
          <w:color w:val="auto"/>
          <w:kern w:val="2"/>
          <w:sz w:val="24"/>
          <w:szCs w:val="24"/>
          <w14:ligatures w14:val="standardContextual"/>
        </w:rPr>
      </w:pPr>
      <w:hyperlink w:anchor="_Toc206061776" w:history="1">
        <w:r w:rsidRPr="001814F2">
          <w:rPr>
            <w:rStyle w:val="Hyperlink"/>
          </w:rPr>
          <w:t>Local Government Instruments</w:t>
        </w:r>
      </w:hyperlink>
    </w:p>
    <w:p w14:paraId="338BA70B" w14:textId="7163FF06"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7" w:history="1">
        <w:r w:rsidRPr="001814F2">
          <w:rPr>
            <w:rStyle w:val="Hyperlink"/>
            <w:noProof/>
          </w:rPr>
          <w:t>City of Burnside</w:t>
        </w:r>
        <w:r>
          <w:rPr>
            <w:noProof/>
            <w:webHidden/>
          </w:rPr>
          <w:tab/>
        </w:r>
        <w:r>
          <w:rPr>
            <w:noProof/>
            <w:webHidden/>
          </w:rPr>
          <w:fldChar w:fldCharType="begin"/>
        </w:r>
        <w:r>
          <w:rPr>
            <w:noProof/>
            <w:webHidden/>
          </w:rPr>
          <w:instrText xml:space="preserve"> PAGEREF _Toc206061777 \h </w:instrText>
        </w:r>
        <w:r>
          <w:rPr>
            <w:noProof/>
            <w:webHidden/>
          </w:rPr>
        </w:r>
        <w:r>
          <w:rPr>
            <w:noProof/>
            <w:webHidden/>
          </w:rPr>
          <w:fldChar w:fldCharType="separate"/>
        </w:r>
        <w:r w:rsidR="00F50B74">
          <w:rPr>
            <w:noProof/>
            <w:webHidden/>
          </w:rPr>
          <w:t>3431</w:t>
        </w:r>
        <w:r>
          <w:rPr>
            <w:noProof/>
            <w:webHidden/>
          </w:rPr>
          <w:fldChar w:fldCharType="end"/>
        </w:r>
      </w:hyperlink>
    </w:p>
    <w:p w14:paraId="0F942B23" w14:textId="3A985C38"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8" w:history="1">
        <w:r w:rsidRPr="001814F2">
          <w:rPr>
            <w:rStyle w:val="Hyperlink"/>
            <w:noProof/>
          </w:rPr>
          <w:t>City of Norwood Payneham &amp; St Peters</w:t>
        </w:r>
        <w:r>
          <w:rPr>
            <w:noProof/>
            <w:webHidden/>
          </w:rPr>
          <w:tab/>
        </w:r>
        <w:r>
          <w:rPr>
            <w:noProof/>
            <w:webHidden/>
          </w:rPr>
          <w:fldChar w:fldCharType="begin"/>
        </w:r>
        <w:r>
          <w:rPr>
            <w:noProof/>
            <w:webHidden/>
          </w:rPr>
          <w:instrText xml:space="preserve"> PAGEREF _Toc206061778 \h </w:instrText>
        </w:r>
        <w:r>
          <w:rPr>
            <w:noProof/>
            <w:webHidden/>
          </w:rPr>
        </w:r>
        <w:r>
          <w:rPr>
            <w:noProof/>
            <w:webHidden/>
          </w:rPr>
          <w:fldChar w:fldCharType="separate"/>
        </w:r>
        <w:r w:rsidR="00F50B74">
          <w:rPr>
            <w:noProof/>
            <w:webHidden/>
          </w:rPr>
          <w:t>3432</w:t>
        </w:r>
        <w:r>
          <w:rPr>
            <w:noProof/>
            <w:webHidden/>
          </w:rPr>
          <w:fldChar w:fldCharType="end"/>
        </w:r>
      </w:hyperlink>
    </w:p>
    <w:p w14:paraId="4247A4E6" w14:textId="2E800EFB"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79" w:history="1">
        <w:r w:rsidRPr="001814F2">
          <w:rPr>
            <w:rStyle w:val="Hyperlink"/>
            <w:noProof/>
          </w:rPr>
          <w:t>City of Port Adelaide Enfield</w:t>
        </w:r>
        <w:r>
          <w:rPr>
            <w:noProof/>
            <w:webHidden/>
          </w:rPr>
          <w:tab/>
        </w:r>
        <w:r>
          <w:rPr>
            <w:noProof/>
            <w:webHidden/>
          </w:rPr>
          <w:fldChar w:fldCharType="begin"/>
        </w:r>
        <w:r>
          <w:rPr>
            <w:noProof/>
            <w:webHidden/>
          </w:rPr>
          <w:instrText xml:space="preserve"> PAGEREF _Toc206061779 \h </w:instrText>
        </w:r>
        <w:r>
          <w:rPr>
            <w:noProof/>
            <w:webHidden/>
          </w:rPr>
        </w:r>
        <w:r>
          <w:rPr>
            <w:noProof/>
            <w:webHidden/>
          </w:rPr>
          <w:fldChar w:fldCharType="separate"/>
        </w:r>
        <w:r w:rsidR="00F50B74">
          <w:rPr>
            <w:noProof/>
            <w:webHidden/>
          </w:rPr>
          <w:t>3449</w:t>
        </w:r>
        <w:r>
          <w:rPr>
            <w:noProof/>
            <w:webHidden/>
          </w:rPr>
          <w:fldChar w:fldCharType="end"/>
        </w:r>
      </w:hyperlink>
    </w:p>
    <w:p w14:paraId="518DD476" w14:textId="76CD75DB"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0" w:history="1">
        <w:r w:rsidRPr="001814F2">
          <w:rPr>
            <w:rStyle w:val="Hyperlink"/>
            <w:noProof/>
          </w:rPr>
          <w:t>Town of Gawler</w:t>
        </w:r>
        <w:r>
          <w:rPr>
            <w:noProof/>
            <w:webHidden/>
          </w:rPr>
          <w:tab/>
        </w:r>
        <w:r>
          <w:rPr>
            <w:noProof/>
            <w:webHidden/>
          </w:rPr>
          <w:fldChar w:fldCharType="begin"/>
        </w:r>
        <w:r>
          <w:rPr>
            <w:noProof/>
            <w:webHidden/>
          </w:rPr>
          <w:instrText xml:space="preserve"> PAGEREF _Toc206061780 \h </w:instrText>
        </w:r>
        <w:r>
          <w:rPr>
            <w:noProof/>
            <w:webHidden/>
          </w:rPr>
        </w:r>
        <w:r>
          <w:rPr>
            <w:noProof/>
            <w:webHidden/>
          </w:rPr>
          <w:fldChar w:fldCharType="separate"/>
        </w:r>
        <w:r w:rsidR="00F50B74">
          <w:rPr>
            <w:noProof/>
            <w:webHidden/>
          </w:rPr>
          <w:t>3450</w:t>
        </w:r>
        <w:r>
          <w:rPr>
            <w:noProof/>
            <w:webHidden/>
          </w:rPr>
          <w:fldChar w:fldCharType="end"/>
        </w:r>
      </w:hyperlink>
    </w:p>
    <w:p w14:paraId="491C8297" w14:textId="161936CE"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1" w:history="1">
        <w:r w:rsidRPr="001814F2">
          <w:rPr>
            <w:rStyle w:val="Hyperlink"/>
            <w:noProof/>
          </w:rPr>
          <w:t>Adelaide Hills Council</w:t>
        </w:r>
        <w:r>
          <w:rPr>
            <w:noProof/>
            <w:webHidden/>
          </w:rPr>
          <w:tab/>
        </w:r>
        <w:r>
          <w:rPr>
            <w:noProof/>
            <w:webHidden/>
          </w:rPr>
          <w:fldChar w:fldCharType="begin"/>
        </w:r>
        <w:r>
          <w:rPr>
            <w:noProof/>
            <w:webHidden/>
          </w:rPr>
          <w:instrText xml:space="preserve"> PAGEREF _Toc206061781 \h </w:instrText>
        </w:r>
        <w:r>
          <w:rPr>
            <w:noProof/>
            <w:webHidden/>
          </w:rPr>
        </w:r>
        <w:r>
          <w:rPr>
            <w:noProof/>
            <w:webHidden/>
          </w:rPr>
          <w:fldChar w:fldCharType="separate"/>
        </w:r>
        <w:r w:rsidR="00F50B74">
          <w:rPr>
            <w:noProof/>
            <w:webHidden/>
          </w:rPr>
          <w:t>3451</w:t>
        </w:r>
        <w:r>
          <w:rPr>
            <w:noProof/>
            <w:webHidden/>
          </w:rPr>
          <w:fldChar w:fldCharType="end"/>
        </w:r>
      </w:hyperlink>
    </w:p>
    <w:p w14:paraId="65CABEE2" w14:textId="47EB4E66"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2" w:history="1">
        <w:r w:rsidRPr="001814F2">
          <w:rPr>
            <w:rStyle w:val="Hyperlink"/>
            <w:noProof/>
          </w:rPr>
          <w:t>Adelaide Plains Council</w:t>
        </w:r>
        <w:r>
          <w:rPr>
            <w:noProof/>
            <w:webHidden/>
          </w:rPr>
          <w:tab/>
        </w:r>
        <w:r>
          <w:rPr>
            <w:noProof/>
            <w:webHidden/>
          </w:rPr>
          <w:fldChar w:fldCharType="begin"/>
        </w:r>
        <w:r>
          <w:rPr>
            <w:noProof/>
            <w:webHidden/>
          </w:rPr>
          <w:instrText xml:space="preserve"> PAGEREF _Toc206061782 \h </w:instrText>
        </w:r>
        <w:r>
          <w:rPr>
            <w:noProof/>
            <w:webHidden/>
          </w:rPr>
        </w:r>
        <w:r>
          <w:rPr>
            <w:noProof/>
            <w:webHidden/>
          </w:rPr>
          <w:fldChar w:fldCharType="separate"/>
        </w:r>
        <w:r w:rsidR="00F50B74">
          <w:rPr>
            <w:noProof/>
            <w:webHidden/>
          </w:rPr>
          <w:t>3452</w:t>
        </w:r>
        <w:r>
          <w:rPr>
            <w:noProof/>
            <w:webHidden/>
          </w:rPr>
          <w:fldChar w:fldCharType="end"/>
        </w:r>
      </w:hyperlink>
    </w:p>
    <w:p w14:paraId="2E09D0C0" w14:textId="5C493E6F"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3" w:history="1">
        <w:r w:rsidRPr="001814F2">
          <w:rPr>
            <w:rStyle w:val="Hyperlink"/>
            <w:noProof/>
          </w:rPr>
          <w:t>Berri Barmera Council</w:t>
        </w:r>
        <w:r>
          <w:rPr>
            <w:noProof/>
            <w:webHidden/>
          </w:rPr>
          <w:tab/>
        </w:r>
        <w:r>
          <w:rPr>
            <w:noProof/>
            <w:webHidden/>
          </w:rPr>
          <w:fldChar w:fldCharType="begin"/>
        </w:r>
        <w:r>
          <w:rPr>
            <w:noProof/>
            <w:webHidden/>
          </w:rPr>
          <w:instrText xml:space="preserve"> PAGEREF _Toc206061783 \h </w:instrText>
        </w:r>
        <w:r>
          <w:rPr>
            <w:noProof/>
            <w:webHidden/>
          </w:rPr>
        </w:r>
        <w:r>
          <w:rPr>
            <w:noProof/>
            <w:webHidden/>
          </w:rPr>
          <w:fldChar w:fldCharType="separate"/>
        </w:r>
        <w:r w:rsidR="00F50B74">
          <w:rPr>
            <w:noProof/>
            <w:webHidden/>
          </w:rPr>
          <w:t>3453</w:t>
        </w:r>
        <w:r>
          <w:rPr>
            <w:noProof/>
            <w:webHidden/>
          </w:rPr>
          <w:fldChar w:fldCharType="end"/>
        </w:r>
      </w:hyperlink>
    </w:p>
    <w:p w14:paraId="499A17C3" w14:textId="368038A2"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4" w:history="1">
        <w:r w:rsidRPr="001814F2">
          <w:rPr>
            <w:rStyle w:val="Hyperlink"/>
            <w:noProof/>
          </w:rPr>
          <w:t>Light Regional Council</w:t>
        </w:r>
        <w:r>
          <w:rPr>
            <w:noProof/>
            <w:webHidden/>
          </w:rPr>
          <w:tab/>
        </w:r>
        <w:r>
          <w:rPr>
            <w:noProof/>
            <w:webHidden/>
          </w:rPr>
          <w:fldChar w:fldCharType="begin"/>
        </w:r>
        <w:r>
          <w:rPr>
            <w:noProof/>
            <w:webHidden/>
          </w:rPr>
          <w:instrText xml:space="preserve"> PAGEREF _Toc206061784 \h </w:instrText>
        </w:r>
        <w:r>
          <w:rPr>
            <w:noProof/>
            <w:webHidden/>
          </w:rPr>
        </w:r>
        <w:r>
          <w:rPr>
            <w:noProof/>
            <w:webHidden/>
          </w:rPr>
          <w:fldChar w:fldCharType="separate"/>
        </w:r>
        <w:r w:rsidR="00F50B74">
          <w:rPr>
            <w:noProof/>
            <w:webHidden/>
          </w:rPr>
          <w:t>3467</w:t>
        </w:r>
        <w:r>
          <w:rPr>
            <w:noProof/>
            <w:webHidden/>
          </w:rPr>
          <w:fldChar w:fldCharType="end"/>
        </w:r>
      </w:hyperlink>
    </w:p>
    <w:p w14:paraId="378E6EA7" w14:textId="6EB5D325"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5" w:history="1">
        <w:r w:rsidRPr="001814F2">
          <w:rPr>
            <w:rStyle w:val="Hyperlink"/>
            <w:noProof/>
          </w:rPr>
          <w:t>Mount Barker District Council</w:t>
        </w:r>
        <w:r>
          <w:rPr>
            <w:noProof/>
            <w:webHidden/>
          </w:rPr>
          <w:tab/>
        </w:r>
        <w:r>
          <w:rPr>
            <w:noProof/>
            <w:webHidden/>
          </w:rPr>
          <w:fldChar w:fldCharType="begin"/>
        </w:r>
        <w:r>
          <w:rPr>
            <w:noProof/>
            <w:webHidden/>
          </w:rPr>
          <w:instrText xml:space="preserve"> PAGEREF _Toc206061785 \h </w:instrText>
        </w:r>
        <w:r>
          <w:rPr>
            <w:noProof/>
            <w:webHidden/>
          </w:rPr>
        </w:r>
        <w:r>
          <w:rPr>
            <w:noProof/>
            <w:webHidden/>
          </w:rPr>
          <w:fldChar w:fldCharType="separate"/>
        </w:r>
        <w:r w:rsidR="00F50B74">
          <w:rPr>
            <w:noProof/>
            <w:webHidden/>
          </w:rPr>
          <w:t>3467</w:t>
        </w:r>
        <w:r>
          <w:rPr>
            <w:noProof/>
            <w:webHidden/>
          </w:rPr>
          <w:fldChar w:fldCharType="end"/>
        </w:r>
      </w:hyperlink>
    </w:p>
    <w:p w14:paraId="6E37DC33" w14:textId="33BED542"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6" w:history="1">
        <w:r w:rsidRPr="001814F2">
          <w:rPr>
            <w:rStyle w:val="Hyperlink"/>
            <w:noProof/>
          </w:rPr>
          <w:t>District Council of Mount Remarkable</w:t>
        </w:r>
        <w:r>
          <w:rPr>
            <w:noProof/>
            <w:webHidden/>
          </w:rPr>
          <w:tab/>
        </w:r>
        <w:r>
          <w:rPr>
            <w:noProof/>
            <w:webHidden/>
          </w:rPr>
          <w:fldChar w:fldCharType="begin"/>
        </w:r>
        <w:r>
          <w:rPr>
            <w:noProof/>
            <w:webHidden/>
          </w:rPr>
          <w:instrText xml:space="preserve"> PAGEREF _Toc206061786 \h </w:instrText>
        </w:r>
        <w:r>
          <w:rPr>
            <w:noProof/>
            <w:webHidden/>
          </w:rPr>
        </w:r>
        <w:r>
          <w:rPr>
            <w:noProof/>
            <w:webHidden/>
          </w:rPr>
          <w:fldChar w:fldCharType="separate"/>
        </w:r>
        <w:r w:rsidR="00F50B74">
          <w:rPr>
            <w:noProof/>
            <w:webHidden/>
          </w:rPr>
          <w:t>3468</w:t>
        </w:r>
        <w:r>
          <w:rPr>
            <w:noProof/>
            <w:webHidden/>
          </w:rPr>
          <w:fldChar w:fldCharType="end"/>
        </w:r>
      </w:hyperlink>
    </w:p>
    <w:p w14:paraId="70078111" w14:textId="2AB32019"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7" w:history="1">
        <w:r w:rsidRPr="001814F2">
          <w:rPr>
            <w:rStyle w:val="Hyperlink"/>
            <w:noProof/>
          </w:rPr>
          <w:t>District Council of Orroroo Carrieton</w:t>
        </w:r>
        <w:r>
          <w:rPr>
            <w:noProof/>
            <w:webHidden/>
          </w:rPr>
          <w:tab/>
        </w:r>
        <w:r>
          <w:rPr>
            <w:noProof/>
            <w:webHidden/>
          </w:rPr>
          <w:fldChar w:fldCharType="begin"/>
        </w:r>
        <w:r>
          <w:rPr>
            <w:noProof/>
            <w:webHidden/>
          </w:rPr>
          <w:instrText xml:space="preserve"> PAGEREF _Toc206061787 \h </w:instrText>
        </w:r>
        <w:r>
          <w:rPr>
            <w:noProof/>
            <w:webHidden/>
          </w:rPr>
        </w:r>
        <w:r>
          <w:rPr>
            <w:noProof/>
            <w:webHidden/>
          </w:rPr>
          <w:fldChar w:fldCharType="separate"/>
        </w:r>
        <w:r w:rsidR="00F50B74">
          <w:rPr>
            <w:noProof/>
            <w:webHidden/>
          </w:rPr>
          <w:t>3468</w:t>
        </w:r>
        <w:r>
          <w:rPr>
            <w:noProof/>
            <w:webHidden/>
          </w:rPr>
          <w:fldChar w:fldCharType="end"/>
        </w:r>
      </w:hyperlink>
    </w:p>
    <w:p w14:paraId="6AEF62C8" w14:textId="6F82F1B3"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8" w:history="1">
        <w:r w:rsidRPr="001814F2">
          <w:rPr>
            <w:rStyle w:val="Hyperlink"/>
            <w:noProof/>
          </w:rPr>
          <w:t>Port Pirie Regional Council</w:t>
        </w:r>
        <w:r>
          <w:rPr>
            <w:noProof/>
            <w:webHidden/>
          </w:rPr>
          <w:tab/>
        </w:r>
        <w:r>
          <w:rPr>
            <w:noProof/>
            <w:webHidden/>
          </w:rPr>
          <w:fldChar w:fldCharType="begin"/>
        </w:r>
        <w:r>
          <w:rPr>
            <w:noProof/>
            <w:webHidden/>
          </w:rPr>
          <w:instrText xml:space="preserve"> PAGEREF _Toc206061788 \h </w:instrText>
        </w:r>
        <w:r>
          <w:rPr>
            <w:noProof/>
            <w:webHidden/>
          </w:rPr>
        </w:r>
        <w:r>
          <w:rPr>
            <w:noProof/>
            <w:webHidden/>
          </w:rPr>
          <w:fldChar w:fldCharType="separate"/>
        </w:r>
        <w:r w:rsidR="00F50B74">
          <w:rPr>
            <w:noProof/>
            <w:webHidden/>
          </w:rPr>
          <w:t>3469</w:t>
        </w:r>
        <w:r>
          <w:rPr>
            <w:noProof/>
            <w:webHidden/>
          </w:rPr>
          <w:fldChar w:fldCharType="end"/>
        </w:r>
      </w:hyperlink>
    </w:p>
    <w:p w14:paraId="7CAD8B5D" w14:textId="0558B24E"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89" w:history="1">
        <w:r w:rsidRPr="001814F2">
          <w:rPr>
            <w:rStyle w:val="Hyperlink"/>
            <w:noProof/>
          </w:rPr>
          <w:t>Renmark Paringa Council</w:t>
        </w:r>
        <w:r>
          <w:rPr>
            <w:noProof/>
            <w:webHidden/>
          </w:rPr>
          <w:tab/>
        </w:r>
        <w:r>
          <w:rPr>
            <w:noProof/>
            <w:webHidden/>
          </w:rPr>
          <w:fldChar w:fldCharType="begin"/>
        </w:r>
        <w:r>
          <w:rPr>
            <w:noProof/>
            <w:webHidden/>
          </w:rPr>
          <w:instrText xml:space="preserve"> PAGEREF _Toc206061789 \h </w:instrText>
        </w:r>
        <w:r>
          <w:rPr>
            <w:noProof/>
            <w:webHidden/>
          </w:rPr>
        </w:r>
        <w:r>
          <w:rPr>
            <w:noProof/>
            <w:webHidden/>
          </w:rPr>
          <w:fldChar w:fldCharType="separate"/>
        </w:r>
        <w:r w:rsidR="00F50B74">
          <w:rPr>
            <w:noProof/>
            <w:webHidden/>
          </w:rPr>
          <w:t>3470</w:t>
        </w:r>
        <w:r>
          <w:rPr>
            <w:noProof/>
            <w:webHidden/>
          </w:rPr>
          <w:fldChar w:fldCharType="end"/>
        </w:r>
      </w:hyperlink>
    </w:p>
    <w:p w14:paraId="28C8609A" w14:textId="2602CF3F" w:rsidR="00A620DA" w:rsidRDefault="00A620DA" w:rsidP="00A620D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061790" w:history="1">
        <w:r w:rsidRPr="001814F2">
          <w:rPr>
            <w:rStyle w:val="Hyperlink"/>
            <w:noProof/>
          </w:rPr>
          <w:t>Yorke Peninsula Council</w:t>
        </w:r>
        <w:r>
          <w:rPr>
            <w:noProof/>
            <w:webHidden/>
          </w:rPr>
          <w:tab/>
        </w:r>
        <w:r>
          <w:rPr>
            <w:noProof/>
            <w:webHidden/>
          </w:rPr>
          <w:fldChar w:fldCharType="begin"/>
        </w:r>
        <w:r>
          <w:rPr>
            <w:noProof/>
            <w:webHidden/>
          </w:rPr>
          <w:instrText xml:space="preserve"> PAGEREF _Toc206061790 \h </w:instrText>
        </w:r>
        <w:r>
          <w:rPr>
            <w:noProof/>
            <w:webHidden/>
          </w:rPr>
        </w:r>
        <w:r>
          <w:rPr>
            <w:noProof/>
            <w:webHidden/>
          </w:rPr>
          <w:fldChar w:fldCharType="separate"/>
        </w:r>
        <w:r w:rsidR="00F50B74">
          <w:rPr>
            <w:noProof/>
            <w:webHidden/>
          </w:rPr>
          <w:t>3470</w:t>
        </w:r>
        <w:r>
          <w:rPr>
            <w:noProof/>
            <w:webHidden/>
          </w:rPr>
          <w:fldChar w:fldCharType="end"/>
        </w:r>
      </w:hyperlink>
    </w:p>
    <w:p w14:paraId="37E7C170" w14:textId="2A2ECA7D" w:rsidR="001B7138" w:rsidRDefault="00B1073C" w:rsidP="00A620DA">
      <w:pPr>
        <w:spacing w:after="0"/>
        <w:rPr>
          <w:smallCaps/>
          <w:szCs w:val="17"/>
        </w:rPr>
      </w:pPr>
      <w:r w:rsidRPr="00B1073C">
        <w:rPr>
          <w:b/>
          <w:smallCaps/>
          <w:szCs w:val="17"/>
        </w:rPr>
        <w:fldChar w:fldCharType="end"/>
      </w:r>
    </w:p>
    <w:p w14:paraId="50F4A932"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50BD641" w14:textId="77777777" w:rsidR="009D1E2E" w:rsidRPr="0043001F" w:rsidRDefault="009D1E2E" w:rsidP="0043001F">
      <w:pPr>
        <w:pStyle w:val="Heading1"/>
      </w:pPr>
      <w:bookmarkStart w:id="1" w:name="_Toc33707977"/>
      <w:bookmarkStart w:id="2" w:name="_Toc33708148"/>
      <w:bookmarkStart w:id="3" w:name="_Toc206061746"/>
      <w:r w:rsidRPr="0043001F">
        <w:lastRenderedPageBreak/>
        <w:t>Governor’s Instruments</w:t>
      </w:r>
      <w:bookmarkEnd w:id="1"/>
      <w:bookmarkEnd w:id="2"/>
      <w:bookmarkEnd w:id="3"/>
    </w:p>
    <w:p w14:paraId="42275574" w14:textId="77777777" w:rsidR="00694D0A" w:rsidRDefault="0063119A" w:rsidP="0063119A">
      <w:pPr>
        <w:pStyle w:val="Heading2"/>
      </w:pPr>
      <w:bookmarkStart w:id="4" w:name="_Toc206061747"/>
      <w:r w:rsidRPr="0063119A">
        <w:t xml:space="preserve">Appointments, Resignations </w:t>
      </w:r>
      <w:r>
        <w:t>a</w:t>
      </w:r>
      <w:r w:rsidRPr="0063119A">
        <w:t>nd General Matters</w:t>
      </w:r>
      <w:bookmarkEnd w:id="4"/>
    </w:p>
    <w:p w14:paraId="4335FB05" w14:textId="77777777" w:rsidR="00591929" w:rsidRPr="00591929" w:rsidRDefault="00591929" w:rsidP="00591929">
      <w:pPr>
        <w:spacing w:after="0"/>
        <w:jc w:val="right"/>
        <w:rPr>
          <w:szCs w:val="17"/>
        </w:rPr>
      </w:pPr>
      <w:r w:rsidRPr="00591929">
        <w:rPr>
          <w:szCs w:val="17"/>
        </w:rPr>
        <w:t>Department of the Premier and Cabinet</w:t>
      </w:r>
    </w:p>
    <w:p w14:paraId="08EBBBFF" w14:textId="77777777" w:rsidR="00591929" w:rsidRPr="00591929" w:rsidRDefault="00591929" w:rsidP="00591929">
      <w:pPr>
        <w:jc w:val="right"/>
        <w:rPr>
          <w:szCs w:val="17"/>
        </w:rPr>
      </w:pPr>
      <w:r w:rsidRPr="00591929">
        <w:rPr>
          <w:szCs w:val="17"/>
        </w:rPr>
        <w:t>Adelaide, 14 August 2025</w:t>
      </w:r>
    </w:p>
    <w:p w14:paraId="5697DC8F" w14:textId="77777777" w:rsidR="00591929" w:rsidRPr="00591929" w:rsidRDefault="00591929" w:rsidP="00591929">
      <w:pPr>
        <w:rPr>
          <w:rFonts w:eastAsia="Times New Roman"/>
          <w:szCs w:val="17"/>
        </w:rPr>
      </w:pPr>
      <w:r w:rsidRPr="00591929">
        <w:rPr>
          <w:rFonts w:eastAsia="Times New Roman"/>
          <w:szCs w:val="17"/>
        </w:rPr>
        <w:t>Her Excellency the Governor in Executive Council has been pleased to appoint Dr Richard James Dunbar Harris SC OAM as Governor's Deputy of South Australia from 9.30pm on Friday, 15 August 2025 until 3.30pm on Tuesday, 9 September 2025, or, if the Governor has not returned to Adelaide by the specified time and date, until the Governor’s return.</w:t>
      </w:r>
    </w:p>
    <w:p w14:paraId="1AF53943" w14:textId="77777777" w:rsidR="00591929" w:rsidRPr="00591929" w:rsidRDefault="00591929" w:rsidP="00591929">
      <w:pPr>
        <w:jc w:val="center"/>
        <w:rPr>
          <w:rFonts w:eastAsia="Times New Roman"/>
          <w:szCs w:val="17"/>
        </w:rPr>
      </w:pPr>
      <w:r w:rsidRPr="00591929">
        <w:rPr>
          <w:rFonts w:eastAsia="Times New Roman"/>
          <w:szCs w:val="17"/>
        </w:rPr>
        <w:t>By command,</w:t>
      </w:r>
    </w:p>
    <w:p w14:paraId="4CA2749D" w14:textId="77777777" w:rsidR="00591929" w:rsidRPr="00591929" w:rsidRDefault="00591929" w:rsidP="00591929">
      <w:pPr>
        <w:spacing w:after="0"/>
        <w:jc w:val="right"/>
        <w:rPr>
          <w:smallCaps/>
          <w:szCs w:val="17"/>
        </w:rPr>
      </w:pPr>
      <w:r w:rsidRPr="00591929">
        <w:rPr>
          <w:smallCaps/>
          <w:szCs w:val="17"/>
        </w:rPr>
        <w:t>Zoe Lee Bettison, MP</w:t>
      </w:r>
    </w:p>
    <w:p w14:paraId="0F608A7F" w14:textId="77777777" w:rsidR="00591929" w:rsidRPr="00591929" w:rsidRDefault="00591929" w:rsidP="00591929">
      <w:pPr>
        <w:spacing w:after="0"/>
        <w:jc w:val="right"/>
        <w:rPr>
          <w:szCs w:val="17"/>
        </w:rPr>
      </w:pPr>
      <w:r w:rsidRPr="00591929">
        <w:rPr>
          <w:szCs w:val="17"/>
        </w:rPr>
        <w:t>For Premier</w:t>
      </w:r>
    </w:p>
    <w:p w14:paraId="05ADED5A" w14:textId="77777777" w:rsidR="00591929" w:rsidRPr="00591929" w:rsidRDefault="00591929" w:rsidP="00591929">
      <w:pPr>
        <w:pBdr>
          <w:top w:val="single" w:sz="4" w:space="1" w:color="auto"/>
        </w:pBdr>
        <w:spacing w:before="100" w:after="0" w:line="14" w:lineRule="exact"/>
        <w:jc w:val="center"/>
        <w:rPr>
          <w:rFonts w:ascii="Segoe UI Light" w:hAnsi="Segoe UI Light"/>
          <w:sz w:val="22"/>
        </w:rPr>
      </w:pPr>
    </w:p>
    <w:p w14:paraId="7C77468C" w14:textId="77777777" w:rsidR="00591929" w:rsidRPr="00591929" w:rsidRDefault="00591929" w:rsidP="00630B72">
      <w:pPr>
        <w:pStyle w:val="NoSpacing"/>
      </w:pPr>
    </w:p>
    <w:p w14:paraId="06DA5330" w14:textId="77777777" w:rsidR="00591929" w:rsidRPr="00591929" w:rsidRDefault="00591929" w:rsidP="00591929">
      <w:pPr>
        <w:spacing w:after="0"/>
        <w:jc w:val="right"/>
        <w:rPr>
          <w:szCs w:val="17"/>
        </w:rPr>
      </w:pPr>
      <w:r w:rsidRPr="00591929">
        <w:rPr>
          <w:szCs w:val="17"/>
        </w:rPr>
        <w:t>Department of the Premier and Cabinet</w:t>
      </w:r>
    </w:p>
    <w:p w14:paraId="00B60254" w14:textId="77777777" w:rsidR="00591929" w:rsidRPr="00591929" w:rsidRDefault="00591929" w:rsidP="00591929">
      <w:pPr>
        <w:jc w:val="right"/>
        <w:rPr>
          <w:szCs w:val="17"/>
        </w:rPr>
      </w:pPr>
      <w:r w:rsidRPr="00591929">
        <w:rPr>
          <w:szCs w:val="17"/>
        </w:rPr>
        <w:t>Adelaide, 14 August 2025</w:t>
      </w:r>
    </w:p>
    <w:p w14:paraId="6183F23B" w14:textId="77777777" w:rsidR="00591929" w:rsidRPr="00591929" w:rsidRDefault="00591929" w:rsidP="00591929">
      <w:pPr>
        <w:rPr>
          <w:rFonts w:eastAsia="Times New Roman"/>
          <w:szCs w:val="17"/>
        </w:rPr>
      </w:pPr>
      <w:r w:rsidRPr="00591929">
        <w:rPr>
          <w:rFonts w:eastAsia="Times New Roman"/>
          <w:szCs w:val="17"/>
        </w:rPr>
        <w:t>Her Excellency the Governor in Executive Council has been pleased to appoint Wayne Andrew Harlock as the Acting Deputy Electoral Commissioner for a term commencing on 18 August 2025 and expiring on 17 August 2026 or upon the appointment of a new Deputy Electoral Commissioner, whichever is earlier - pursuant to section 6(2) of the Electoral Act 1985.</w:t>
      </w:r>
    </w:p>
    <w:p w14:paraId="1DF0B799" w14:textId="77777777" w:rsidR="00591929" w:rsidRPr="00591929" w:rsidRDefault="00591929" w:rsidP="00591929">
      <w:pPr>
        <w:jc w:val="center"/>
        <w:rPr>
          <w:rFonts w:eastAsia="Times New Roman"/>
          <w:szCs w:val="17"/>
        </w:rPr>
      </w:pPr>
      <w:r w:rsidRPr="00591929">
        <w:rPr>
          <w:rFonts w:eastAsia="Times New Roman"/>
          <w:szCs w:val="17"/>
        </w:rPr>
        <w:t>By command,</w:t>
      </w:r>
    </w:p>
    <w:p w14:paraId="36C038AE" w14:textId="77777777" w:rsidR="00591929" w:rsidRPr="00591929" w:rsidRDefault="00591929" w:rsidP="00591929">
      <w:pPr>
        <w:spacing w:after="0"/>
        <w:jc w:val="right"/>
        <w:rPr>
          <w:smallCaps/>
          <w:szCs w:val="17"/>
        </w:rPr>
      </w:pPr>
      <w:r w:rsidRPr="00591929">
        <w:rPr>
          <w:smallCaps/>
          <w:szCs w:val="17"/>
        </w:rPr>
        <w:t>Zoe Lee Bettison, MP</w:t>
      </w:r>
    </w:p>
    <w:p w14:paraId="074B4BB9" w14:textId="77777777" w:rsidR="00591929" w:rsidRPr="00591929" w:rsidRDefault="00591929" w:rsidP="00591929">
      <w:pPr>
        <w:spacing w:after="0"/>
        <w:jc w:val="right"/>
        <w:rPr>
          <w:szCs w:val="17"/>
        </w:rPr>
      </w:pPr>
      <w:r w:rsidRPr="00591929">
        <w:rPr>
          <w:szCs w:val="17"/>
        </w:rPr>
        <w:t>For Premier</w:t>
      </w:r>
    </w:p>
    <w:p w14:paraId="6EA4A9E2" w14:textId="77777777" w:rsidR="00591929" w:rsidRPr="00591929" w:rsidRDefault="00591929" w:rsidP="00591929">
      <w:pPr>
        <w:spacing w:after="0"/>
        <w:jc w:val="left"/>
        <w:rPr>
          <w:szCs w:val="17"/>
        </w:rPr>
      </w:pPr>
      <w:r w:rsidRPr="00591929">
        <w:rPr>
          <w:szCs w:val="17"/>
        </w:rPr>
        <w:t>AGO0148-25CS</w:t>
      </w:r>
    </w:p>
    <w:p w14:paraId="3E162D5A" w14:textId="77777777" w:rsidR="00591929" w:rsidRPr="00591929" w:rsidRDefault="00591929" w:rsidP="00591929">
      <w:pPr>
        <w:pBdr>
          <w:top w:val="single" w:sz="4" w:space="1" w:color="auto"/>
        </w:pBdr>
        <w:spacing w:before="100" w:after="0" w:line="14" w:lineRule="exact"/>
        <w:jc w:val="center"/>
        <w:rPr>
          <w:rFonts w:ascii="Segoe UI Light" w:hAnsi="Segoe UI Light"/>
          <w:sz w:val="22"/>
        </w:rPr>
      </w:pPr>
    </w:p>
    <w:p w14:paraId="73D69F0C" w14:textId="77777777" w:rsidR="00591929" w:rsidRPr="00591929" w:rsidRDefault="00591929" w:rsidP="00630B72">
      <w:pPr>
        <w:pStyle w:val="NoSpacing"/>
      </w:pPr>
    </w:p>
    <w:p w14:paraId="0BA088E6" w14:textId="77777777" w:rsidR="00591929" w:rsidRPr="00591929" w:rsidRDefault="00591929" w:rsidP="00591929">
      <w:pPr>
        <w:spacing w:after="0"/>
        <w:jc w:val="right"/>
        <w:rPr>
          <w:szCs w:val="17"/>
        </w:rPr>
      </w:pPr>
      <w:r w:rsidRPr="00591929">
        <w:rPr>
          <w:szCs w:val="17"/>
        </w:rPr>
        <w:t>Department of the Premier and Cabinet</w:t>
      </w:r>
    </w:p>
    <w:p w14:paraId="28B084A5" w14:textId="77777777" w:rsidR="00591929" w:rsidRPr="00591929" w:rsidRDefault="00591929" w:rsidP="00591929">
      <w:pPr>
        <w:jc w:val="right"/>
        <w:rPr>
          <w:szCs w:val="17"/>
        </w:rPr>
      </w:pPr>
      <w:r w:rsidRPr="00591929">
        <w:rPr>
          <w:szCs w:val="17"/>
        </w:rPr>
        <w:t>Adelaide, 14 August 2025</w:t>
      </w:r>
    </w:p>
    <w:p w14:paraId="16DD8469" w14:textId="77777777" w:rsidR="00591929" w:rsidRPr="00591929" w:rsidRDefault="00591929" w:rsidP="00591929">
      <w:pPr>
        <w:rPr>
          <w:rFonts w:eastAsia="Times New Roman"/>
          <w:szCs w:val="17"/>
        </w:rPr>
      </w:pPr>
      <w:r w:rsidRPr="00591929">
        <w:rPr>
          <w:rFonts w:eastAsia="Times New Roman"/>
          <w:szCs w:val="17"/>
        </w:rPr>
        <w:t>Her Excellency the Governor in Executive Council has been pleased to approve the appointment of Elizabeth Russell as a Trustee of the Da Costa Samaritan Fund Trust, commencing on 14 August 2025 - pursuant to the Da Costa Samaritan Fund (Incorporation of Trustees) Act 1953.</w:t>
      </w:r>
    </w:p>
    <w:p w14:paraId="4B2D7B26" w14:textId="77777777" w:rsidR="00591929" w:rsidRPr="00591929" w:rsidRDefault="00591929" w:rsidP="00591929">
      <w:pPr>
        <w:jc w:val="center"/>
        <w:rPr>
          <w:rFonts w:eastAsia="Times New Roman"/>
          <w:szCs w:val="17"/>
        </w:rPr>
      </w:pPr>
      <w:r w:rsidRPr="00591929">
        <w:rPr>
          <w:rFonts w:eastAsia="Times New Roman"/>
          <w:szCs w:val="17"/>
        </w:rPr>
        <w:t>By command,</w:t>
      </w:r>
    </w:p>
    <w:p w14:paraId="2ADA33D4" w14:textId="77777777" w:rsidR="00591929" w:rsidRPr="00591929" w:rsidRDefault="00591929" w:rsidP="00591929">
      <w:pPr>
        <w:spacing w:after="0"/>
        <w:jc w:val="right"/>
        <w:rPr>
          <w:smallCaps/>
          <w:szCs w:val="17"/>
        </w:rPr>
      </w:pPr>
      <w:r w:rsidRPr="00591929">
        <w:rPr>
          <w:smallCaps/>
          <w:szCs w:val="17"/>
        </w:rPr>
        <w:t>Zoe Lee Bettison, MP</w:t>
      </w:r>
    </w:p>
    <w:p w14:paraId="10030963" w14:textId="77777777" w:rsidR="00591929" w:rsidRPr="00591929" w:rsidRDefault="00591929" w:rsidP="00591929">
      <w:pPr>
        <w:spacing w:after="0"/>
        <w:jc w:val="right"/>
        <w:rPr>
          <w:szCs w:val="17"/>
        </w:rPr>
      </w:pPr>
      <w:r w:rsidRPr="00591929">
        <w:rPr>
          <w:szCs w:val="17"/>
        </w:rPr>
        <w:t>For Premier</w:t>
      </w:r>
    </w:p>
    <w:p w14:paraId="5F8BC55F" w14:textId="77777777" w:rsidR="00591929" w:rsidRPr="00591929" w:rsidRDefault="00591929" w:rsidP="00591929">
      <w:pPr>
        <w:spacing w:after="0"/>
        <w:jc w:val="left"/>
        <w:rPr>
          <w:szCs w:val="17"/>
        </w:rPr>
      </w:pPr>
      <w:r w:rsidRPr="00591929">
        <w:rPr>
          <w:szCs w:val="17"/>
        </w:rPr>
        <w:t>AGO0139-25CS</w:t>
      </w:r>
    </w:p>
    <w:p w14:paraId="101FC660" w14:textId="77777777" w:rsidR="00591929" w:rsidRPr="00591929" w:rsidRDefault="00591929" w:rsidP="00591929">
      <w:pPr>
        <w:pBdr>
          <w:top w:val="single" w:sz="4" w:space="1" w:color="auto"/>
        </w:pBdr>
        <w:spacing w:before="100" w:after="0" w:line="14" w:lineRule="exact"/>
        <w:jc w:val="center"/>
        <w:rPr>
          <w:rFonts w:ascii="Segoe UI Light" w:hAnsi="Segoe UI Light"/>
          <w:sz w:val="22"/>
        </w:rPr>
      </w:pPr>
    </w:p>
    <w:p w14:paraId="2E0A03D4" w14:textId="77777777" w:rsidR="00591929" w:rsidRPr="00591929" w:rsidRDefault="00591929" w:rsidP="00630B72">
      <w:pPr>
        <w:pStyle w:val="NoSpacing"/>
      </w:pPr>
    </w:p>
    <w:p w14:paraId="5141A346" w14:textId="77777777" w:rsidR="00591929" w:rsidRPr="00591929" w:rsidRDefault="00591929" w:rsidP="00591929">
      <w:pPr>
        <w:spacing w:after="0"/>
        <w:jc w:val="right"/>
        <w:rPr>
          <w:szCs w:val="17"/>
        </w:rPr>
      </w:pPr>
      <w:r w:rsidRPr="00591929">
        <w:rPr>
          <w:szCs w:val="17"/>
        </w:rPr>
        <w:t>Department of the Premier and Cabinet</w:t>
      </w:r>
    </w:p>
    <w:p w14:paraId="5E21844D" w14:textId="77777777" w:rsidR="00591929" w:rsidRPr="00591929" w:rsidRDefault="00591929" w:rsidP="00591929">
      <w:pPr>
        <w:jc w:val="right"/>
        <w:rPr>
          <w:szCs w:val="17"/>
        </w:rPr>
      </w:pPr>
      <w:r w:rsidRPr="00591929">
        <w:rPr>
          <w:szCs w:val="17"/>
        </w:rPr>
        <w:t>Adelaide, 14 August 2025</w:t>
      </w:r>
    </w:p>
    <w:p w14:paraId="46DD6FF0" w14:textId="1694B4C2" w:rsidR="00591929" w:rsidRPr="00591929" w:rsidRDefault="00591929" w:rsidP="00591929">
      <w:pPr>
        <w:rPr>
          <w:rFonts w:eastAsia="Times New Roman"/>
          <w:szCs w:val="17"/>
        </w:rPr>
      </w:pPr>
      <w:r w:rsidRPr="00591929">
        <w:rPr>
          <w:rFonts w:eastAsia="Times New Roman"/>
          <w:szCs w:val="17"/>
        </w:rPr>
        <w:t>Her Excellency the Governor in Executive Council has determine</w:t>
      </w:r>
      <w:r w:rsidR="00AB5D59">
        <w:rPr>
          <w:rFonts w:eastAsia="Times New Roman"/>
          <w:szCs w:val="17"/>
        </w:rPr>
        <w:t>d</w:t>
      </w:r>
      <w:r w:rsidRPr="00591929">
        <w:rPr>
          <w:rFonts w:eastAsia="Times New Roman"/>
          <w:szCs w:val="17"/>
        </w:rPr>
        <w:t xml:space="preserve"> that eligible members of the South Australian Government Financing Advisory Board, being those members who are eligible for remuneration according to the terms of Premier and Cabinet Circular PC016, are entitled to remuneration, effective from 14 August 2025 - pursuant to the Government Financing Authority Act 1982.</w:t>
      </w:r>
    </w:p>
    <w:p w14:paraId="381C2E98" w14:textId="77777777" w:rsidR="00591929" w:rsidRPr="00591929" w:rsidRDefault="00591929" w:rsidP="00591929">
      <w:pPr>
        <w:jc w:val="center"/>
        <w:rPr>
          <w:rFonts w:eastAsia="Times New Roman"/>
          <w:szCs w:val="17"/>
        </w:rPr>
      </w:pPr>
      <w:r w:rsidRPr="00591929">
        <w:rPr>
          <w:rFonts w:eastAsia="Times New Roman"/>
          <w:szCs w:val="17"/>
        </w:rPr>
        <w:t>By command,</w:t>
      </w:r>
    </w:p>
    <w:p w14:paraId="2C343FFB" w14:textId="77777777" w:rsidR="00591929" w:rsidRPr="00591929" w:rsidRDefault="00591929" w:rsidP="00591929">
      <w:pPr>
        <w:spacing w:after="0"/>
        <w:jc w:val="right"/>
        <w:rPr>
          <w:smallCaps/>
          <w:szCs w:val="17"/>
        </w:rPr>
      </w:pPr>
      <w:r w:rsidRPr="00591929">
        <w:rPr>
          <w:smallCaps/>
          <w:szCs w:val="17"/>
        </w:rPr>
        <w:t>Zoe Lee Bettison, MP</w:t>
      </w:r>
    </w:p>
    <w:p w14:paraId="6B8753F3" w14:textId="77777777" w:rsidR="00591929" w:rsidRPr="00591929" w:rsidRDefault="00591929" w:rsidP="00591929">
      <w:pPr>
        <w:spacing w:after="0"/>
        <w:jc w:val="right"/>
        <w:rPr>
          <w:szCs w:val="17"/>
        </w:rPr>
      </w:pPr>
      <w:r w:rsidRPr="00591929">
        <w:rPr>
          <w:szCs w:val="17"/>
        </w:rPr>
        <w:t>For Premier</w:t>
      </w:r>
    </w:p>
    <w:p w14:paraId="41AC9454" w14:textId="77777777" w:rsidR="00591929" w:rsidRDefault="00591929" w:rsidP="00591929">
      <w:pPr>
        <w:spacing w:after="0"/>
        <w:jc w:val="left"/>
        <w:rPr>
          <w:szCs w:val="17"/>
        </w:rPr>
      </w:pPr>
      <w:r w:rsidRPr="00591929">
        <w:rPr>
          <w:szCs w:val="17"/>
        </w:rPr>
        <w:t>T&amp;F25/062CS</w:t>
      </w:r>
    </w:p>
    <w:p w14:paraId="386E387B" w14:textId="77777777" w:rsidR="00591929" w:rsidRDefault="00591929" w:rsidP="00591929">
      <w:pPr>
        <w:pBdr>
          <w:bottom w:val="single" w:sz="4" w:space="1" w:color="auto"/>
        </w:pBdr>
        <w:spacing w:after="0" w:line="52" w:lineRule="exact"/>
        <w:jc w:val="center"/>
        <w:rPr>
          <w:szCs w:val="17"/>
        </w:rPr>
      </w:pPr>
    </w:p>
    <w:p w14:paraId="0CE56AD3" w14:textId="77777777" w:rsidR="00591929" w:rsidRDefault="00591929" w:rsidP="00591929">
      <w:pPr>
        <w:pBdr>
          <w:top w:val="single" w:sz="4" w:space="1" w:color="auto"/>
        </w:pBdr>
        <w:spacing w:before="34" w:after="0" w:line="14" w:lineRule="exact"/>
        <w:jc w:val="center"/>
        <w:rPr>
          <w:szCs w:val="17"/>
        </w:rPr>
      </w:pPr>
    </w:p>
    <w:p w14:paraId="565948F3" w14:textId="77777777" w:rsidR="00CC53FA" w:rsidRDefault="00CC53FA">
      <w:pPr>
        <w:spacing w:after="0" w:line="240" w:lineRule="auto"/>
        <w:jc w:val="left"/>
        <w:rPr>
          <w:rFonts w:eastAsia="Times New Roman"/>
          <w:szCs w:val="17"/>
          <w:lang w:val="en-US"/>
        </w:rPr>
      </w:pPr>
      <w:r>
        <w:rPr>
          <w:lang w:val="en-US"/>
        </w:rPr>
        <w:br w:type="page"/>
      </w:r>
    </w:p>
    <w:p w14:paraId="3A5086F1" w14:textId="77777777" w:rsidR="00694D0A" w:rsidRDefault="00694D0A" w:rsidP="005335F1">
      <w:pPr>
        <w:pStyle w:val="Heading2"/>
      </w:pPr>
      <w:bookmarkStart w:id="5" w:name="_Toc33707979"/>
      <w:bookmarkStart w:id="6" w:name="_Toc33708150"/>
      <w:bookmarkStart w:id="7" w:name="_Toc206061748"/>
      <w:r>
        <w:lastRenderedPageBreak/>
        <w:t>Proclamations</w:t>
      </w:r>
      <w:bookmarkEnd w:id="5"/>
      <w:bookmarkEnd w:id="6"/>
      <w:bookmarkEnd w:id="7"/>
    </w:p>
    <w:p w14:paraId="391B1B84" w14:textId="77777777" w:rsidR="002A1B4A" w:rsidRPr="002A1B4A" w:rsidRDefault="002A1B4A" w:rsidP="002A1B4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A1B4A">
        <w:rPr>
          <w:rFonts w:eastAsia="Times New Roman"/>
          <w:color w:val="000000"/>
          <w:sz w:val="28"/>
          <w:szCs w:val="28"/>
          <w:lang w:eastAsia="en-AU"/>
          <w14:ligatures w14:val="standardContextual"/>
        </w:rPr>
        <w:t>South Australia</w:t>
      </w:r>
    </w:p>
    <w:p w14:paraId="5FFB76C9" w14:textId="77777777" w:rsidR="002A1B4A" w:rsidRPr="002A1B4A" w:rsidRDefault="002A1B4A" w:rsidP="00E34B09">
      <w:pPr>
        <w:pStyle w:val="Heading3"/>
        <w:rPr>
          <w:lang w:eastAsia="en-AU"/>
        </w:rPr>
      </w:pPr>
      <w:bookmarkStart w:id="8" w:name="_Toc206061749"/>
      <w:r w:rsidRPr="002A1B4A">
        <w:rPr>
          <w:lang w:eastAsia="en-AU"/>
        </w:rPr>
        <w:t>Retirement Villages (Miscellaneous) Amendment Act (Commencement) Proclamation 2025</w:t>
      </w:r>
      <w:bookmarkEnd w:id="8"/>
    </w:p>
    <w:p w14:paraId="4D08E312" w14:textId="77777777" w:rsidR="002A1B4A" w:rsidRPr="002A1B4A" w:rsidRDefault="002A1B4A" w:rsidP="002A1B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1B4A">
        <w:rPr>
          <w:rFonts w:eastAsia="Times New Roman"/>
          <w:b/>
          <w:bCs/>
          <w:color w:val="000000"/>
          <w:sz w:val="26"/>
          <w:szCs w:val="26"/>
          <w:lang w:eastAsia="en-AU"/>
          <w14:ligatures w14:val="standardContextual"/>
        </w:rPr>
        <w:t>1—Short title</w:t>
      </w:r>
    </w:p>
    <w:p w14:paraId="68FC1283" w14:textId="77777777" w:rsidR="002A1B4A" w:rsidRPr="002A1B4A" w:rsidRDefault="002A1B4A" w:rsidP="002A1B4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1B4A">
        <w:rPr>
          <w:rFonts w:eastAsia="Times New Roman"/>
          <w:color w:val="000000"/>
          <w:sz w:val="23"/>
          <w:szCs w:val="23"/>
          <w:lang w:eastAsia="en-AU"/>
          <w14:ligatures w14:val="standardContextual"/>
        </w:rPr>
        <w:t xml:space="preserve">This proclamation may be cited as the </w:t>
      </w:r>
      <w:r w:rsidRPr="002A1B4A">
        <w:rPr>
          <w:rFonts w:eastAsia="Times New Roman"/>
          <w:i/>
          <w:iCs/>
          <w:color w:val="000000"/>
          <w:sz w:val="23"/>
          <w:szCs w:val="23"/>
          <w:lang w:eastAsia="en-AU"/>
          <w14:ligatures w14:val="standardContextual"/>
        </w:rPr>
        <w:t>Retirement Villages (Miscellaneous) Amendment Act (Commencement) Proclamation 2025</w:t>
      </w:r>
      <w:r w:rsidRPr="002A1B4A">
        <w:rPr>
          <w:rFonts w:eastAsia="Times New Roman"/>
          <w:color w:val="000000"/>
          <w:sz w:val="23"/>
          <w:szCs w:val="23"/>
          <w:lang w:eastAsia="en-AU"/>
          <w14:ligatures w14:val="standardContextual"/>
        </w:rPr>
        <w:t>.</w:t>
      </w:r>
    </w:p>
    <w:p w14:paraId="295F17CA" w14:textId="77777777" w:rsidR="002A1B4A" w:rsidRPr="002A1B4A" w:rsidRDefault="002A1B4A" w:rsidP="002A1B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1B4A">
        <w:rPr>
          <w:rFonts w:eastAsia="Times New Roman"/>
          <w:b/>
          <w:bCs/>
          <w:color w:val="000000"/>
          <w:sz w:val="26"/>
          <w:szCs w:val="26"/>
          <w:lang w:eastAsia="en-AU"/>
          <w14:ligatures w14:val="standardContextual"/>
        </w:rPr>
        <w:t>2—Commencement of Act</w:t>
      </w:r>
    </w:p>
    <w:p w14:paraId="40205EF3" w14:textId="77777777" w:rsidR="002A1B4A" w:rsidRPr="002A1B4A" w:rsidRDefault="002A1B4A" w:rsidP="002A1B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1B4A">
        <w:rPr>
          <w:rFonts w:eastAsia="Times New Roman"/>
          <w:color w:val="000000"/>
          <w:sz w:val="23"/>
          <w:szCs w:val="23"/>
          <w:lang w:eastAsia="en-AU"/>
          <w14:ligatures w14:val="standardContextual"/>
        </w:rPr>
        <w:tab/>
        <w:t>(1)</w:t>
      </w:r>
      <w:r w:rsidRPr="002A1B4A">
        <w:rPr>
          <w:rFonts w:eastAsia="Times New Roman"/>
          <w:color w:val="000000"/>
          <w:sz w:val="23"/>
          <w:szCs w:val="23"/>
          <w:lang w:eastAsia="en-AU"/>
          <w14:ligatures w14:val="standardContextual"/>
        </w:rPr>
        <w:tab/>
        <w:t xml:space="preserve">Subject to </w:t>
      </w:r>
      <w:hyperlink w:anchor="idc0e409df_9463_47ce_86e0_7c5c8712c0" w:history="1">
        <w:r w:rsidRPr="002A1B4A">
          <w:rPr>
            <w:rFonts w:eastAsia="Times New Roman"/>
            <w:color w:val="000000"/>
            <w:sz w:val="23"/>
            <w:szCs w:val="23"/>
            <w:lang w:eastAsia="en-AU"/>
            <w14:ligatures w14:val="standardContextual"/>
          </w:rPr>
          <w:t>subclause (2)</w:t>
        </w:r>
      </w:hyperlink>
      <w:r w:rsidRPr="002A1B4A">
        <w:rPr>
          <w:rFonts w:eastAsia="Times New Roman"/>
          <w:color w:val="000000"/>
          <w:sz w:val="23"/>
          <w:szCs w:val="23"/>
          <w:lang w:eastAsia="en-AU"/>
          <w14:ligatures w14:val="standardContextual"/>
        </w:rPr>
        <w:t xml:space="preserve">, the </w:t>
      </w:r>
      <w:hyperlink r:id="rId17" w:history="1">
        <w:r w:rsidRPr="002A1B4A">
          <w:rPr>
            <w:rFonts w:eastAsia="Times New Roman"/>
            <w:i/>
            <w:iCs/>
            <w:color w:val="000000"/>
            <w:sz w:val="23"/>
            <w:szCs w:val="23"/>
            <w:lang w:eastAsia="en-AU"/>
            <w14:ligatures w14:val="standardContextual"/>
          </w:rPr>
          <w:t>Retirement Villages (Miscellaneous) Amendment Act 2024</w:t>
        </w:r>
      </w:hyperlink>
      <w:r w:rsidRPr="002A1B4A">
        <w:rPr>
          <w:rFonts w:eastAsia="Times New Roman"/>
          <w:color w:val="000000"/>
          <w:sz w:val="23"/>
          <w:szCs w:val="23"/>
          <w:lang w:eastAsia="en-AU"/>
          <w14:ligatures w14:val="standardContextual"/>
        </w:rPr>
        <w:t xml:space="preserve"> (No 57 of 2024) comes into operation on 2 February 2026.</w:t>
      </w:r>
    </w:p>
    <w:p w14:paraId="34E75D74" w14:textId="77777777" w:rsidR="002A1B4A" w:rsidRPr="002A1B4A" w:rsidRDefault="002A1B4A" w:rsidP="002A1B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 w:name="idc0e409df_9463_47ce_86e0_7c5c8712c0"/>
      <w:r w:rsidRPr="002A1B4A">
        <w:rPr>
          <w:rFonts w:eastAsia="Times New Roman"/>
          <w:color w:val="000000"/>
          <w:sz w:val="23"/>
          <w:szCs w:val="23"/>
          <w:lang w:eastAsia="en-AU"/>
          <w14:ligatures w14:val="standardContextual"/>
        </w:rPr>
        <w:tab/>
        <w:t>(2)</w:t>
      </w:r>
      <w:r w:rsidRPr="002A1B4A">
        <w:rPr>
          <w:rFonts w:eastAsia="Times New Roman"/>
          <w:color w:val="000000"/>
          <w:sz w:val="23"/>
          <w:szCs w:val="23"/>
          <w:lang w:eastAsia="en-AU"/>
          <w14:ligatures w14:val="standardContextual"/>
        </w:rPr>
        <w:tab/>
        <w:t>Section 43(3) of the Act comes into operation on 5 December 2026.</w:t>
      </w:r>
      <w:bookmarkEnd w:id="9"/>
    </w:p>
    <w:p w14:paraId="2AF9086E" w14:textId="77777777" w:rsidR="002A1B4A" w:rsidRPr="002A1B4A" w:rsidRDefault="002A1B4A" w:rsidP="002A1B4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A1B4A">
        <w:rPr>
          <w:rFonts w:eastAsia="Times New Roman"/>
          <w:b/>
          <w:bCs/>
          <w:color w:val="000000"/>
          <w:sz w:val="26"/>
          <w:szCs w:val="26"/>
          <w:lang w:eastAsia="en-AU"/>
          <w14:ligatures w14:val="standardContextual"/>
        </w:rPr>
        <w:t>Made by the Governor</w:t>
      </w:r>
    </w:p>
    <w:p w14:paraId="2EC51CE8" w14:textId="77777777" w:rsidR="002A1B4A" w:rsidRPr="002A1B4A" w:rsidRDefault="002A1B4A" w:rsidP="002A1B4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A1B4A">
        <w:rPr>
          <w:rFonts w:eastAsia="Times New Roman"/>
          <w:color w:val="000000"/>
          <w:sz w:val="23"/>
          <w:szCs w:val="23"/>
          <w:lang w:eastAsia="en-AU"/>
          <w14:ligatures w14:val="standardContextual"/>
        </w:rPr>
        <w:t>with the advice and consent of the Executive Council</w:t>
      </w:r>
    </w:p>
    <w:p w14:paraId="5AF2CBEB" w14:textId="77777777" w:rsidR="002A1B4A" w:rsidRPr="002A1B4A" w:rsidRDefault="002A1B4A" w:rsidP="002A1B4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A1B4A">
        <w:rPr>
          <w:rFonts w:eastAsia="Times New Roman"/>
          <w:color w:val="000000"/>
          <w:sz w:val="23"/>
          <w:szCs w:val="23"/>
          <w:lang w:eastAsia="en-AU"/>
          <w14:ligatures w14:val="standardContextual"/>
        </w:rPr>
        <w:t>on 14 August 2025</w:t>
      </w:r>
    </w:p>
    <w:p w14:paraId="3E559E46" w14:textId="77777777" w:rsidR="00694D0A" w:rsidRDefault="00694D0A" w:rsidP="005335F1">
      <w:pPr>
        <w:pStyle w:val="GG-body"/>
        <w:rPr>
          <w:lang w:val="en-US"/>
        </w:rPr>
      </w:pPr>
    </w:p>
    <w:p w14:paraId="6CCA617F" w14:textId="77777777" w:rsidR="00761B6D" w:rsidRDefault="00761B6D" w:rsidP="005335F1">
      <w:pPr>
        <w:pStyle w:val="GG-body"/>
        <w:rPr>
          <w:lang w:val="en-US"/>
        </w:rPr>
      </w:pPr>
    </w:p>
    <w:p w14:paraId="67A15838" w14:textId="77777777" w:rsidR="00761B6D" w:rsidRDefault="00761B6D" w:rsidP="005335F1">
      <w:pPr>
        <w:pStyle w:val="GG-body"/>
        <w:rPr>
          <w:lang w:val="en-US"/>
        </w:rPr>
      </w:pPr>
    </w:p>
    <w:p w14:paraId="426258A9" w14:textId="77777777" w:rsidR="00761B6D" w:rsidRDefault="00761B6D" w:rsidP="005335F1">
      <w:pPr>
        <w:pStyle w:val="GG-body"/>
        <w:rPr>
          <w:lang w:val="en-US"/>
        </w:rPr>
      </w:pPr>
    </w:p>
    <w:p w14:paraId="061D59A1" w14:textId="77777777" w:rsidR="00761B6D" w:rsidRPr="00761B6D" w:rsidRDefault="00761B6D" w:rsidP="00761B6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61B6D">
        <w:rPr>
          <w:rFonts w:eastAsia="Times New Roman"/>
          <w:color w:val="000000"/>
          <w:sz w:val="28"/>
          <w:szCs w:val="28"/>
          <w:lang w:eastAsia="en-AU"/>
          <w14:ligatures w14:val="standardContextual"/>
        </w:rPr>
        <w:t>South Australia</w:t>
      </w:r>
    </w:p>
    <w:p w14:paraId="2F042FB5" w14:textId="77777777" w:rsidR="00761B6D" w:rsidRPr="00761B6D" w:rsidRDefault="00761B6D" w:rsidP="00E34B09">
      <w:pPr>
        <w:pStyle w:val="Heading3"/>
        <w:rPr>
          <w:lang w:eastAsia="en-AU"/>
        </w:rPr>
      </w:pPr>
      <w:bookmarkStart w:id="10" w:name="_Toc206061750"/>
      <w:r w:rsidRPr="00761B6D">
        <w:rPr>
          <w:lang w:eastAsia="en-AU"/>
        </w:rPr>
        <w:t>Disability Inclusion (Review Recommendations) Amendment Act (Commencement) Proclamation 2025</w:t>
      </w:r>
      <w:bookmarkEnd w:id="10"/>
    </w:p>
    <w:p w14:paraId="4EA711C3" w14:textId="77777777" w:rsidR="00761B6D" w:rsidRPr="00761B6D" w:rsidRDefault="00761B6D" w:rsidP="00761B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6D">
        <w:rPr>
          <w:rFonts w:eastAsia="Times New Roman"/>
          <w:b/>
          <w:bCs/>
          <w:color w:val="000000"/>
          <w:sz w:val="26"/>
          <w:szCs w:val="26"/>
          <w:lang w:eastAsia="en-AU"/>
          <w14:ligatures w14:val="standardContextual"/>
        </w:rPr>
        <w:t>1—Short title</w:t>
      </w:r>
    </w:p>
    <w:p w14:paraId="7A614BF7" w14:textId="77777777" w:rsidR="00761B6D" w:rsidRPr="00761B6D" w:rsidRDefault="00761B6D" w:rsidP="00761B6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6D">
        <w:rPr>
          <w:rFonts w:eastAsia="Times New Roman"/>
          <w:color w:val="000000"/>
          <w:sz w:val="23"/>
          <w:szCs w:val="23"/>
          <w:lang w:eastAsia="en-AU"/>
          <w14:ligatures w14:val="standardContextual"/>
        </w:rPr>
        <w:t xml:space="preserve">This proclamation may be cited as the </w:t>
      </w:r>
      <w:r w:rsidRPr="00761B6D">
        <w:rPr>
          <w:rFonts w:eastAsia="Times New Roman"/>
          <w:i/>
          <w:iCs/>
          <w:color w:val="000000"/>
          <w:sz w:val="23"/>
          <w:szCs w:val="23"/>
          <w:lang w:eastAsia="en-AU"/>
          <w14:ligatures w14:val="standardContextual"/>
        </w:rPr>
        <w:t>Disability Inclusion (Review Recommendations) Amendment Act (Commencement) Proclamation 2025</w:t>
      </w:r>
      <w:r w:rsidRPr="00761B6D">
        <w:rPr>
          <w:rFonts w:eastAsia="Times New Roman"/>
          <w:color w:val="000000"/>
          <w:sz w:val="23"/>
          <w:szCs w:val="23"/>
          <w:lang w:eastAsia="en-AU"/>
          <w14:ligatures w14:val="standardContextual"/>
        </w:rPr>
        <w:t>.</w:t>
      </w:r>
    </w:p>
    <w:p w14:paraId="01AC32AD" w14:textId="77777777" w:rsidR="00761B6D" w:rsidRPr="00761B6D" w:rsidRDefault="00761B6D" w:rsidP="00761B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6D">
        <w:rPr>
          <w:rFonts w:eastAsia="Times New Roman"/>
          <w:b/>
          <w:bCs/>
          <w:color w:val="000000"/>
          <w:sz w:val="26"/>
          <w:szCs w:val="26"/>
          <w:lang w:eastAsia="en-AU"/>
          <w14:ligatures w14:val="standardContextual"/>
        </w:rPr>
        <w:t>2—Commencement of Act</w:t>
      </w:r>
    </w:p>
    <w:p w14:paraId="4620D8B6" w14:textId="77777777" w:rsidR="00761B6D" w:rsidRPr="00761B6D" w:rsidRDefault="00761B6D" w:rsidP="00761B6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6D">
        <w:rPr>
          <w:rFonts w:eastAsia="Times New Roman"/>
          <w:color w:val="000000"/>
          <w:sz w:val="23"/>
          <w:szCs w:val="23"/>
          <w:lang w:eastAsia="en-AU"/>
          <w14:ligatures w14:val="standardContextual"/>
        </w:rPr>
        <w:t xml:space="preserve">The </w:t>
      </w:r>
      <w:hyperlink r:id="rId18" w:history="1">
        <w:r w:rsidRPr="00761B6D">
          <w:rPr>
            <w:rFonts w:eastAsia="Times New Roman"/>
            <w:i/>
            <w:iCs/>
            <w:color w:val="000000"/>
            <w:sz w:val="23"/>
            <w:szCs w:val="23"/>
            <w:lang w:eastAsia="en-AU"/>
            <w14:ligatures w14:val="standardContextual"/>
          </w:rPr>
          <w:t>Disability Inclusion (Review Recommendations) Amendment Act 2024</w:t>
        </w:r>
      </w:hyperlink>
      <w:r w:rsidRPr="00761B6D">
        <w:rPr>
          <w:rFonts w:eastAsia="Times New Roman"/>
          <w:color w:val="000000"/>
          <w:sz w:val="23"/>
          <w:szCs w:val="23"/>
          <w:lang w:eastAsia="en-AU"/>
          <w14:ligatures w14:val="standardContextual"/>
        </w:rPr>
        <w:t xml:space="preserve"> (No 22 of 2024) comes into operation on 19 August 2025.</w:t>
      </w:r>
    </w:p>
    <w:p w14:paraId="75268AFE" w14:textId="77777777" w:rsidR="00761B6D" w:rsidRPr="00761B6D" w:rsidRDefault="00761B6D" w:rsidP="00761B6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61B6D">
        <w:rPr>
          <w:rFonts w:eastAsia="Times New Roman"/>
          <w:b/>
          <w:bCs/>
          <w:color w:val="000000"/>
          <w:sz w:val="26"/>
          <w:szCs w:val="26"/>
          <w:lang w:eastAsia="en-AU"/>
          <w14:ligatures w14:val="standardContextual"/>
        </w:rPr>
        <w:t>Made by the Governor</w:t>
      </w:r>
    </w:p>
    <w:p w14:paraId="62AF310D" w14:textId="77777777" w:rsidR="00761B6D" w:rsidRPr="00761B6D" w:rsidRDefault="00761B6D" w:rsidP="00761B6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61B6D">
        <w:rPr>
          <w:rFonts w:eastAsia="Times New Roman"/>
          <w:color w:val="000000"/>
          <w:sz w:val="23"/>
          <w:szCs w:val="23"/>
          <w:lang w:eastAsia="en-AU"/>
          <w14:ligatures w14:val="standardContextual"/>
        </w:rPr>
        <w:t>with the advice and consent of the Executive Council</w:t>
      </w:r>
    </w:p>
    <w:p w14:paraId="75F9A672" w14:textId="77777777" w:rsidR="00761B6D" w:rsidRPr="00761B6D" w:rsidRDefault="00761B6D" w:rsidP="00761B6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61B6D">
        <w:rPr>
          <w:rFonts w:eastAsia="Times New Roman"/>
          <w:color w:val="000000"/>
          <w:sz w:val="23"/>
          <w:szCs w:val="23"/>
          <w:lang w:eastAsia="en-AU"/>
          <w14:ligatures w14:val="standardContextual"/>
        </w:rPr>
        <w:t>on 14 August 2025</w:t>
      </w:r>
    </w:p>
    <w:p w14:paraId="055E1A23" w14:textId="77777777" w:rsidR="00761B6D" w:rsidRDefault="00761B6D" w:rsidP="005335F1">
      <w:pPr>
        <w:pStyle w:val="GG-body"/>
        <w:rPr>
          <w:lang w:val="en-US"/>
        </w:rPr>
      </w:pPr>
    </w:p>
    <w:p w14:paraId="75A5AB48" w14:textId="77777777" w:rsidR="005E631C" w:rsidRDefault="005E631C">
      <w:pPr>
        <w:spacing w:after="0" w:line="240" w:lineRule="auto"/>
        <w:jc w:val="left"/>
        <w:rPr>
          <w:rFonts w:eastAsia="Times New Roman"/>
          <w:szCs w:val="17"/>
          <w:lang w:val="en-US"/>
        </w:rPr>
      </w:pPr>
      <w:r>
        <w:rPr>
          <w:lang w:val="en-US"/>
        </w:rPr>
        <w:br w:type="page"/>
      </w:r>
    </w:p>
    <w:p w14:paraId="6FA8F0C6" w14:textId="77777777" w:rsidR="00694D0A" w:rsidRDefault="00694D0A" w:rsidP="005335F1">
      <w:pPr>
        <w:pStyle w:val="Heading2"/>
      </w:pPr>
      <w:bookmarkStart w:id="11" w:name="_Toc33707980"/>
      <w:bookmarkStart w:id="12" w:name="_Toc33708151"/>
      <w:bookmarkStart w:id="13" w:name="_Toc206061751"/>
      <w:r>
        <w:lastRenderedPageBreak/>
        <w:t>Regulations</w:t>
      </w:r>
      <w:bookmarkEnd w:id="11"/>
      <w:bookmarkEnd w:id="12"/>
      <w:bookmarkEnd w:id="13"/>
    </w:p>
    <w:p w14:paraId="31AF5CDC" w14:textId="77777777" w:rsidR="001227CF" w:rsidRPr="001227CF" w:rsidRDefault="001227CF" w:rsidP="001227C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227CF">
        <w:rPr>
          <w:rFonts w:eastAsia="Times New Roman"/>
          <w:color w:val="000000"/>
          <w:sz w:val="28"/>
          <w:szCs w:val="28"/>
          <w:lang w:eastAsia="en-AU"/>
          <w14:ligatures w14:val="standardContextual"/>
        </w:rPr>
        <w:t>South Australia</w:t>
      </w:r>
    </w:p>
    <w:p w14:paraId="2F8A36DE" w14:textId="77777777" w:rsidR="001227CF" w:rsidRPr="001227CF" w:rsidRDefault="001227CF" w:rsidP="00E34B09">
      <w:pPr>
        <w:pStyle w:val="Heading3"/>
        <w:rPr>
          <w:lang w:eastAsia="en-AU"/>
        </w:rPr>
      </w:pPr>
      <w:bookmarkStart w:id="14" w:name="_Toc206061752"/>
      <w:r w:rsidRPr="001227CF">
        <w:rPr>
          <w:lang w:eastAsia="en-AU"/>
        </w:rPr>
        <w:t>Public Sector (Honesty and Accountability) Regulations 2025</w:t>
      </w:r>
      <w:bookmarkEnd w:id="14"/>
    </w:p>
    <w:p w14:paraId="6467BF68" w14:textId="77777777" w:rsidR="001227CF" w:rsidRPr="001227CF" w:rsidRDefault="001227CF" w:rsidP="001227C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227CF">
        <w:rPr>
          <w:rFonts w:eastAsia="Times New Roman"/>
          <w:color w:val="000000"/>
          <w:sz w:val="24"/>
          <w:szCs w:val="24"/>
          <w:lang w:eastAsia="en-AU"/>
          <w14:ligatures w14:val="standardContextual"/>
        </w:rPr>
        <w:t xml:space="preserve">under the </w:t>
      </w:r>
      <w:r w:rsidRPr="001227CF">
        <w:rPr>
          <w:rFonts w:eastAsia="Times New Roman"/>
          <w:i/>
          <w:iCs/>
          <w:color w:val="000000"/>
          <w:sz w:val="24"/>
          <w:szCs w:val="24"/>
          <w:lang w:eastAsia="en-AU"/>
          <w14:ligatures w14:val="standardContextual"/>
        </w:rPr>
        <w:t>Public Sector (Honesty and Accountability) Act 1995</w:t>
      </w:r>
    </w:p>
    <w:p w14:paraId="7B26F409" w14:textId="77777777" w:rsidR="001227CF" w:rsidRPr="001227CF" w:rsidRDefault="001227CF" w:rsidP="001227C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06CF5C2" w14:textId="77777777" w:rsidR="001227CF" w:rsidRPr="001227CF" w:rsidRDefault="001227CF" w:rsidP="001227CF">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1227CF">
        <w:rPr>
          <w:rFonts w:eastAsia="Times New Roman"/>
          <w:b/>
          <w:bCs/>
          <w:color w:val="000000"/>
          <w:sz w:val="32"/>
          <w:szCs w:val="32"/>
          <w:lang w:eastAsia="en-AU"/>
          <w14:ligatures w14:val="standardContextual"/>
        </w:rPr>
        <w:t>Contents</w:t>
      </w:r>
    </w:p>
    <w:p w14:paraId="0F1CC9F4" w14:textId="77777777" w:rsidR="001227CF" w:rsidRPr="001227CF" w:rsidRDefault="001227CF" w:rsidP="001227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1227CF">
          <w:rPr>
            <w:rFonts w:eastAsia="Times New Roman"/>
            <w:color w:val="000000"/>
            <w:sz w:val="22"/>
            <w:lang w:eastAsia="en-AU"/>
            <w14:ligatures w14:val="standardContextual"/>
          </w:rPr>
          <w:t>1</w:t>
        </w:r>
        <w:r w:rsidRPr="001227CF">
          <w:rPr>
            <w:rFonts w:eastAsia="Times New Roman"/>
            <w:color w:val="000000"/>
            <w:sz w:val="22"/>
            <w:lang w:eastAsia="en-AU"/>
            <w14:ligatures w14:val="standardContextual"/>
          </w:rPr>
          <w:tab/>
          <w:t>Short title</w:t>
        </w:r>
      </w:hyperlink>
    </w:p>
    <w:p w14:paraId="5E7C4B23" w14:textId="77777777" w:rsidR="001227CF" w:rsidRPr="001227CF" w:rsidRDefault="001227CF" w:rsidP="001227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1227CF">
          <w:rPr>
            <w:rFonts w:eastAsia="Times New Roman"/>
            <w:color w:val="000000"/>
            <w:sz w:val="22"/>
            <w:lang w:eastAsia="en-AU"/>
            <w14:ligatures w14:val="standardContextual"/>
          </w:rPr>
          <w:t>2</w:t>
        </w:r>
        <w:r w:rsidRPr="001227CF">
          <w:rPr>
            <w:rFonts w:eastAsia="Times New Roman"/>
            <w:color w:val="000000"/>
            <w:sz w:val="22"/>
            <w:lang w:eastAsia="en-AU"/>
            <w14:ligatures w14:val="standardContextual"/>
          </w:rPr>
          <w:tab/>
          <w:t>Commencement</w:t>
        </w:r>
      </w:hyperlink>
    </w:p>
    <w:p w14:paraId="615B7214" w14:textId="77777777" w:rsidR="001227CF" w:rsidRPr="001227CF" w:rsidRDefault="001227CF" w:rsidP="001227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1227CF">
          <w:rPr>
            <w:rFonts w:eastAsia="Times New Roman"/>
            <w:color w:val="000000"/>
            <w:sz w:val="22"/>
            <w:lang w:eastAsia="en-AU"/>
            <w14:ligatures w14:val="standardContextual"/>
          </w:rPr>
          <w:t>3</w:t>
        </w:r>
        <w:r w:rsidRPr="001227CF">
          <w:rPr>
            <w:rFonts w:eastAsia="Times New Roman"/>
            <w:color w:val="000000"/>
            <w:sz w:val="22"/>
            <w:lang w:eastAsia="en-AU"/>
            <w14:ligatures w14:val="standardContextual"/>
          </w:rPr>
          <w:tab/>
          <w:t>Interpretation</w:t>
        </w:r>
      </w:hyperlink>
    </w:p>
    <w:p w14:paraId="0C34467B" w14:textId="77777777" w:rsidR="001227CF" w:rsidRPr="001227CF" w:rsidRDefault="001227CF" w:rsidP="001227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1227CF">
          <w:rPr>
            <w:rFonts w:eastAsia="Times New Roman"/>
            <w:color w:val="000000"/>
            <w:sz w:val="22"/>
            <w:lang w:eastAsia="en-AU"/>
            <w14:ligatures w14:val="standardContextual"/>
          </w:rPr>
          <w:t>4</w:t>
        </w:r>
        <w:r w:rsidRPr="001227CF">
          <w:rPr>
            <w:rFonts w:eastAsia="Times New Roman"/>
            <w:color w:val="000000"/>
            <w:sz w:val="22"/>
            <w:lang w:eastAsia="en-AU"/>
            <w14:ligatures w14:val="standardContextual"/>
          </w:rPr>
          <w:tab/>
          <w:t>Disclosure of pecuniary interests (section 17 of Act)</w:t>
        </w:r>
      </w:hyperlink>
    </w:p>
    <w:p w14:paraId="4C808EA9" w14:textId="77777777" w:rsidR="001227CF" w:rsidRPr="001227CF" w:rsidRDefault="001227CF" w:rsidP="001227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1227CF">
          <w:rPr>
            <w:rFonts w:eastAsia="Times New Roman"/>
            <w:color w:val="000000"/>
            <w:sz w:val="22"/>
            <w:lang w:eastAsia="en-AU"/>
            <w14:ligatures w14:val="standardContextual"/>
          </w:rPr>
          <w:t>5</w:t>
        </w:r>
        <w:r w:rsidRPr="001227CF">
          <w:rPr>
            <w:rFonts w:eastAsia="Times New Roman"/>
            <w:color w:val="000000"/>
            <w:sz w:val="22"/>
            <w:lang w:eastAsia="en-AU"/>
            <w14:ligatures w14:val="standardContextual"/>
          </w:rPr>
          <w:tab/>
          <w:t>Exemptions (section 32 of Act)</w:t>
        </w:r>
      </w:hyperlink>
    </w:p>
    <w:p w14:paraId="7AEDC926" w14:textId="77777777" w:rsidR="001227CF" w:rsidRPr="001227CF" w:rsidRDefault="001227CF" w:rsidP="001227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1227CF">
          <w:rPr>
            <w:rFonts w:eastAsia="Times New Roman"/>
            <w:color w:val="000000"/>
            <w:sz w:val="22"/>
            <w:lang w:eastAsia="en-AU"/>
            <w14:ligatures w14:val="standardContextual"/>
          </w:rPr>
          <w:t>6</w:t>
        </w:r>
        <w:r w:rsidRPr="001227CF">
          <w:rPr>
            <w:rFonts w:eastAsia="Times New Roman"/>
            <w:color w:val="000000"/>
            <w:sz w:val="22"/>
            <w:lang w:eastAsia="en-AU"/>
            <w14:ligatures w14:val="standardContextual"/>
          </w:rPr>
          <w:tab/>
          <w:t>Specific exemption—Return to Work Advisory Committee (section 32 of Act)</w:t>
        </w:r>
      </w:hyperlink>
    </w:p>
    <w:p w14:paraId="0F4ABC41" w14:textId="77777777" w:rsidR="001227CF" w:rsidRPr="001227CF" w:rsidRDefault="001227CF" w:rsidP="001227CF">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7" w:history="1">
        <w:r w:rsidRPr="001227CF">
          <w:rPr>
            <w:rFonts w:eastAsia="Times New Roman"/>
            <w:color w:val="000000"/>
            <w:sz w:val="28"/>
            <w:szCs w:val="28"/>
            <w:lang w:eastAsia="en-AU"/>
            <w14:ligatures w14:val="standardContextual"/>
          </w:rPr>
          <w:t xml:space="preserve">Schedule 1—Repeal of </w:t>
        </w:r>
        <w:r w:rsidRPr="001227CF">
          <w:rPr>
            <w:rFonts w:eastAsia="Times New Roman"/>
            <w:i/>
            <w:iCs/>
            <w:color w:val="000000"/>
            <w:sz w:val="28"/>
            <w:szCs w:val="28"/>
            <w:lang w:eastAsia="en-AU"/>
            <w14:ligatures w14:val="standardContextual"/>
          </w:rPr>
          <w:t>Public Sector (Honesty and Accountability) Regulations 2010</w:t>
        </w:r>
      </w:hyperlink>
    </w:p>
    <w:p w14:paraId="4124D06C" w14:textId="77777777" w:rsidR="001227CF" w:rsidRPr="001227CF" w:rsidRDefault="001227CF" w:rsidP="001227C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C5C8BA9" w14:textId="77777777" w:rsidR="001227CF" w:rsidRPr="001227CF" w:rsidRDefault="001227CF" w:rsidP="001227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1"/>
      <w:bookmarkStart w:id="16" w:name="Elkera_Print_BK1"/>
      <w:r w:rsidRPr="001227CF">
        <w:rPr>
          <w:rFonts w:eastAsia="Times New Roman"/>
          <w:b/>
          <w:bCs/>
          <w:color w:val="000000"/>
          <w:sz w:val="26"/>
          <w:szCs w:val="26"/>
          <w:lang w:eastAsia="en-AU"/>
          <w14:ligatures w14:val="standardContextual"/>
        </w:rPr>
        <w:t>1—Short title</w:t>
      </w:r>
      <w:bookmarkEnd w:id="15"/>
      <w:bookmarkEnd w:id="16"/>
    </w:p>
    <w:p w14:paraId="4566B6B9"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 xml:space="preserve">These regulations may be cited as the </w:t>
      </w:r>
      <w:r w:rsidRPr="001227CF">
        <w:rPr>
          <w:rFonts w:eastAsia="Times New Roman"/>
          <w:i/>
          <w:iCs/>
          <w:color w:val="000000"/>
          <w:sz w:val="23"/>
          <w:szCs w:val="23"/>
          <w:lang w:eastAsia="en-AU"/>
          <w14:ligatures w14:val="standardContextual"/>
        </w:rPr>
        <w:t>Public Sector (Honesty and Accountability) Regulations 2025</w:t>
      </w:r>
      <w:r w:rsidRPr="001227CF">
        <w:rPr>
          <w:rFonts w:eastAsia="Times New Roman"/>
          <w:color w:val="000000"/>
          <w:sz w:val="23"/>
          <w:szCs w:val="23"/>
          <w:lang w:eastAsia="en-AU"/>
          <w14:ligatures w14:val="standardContextual"/>
        </w:rPr>
        <w:t>.</w:t>
      </w:r>
    </w:p>
    <w:p w14:paraId="107CB95E" w14:textId="77777777" w:rsidR="001227CF" w:rsidRPr="001227CF" w:rsidRDefault="001227CF" w:rsidP="001227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2"/>
      <w:bookmarkStart w:id="18" w:name="Elkera_Print_BK2"/>
      <w:r w:rsidRPr="001227CF">
        <w:rPr>
          <w:rFonts w:eastAsia="Times New Roman"/>
          <w:b/>
          <w:bCs/>
          <w:color w:val="000000"/>
          <w:sz w:val="26"/>
          <w:szCs w:val="26"/>
          <w:lang w:eastAsia="en-AU"/>
          <w14:ligatures w14:val="standardContextual"/>
        </w:rPr>
        <w:t>2—Commencement</w:t>
      </w:r>
      <w:bookmarkEnd w:id="17"/>
      <w:bookmarkEnd w:id="18"/>
    </w:p>
    <w:p w14:paraId="1BDFFCAE"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These regulations come into operation on the day on which they are made.</w:t>
      </w:r>
    </w:p>
    <w:p w14:paraId="7AED5528" w14:textId="77777777" w:rsidR="001227CF" w:rsidRPr="001227CF" w:rsidRDefault="001227CF" w:rsidP="001227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3"/>
      <w:bookmarkStart w:id="20" w:name="Elkera_Print_BK3"/>
      <w:r w:rsidRPr="001227CF">
        <w:rPr>
          <w:rFonts w:eastAsia="Times New Roman"/>
          <w:b/>
          <w:bCs/>
          <w:color w:val="000000"/>
          <w:sz w:val="26"/>
          <w:szCs w:val="26"/>
          <w:lang w:eastAsia="en-AU"/>
          <w14:ligatures w14:val="standardContextual"/>
        </w:rPr>
        <w:t>3—Interpretation</w:t>
      </w:r>
      <w:bookmarkEnd w:id="19"/>
      <w:bookmarkEnd w:id="20"/>
    </w:p>
    <w:p w14:paraId="7DE8D757" w14:textId="77777777" w:rsidR="001227CF" w:rsidRPr="001227CF" w:rsidRDefault="001227CF" w:rsidP="001227C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In these regulations—</w:t>
      </w:r>
    </w:p>
    <w:p w14:paraId="689A0F87"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b/>
          <w:bCs/>
          <w:i/>
          <w:iCs/>
          <w:color w:val="000000"/>
          <w:sz w:val="23"/>
          <w:szCs w:val="23"/>
          <w:lang w:eastAsia="en-AU"/>
          <w14:ligatures w14:val="standardContextual"/>
        </w:rPr>
        <w:t>Act</w:t>
      </w:r>
      <w:r w:rsidRPr="001227CF">
        <w:rPr>
          <w:rFonts w:eastAsia="Times New Roman"/>
          <w:color w:val="000000"/>
          <w:sz w:val="23"/>
          <w:szCs w:val="23"/>
          <w:lang w:eastAsia="en-AU"/>
          <w14:ligatures w14:val="standardContextual"/>
        </w:rPr>
        <w:t xml:space="preserve"> means the </w:t>
      </w:r>
      <w:hyperlink r:id="rId19" w:history="1">
        <w:r w:rsidRPr="001227CF">
          <w:rPr>
            <w:rFonts w:eastAsia="Times New Roman"/>
            <w:i/>
            <w:iCs/>
            <w:color w:val="000000"/>
            <w:sz w:val="23"/>
            <w:szCs w:val="23"/>
            <w:lang w:eastAsia="en-AU"/>
            <w14:ligatures w14:val="standardContextual"/>
          </w:rPr>
          <w:t>Public Sector (Honesty and Accountability) Act 1995</w:t>
        </w:r>
      </w:hyperlink>
      <w:r w:rsidRPr="001227CF">
        <w:rPr>
          <w:rFonts w:eastAsia="Times New Roman"/>
          <w:color w:val="000000"/>
          <w:sz w:val="23"/>
          <w:szCs w:val="23"/>
          <w:lang w:eastAsia="en-AU"/>
          <w14:ligatures w14:val="standardContextual"/>
        </w:rPr>
        <w:t>.</w:t>
      </w:r>
    </w:p>
    <w:p w14:paraId="79528FAC" w14:textId="77777777" w:rsidR="001227CF" w:rsidRPr="001227CF" w:rsidRDefault="001227CF" w:rsidP="001227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4"/>
      <w:bookmarkStart w:id="22" w:name="Elkera_Print_BK4"/>
      <w:r w:rsidRPr="001227CF">
        <w:rPr>
          <w:rFonts w:eastAsia="Times New Roman"/>
          <w:b/>
          <w:bCs/>
          <w:color w:val="000000"/>
          <w:sz w:val="26"/>
          <w:szCs w:val="26"/>
          <w:lang w:eastAsia="en-AU"/>
          <w14:ligatures w14:val="standardContextual"/>
        </w:rPr>
        <w:t>4—Disclosure of pecuniary interests (section 17 of Act)</w:t>
      </w:r>
      <w:bookmarkEnd w:id="21"/>
      <w:bookmarkEnd w:id="22"/>
    </w:p>
    <w:p w14:paraId="6F5EAD52" w14:textId="77777777" w:rsidR="001227CF" w:rsidRPr="001227CF" w:rsidRDefault="001227CF" w:rsidP="001227C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(1)</w:t>
      </w:r>
      <w:r w:rsidRPr="001227CF">
        <w:rPr>
          <w:rFonts w:eastAsia="Times New Roman"/>
          <w:color w:val="000000"/>
          <w:sz w:val="23"/>
          <w:szCs w:val="23"/>
          <w:lang w:eastAsia="en-AU"/>
          <w14:ligatures w14:val="standardContextual"/>
        </w:rPr>
        <w:tab/>
        <w:t>The table below specifies—</w:t>
      </w:r>
    </w:p>
    <w:p w14:paraId="1E2C1C1A"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(a)</w:t>
      </w:r>
      <w:r w:rsidRPr="001227CF">
        <w:rPr>
          <w:rFonts w:eastAsia="Times New Roman"/>
          <w:color w:val="000000"/>
          <w:sz w:val="23"/>
          <w:szCs w:val="23"/>
          <w:lang w:eastAsia="en-AU"/>
          <w14:ligatures w14:val="standardContextual"/>
        </w:rPr>
        <w:tab/>
        <w:t>the pecuniary interests to be disclosed by a senior official for the purposes of section 17 of the Act; and</w:t>
      </w:r>
    </w:p>
    <w:p w14:paraId="1D3EC7EC"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(b)</w:t>
      </w:r>
      <w:r w:rsidRPr="001227CF">
        <w:rPr>
          <w:rFonts w:eastAsia="Times New Roman"/>
          <w:color w:val="000000"/>
          <w:sz w:val="23"/>
          <w:szCs w:val="23"/>
          <w:lang w:eastAsia="en-AU"/>
          <w14:ligatures w14:val="standardContextual"/>
        </w:rPr>
        <w:tab/>
        <w:t>the information that must be disclosed by the senior official in respect of any such pecuniary interest.</w:t>
      </w:r>
    </w:p>
    <w:p w14:paraId="0C885E3D" w14:textId="77777777" w:rsidR="001227CF" w:rsidRPr="001227CF" w:rsidRDefault="001227CF" w:rsidP="001227CF">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551"/>
        <w:gridCol w:w="3858"/>
        <w:gridCol w:w="3583"/>
      </w:tblGrid>
      <w:tr w:rsidR="001227CF" w:rsidRPr="001227CF" w14:paraId="1D7807C0" w14:textId="77777777" w:rsidTr="00911011">
        <w:trPr>
          <w:cantSplit/>
          <w:tblHeader/>
        </w:trPr>
        <w:tc>
          <w:tcPr>
            <w:tcW w:w="551" w:type="dxa"/>
            <w:tcBorders>
              <w:top w:val="nil"/>
              <w:left w:val="nil"/>
              <w:bottom w:val="single" w:sz="4" w:space="0" w:color="auto"/>
              <w:right w:val="nil"/>
            </w:tcBorders>
            <w:vAlign w:val="center"/>
          </w:tcPr>
          <w:p w14:paraId="6693F1CC" w14:textId="77777777" w:rsidR="001227CF" w:rsidRPr="001227CF" w:rsidRDefault="001227CF" w:rsidP="001227CF">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p>
        </w:tc>
        <w:tc>
          <w:tcPr>
            <w:tcW w:w="3858" w:type="dxa"/>
            <w:tcBorders>
              <w:top w:val="nil"/>
              <w:left w:val="nil"/>
              <w:bottom w:val="single" w:sz="4" w:space="0" w:color="auto"/>
              <w:right w:val="nil"/>
            </w:tcBorders>
            <w:vAlign w:val="center"/>
          </w:tcPr>
          <w:p w14:paraId="54AFFC52" w14:textId="77777777" w:rsidR="001227CF" w:rsidRPr="001227CF" w:rsidRDefault="001227CF" w:rsidP="001227CF">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27CF">
              <w:rPr>
                <w:rFonts w:eastAsia="Times New Roman"/>
                <w:b/>
                <w:bCs/>
                <w:color w:val="000000"/>
                <w:sz w:val="20"/>
                <w:szCs w:val="20"/>
                <w:lang w:eastAsia="en-AU"/>
                <w14:ligatures w14:val="standardContextual"/>
              </w:rPr>
              <w:t>Pecuniary interest</w:t>
            </w:r>
          </w:p>
        </w:tc>
        <w:tc>
          <w:tcPr>
            <w:tcW w:w="3583" w:type="dxa"/>
            <w:tcBorders>
              <w:top w:val="nil"/>
              <w:left w:val="nil"/>
              <w:bottom w:val="single" w:sz="4" w:space="0" w:color="auto"/>
              <w:right w:val="nil"/>
            </w:tcBorders>
            <w:vAlign w:val="center"/>
          </w:tcPr>
          <w:p w14:paraId="7E6FAE20" w14:textId="77777777" w:rsidR="001227CF" w:rsidRPr="001227CF" w:rsidRDefault="001227CF" w:rsidP="001227CF">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227CF">
              <w:rPr>
                <w:rFonts w:eastAsia="Times New Roman"/>
                <w:b/>
                <w:bCs/>
                <w:color w:val="000000"/>
                <w:sz w:val="20"/>
                <w:szCs w:val="20"/>
                <w:lang w:eastAsia="en-AU"/>
                <w14:ligatures w14:val="standardContextual"/>
              </w:rPr>
              <w:t>Information required</w:t>
            </w:r>
          </w:p>
        </w:tc>
      </w:tr>
      <w:tr w:rsidR="001227CF" w:rsidRPr="001227CF" w14:paraId="0EC52F56" w14:textId="77777777" w:rsidTr="00911011">
        <w:trPr>
          <w:cantSplit/>
        </w:trPr>
        <w:tc>
          <w:tcPr>
            <w:tcW w:w="551" w:type="dxa"/>
            <w:tcBorders>
              <w:top w:val="single" w:sz="4" w:space="0" w:color="auto"/>
              <w:left w:val="nil"/>
              <w:bottom w:val="nil"/>
              <w:right w:val="nil"/>
            </w:tcBorders>
          </w:tcPr>
          <w:p w14:paraId="20CE099F"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1</w:t>
            </w:r>
          </w:p>
        </w:tc>
        <w:tc>
          <w:tcPr>
            <w:tcW w:w="3858" w:type="dxa"/>
            <w:tcBorders>
              <w:top w:val="single" w:sz="4" w:space="0" w:color="auto"/>
              <w:left w:val="nil"/>
              <w:bottom w:val="nil"/>
              <w:right w:val="nil"/>
            </w:tcBorders>
          </w:tcPr>
          <w:p w14:paraId="1B53ED6F"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 contract of service, office, trade, vocation, business or profession in respect of which the person receives or is entitled to receive any remuneration, fee or other pecuniary sum (not being payable under the Act).</w:t>
            </w:r>
          </w:p>
        </w:tc>
        <w:tc>
          <w:tcPr>
            <w:tcW w:w="3583" w:type="dxa"/>
            <w:tcBorders>
              <w:top w:val="single" w:sz="4" w:space="0" w:color="auto"/>
              <w:left w:val="nil"/>
              <w:bottom w:val="nil"/>
              <w:right w:val="nil"/>
            </w:tcBorders>
          </w:tcPr>
          <w:p w14:paraId="5328C9D5" w14:textId="77777777" w:rsid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 description of the contract, office, trade, vocation, business or profession and the amount and source of the remuneration, fee or other pecuniary sum.</w:t>
            </w:r>
          </w:p>
          <w:p w14:paraId="7DC8788A" w14:textId="77777777" w:rsidR="00987AC2" w:rsidRPr="001227CF" w:rsidRDefault="00987AC2"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227CF" w:rsidRPr="001227CF" w14:paraId="218D0EB4" w14:textId="77777777" w:rsidTr="00911011">
        <w:trPr>
          <w:cantSplit/>
        </w:trPr>
        <w:tc>
          <w:tcPr>
            <w:tcW w:w="551" w:type="dxa"/>
            <w:tcBorders>
              <w:top w:val="nil"/>
              <w:left w:val="nil"/>
              <w:bottom w:val="nil"/>
              <w:right w:val="nil"/>
            </w:tcBorders>
          </w:tcPr>
          <w:p w14:paraId="3DB5AA9E"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lastRenderedPageBreak/>
              <w:t>2</w:t>
            </w:r>
          </w:p>
        </w:tc>
        <w:tc>
          <w:tcPr>
            <w:tcW w:w="3858" w:type="dxa"/>
            <w:tcBorders>
              <w:top w:val="nil"/>
              <w:left w:val="nil"/>
              <w:bottom w:val="nil"/>
              <w:right w:val="nil"/>
            </w:tcBorders>
          </w:tcPr>
          <w:p w14:paraId="7D5F47F6"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An office held by the person (whether as a director or otherwise) in a company or other body (whether or not incorporated) in respect of which the person received or is entitled to receive any remuneration, fee or other pecuniary sum.</w:t>
            </w:r>
          </w:p>
        </w:tc>
        <w:tc>
          <w:tcPr>
            <w:tcW w:w="3583" w:type="dxa"/>
            <w:tcBorders>
              <w:top w:val="nil"/>
              <w:left w:val="nil"/>
              <w:bottom w:val="nil"/>
              <w:right w:val="nil"/>
            </w:tcBorders>
          </w:tcPr>
          <w:p w14:paraId="4B589D08"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The name and address of the company or other body and the amount of the remuneration, fee or other pecuniary sum.</w:t>
            </w:r>
          </w:p>
        </w:tc>
      </w:tr>
      <w:tr w:rsidR="001227CF" w:rsidRPr="001227CF" w14:paraId="5893D3F2" w14:textId="77777777" w:rsidTr="00911011">
        <w:trPr>
          <w:cantSplit/>
        </w:trPr>
        <w:tc>
          <w:tcPr>
            <w:tcW w:w="551" w:type="dxa"/>
            <w:tcBorders>
              <w:top w:val="nil"/>
              <w:left w:val="nil"/>
              <w:bottom w:val="nil"/>
              <w:right w:val="nil"/>
            </w:tcBorders>
          </w:tcPr>
          <w:p w14:paraId="3B79DE37"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3</w:t>
            </w:r>
          </w:p>
        </w:tc>
        <w:tc>
          <w:tcPr>
            <w:tcW w:w="3858" w:type="dxa"/>
            <w:tcBorders>
              <w:top w:val="nil"/>
              <w:left w:val="nil"/>
              <w:bottom w:val="nil"/>
              <w:right w:val="nil"/>
            </w:tcBorders>
          </w:tcPr>
          <w:p w14:paraId="4D4EC11E"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 company, partnership, association or other body in which the person is an investor.</w:t>
            </w:r>
          </w:p>
        </w:tc>
        <w:tc>
          <w:tcPr>
            <w:tcW w:w="3583" w:type="dxa"/>
            <w:tcBorders>
              <w:top w:val="nil"/>
              <w:left w:val="nil"/>
              <w:bottom w:val="nil"/>
              <w:right w:val="nil"/>
            </w:tcBorders>
          </w:tcPr>
          <w:p w14:paraId="61536D45"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The name and address or description of the company, partnership, association or other body.</w:t>
            </w:r>
          </w:p>
        </w:tc>
      </w:tr>
      <w:tr w:rsidR="001227CF" w:rsidRPr="001227CF" w14:paraId="5069388C" w14:textId="77777777" w:rsidTr="00911011">
        <w:trPr>
          <w:cantSplit/>
        </w:trPr>
        <w:tc>
          <w:tcPr>
            <w:tcW w:w="551" w:type="dxa"/>
            <w:tcBorders>
              <w:top w:val="nil"/>
              <w:left w:val="nil"/>
              <w:bottom w:val="nil"/>
              <w:right w:val="nil"/>
            </w:tcBorders>
          </w:tcPr>
          <w:p w14:paraId="3A36C9A0"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4</w:t>
            </w:r>
          </w:p>
        </w:tc>
        <w:tc>
          <w:tcPr>
            <w:tcW w:w="3858" w:type="dxa"/>
            <w:tcBorders>
              <w:top w:val="nil"/>
              <w:left w:val="nil"/>
              <w:bottom w:val="nil"/>
              <w:right w:val="nil"/>
            </w:tcBorders>
          </w:tcPr>
          <w:p w14:paraId="62E1C961"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Land in which the person has a beneficial interest (other than by way of security for a debt).</w:t>
            </w:r>
          </w:p>
        </w:tc>
        <w:tc>
          <w:tcPr>
            <w:tcW w:w="3583" w:type="dxa"/>
            <w:tcBorders>
              <w:top w:val="nil"/>
              <w:left w:val="nil"/>
              <w:bottom w:val="nil"/>
              <w:right w:val="nil"/>
            </w:tcBorders>
          </w:tcPr>
          <w:p w14:paraId="0AF7684E"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The address or description of the land.</w:t>
            </w:r>
          </w:p>
        </w:tc>
      </w:tr>
      <w:tr w:rsidR="001227CF" w:rsidRPr="001227CF" w14:paraId="5FA3A81C" w14:textId="77777777" w:rsidTr="00911011">
        <w:trPr>
          <w:cantSplit/>
        </w:trPr>
        <w:tc>
          <w:tcPr>
            <w:tcW w:w="551" w:type="dxa"/>
            <w:tcBorders>
              <w:top w:val="nil"/>
              <w:left w:val="nil"/>
              <w:bottom w:val="nil"/>
              <w:right w:val="nil"/>
            </w:tcBorders>
          </w:tcPr>
          <w:p w14:paraId="6FAB463F"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5</w:t>
            </w:r>
          </w:p>
        </w:tc>
        <w:tc>
          <w:tcPr>
            <w:tcW w:w="3858" w:type="dxa"/>
            <w:tcBorders>
              <w:top w:val="nil"/>
              <w:left w:val="nil"/>
              <w:bottom w:val="nil"/>
              <w:right w:val="nil"/>
            </w:tcBorders>
          </w:tcPr>
          <w:p w14:paraId="18B2D49A"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 trust (other than a testamentary trust) of which the person is a beneficiary or trustee.</w:t>
            </w:r>
          </w:p>
        </w:tc>
        <w:tc>
          <w:tcPr>
            <w:tcW w:w="3583" w:type="dxa"/>
            <w:tcBorders>
              <w:top w:val="nil"/>
              <w:left w:val="nil"/>
              <w:bottom w:val="nil"/>
              <w:right w:val="nil"/>
            </w:tcBorders>
          </w:tcPr>
          <w:p w14:paraId="1F92D936"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 description of the trust and the name and address of each trustee.</w:t>
            </w:r>
          </w:p>
        </w:tc>
      </w:tr>
      <w:tr w:rsidR="001227CF" w:rsidRPr="001227CF" w14:paraId="1E8DAEC7" w14:textId="77777777" w:rsidTr="00911011">
        <w:trPr>
          <w:cantSplit/>
        </w:trPr>
        <w:tc>
          <w:tcPr>
            <w:tcW w:w="551" w:type="dxa"/>
            <w:tcBorders>
              <w:top w:val="nil"/>
              <w:left w:val="nil"/>
              <w:bottom w:val="nil"/>
              <w:right w:val="nil"/>
            </w:tcBorders>
          </w:tcPr>
          <w:p w14:paraId="24751C8E"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6</w:t>
            </w:r>
          </w:p>
        </w:tc>
        <w:tc>
          <w:tcPr>
            <w:tcW w:w="3858" w:type="dxa"/>
            <w:tcBorders>
              <w:top w:val="nil"/>
              <w:left w:val="nil"/>
              <w:bottom w:val="nil"/>
              <w:right w:val="nil"/>
            </w:tcBorders>
          </w:tcPr>
          <w:p w14:paraId="3BD53A05"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Any other pecuniary interest of the person of a kind determined by the Minister.</w:t>
            </w:r>
          </w:p>
        </w:tc>
        <w:tc>
          <w:tcPr>
            <w:tcW w:w="3583" w:type="dxa"/>
            <w:tcBorders>
              <w:top w:val="nil"/>
              <w:left w:val="nil"/>
              <w:bottom w:val="nil"/>
              <w:right w:val="nil"/>
            </w:tcBorders>
          </w:tcPr>
          <w:p w14:paraId="7E1FA1C3"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The information required by the Minister to be disclosed in respect of that pecuniary interest.</w:t>
            </w:r>
          </w:p>
        </w:tc>
      </w:tr>
    </w:tbl>
    <w:p w14:paraId="3C76C25D" w14:textId="77777777" w:rsidR="001227CF" w:rsidRPr="001227CF" w:rsidRDefault="001227CF" w:rsidP="001227C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(2)</w:t>
      </w:r>
      <w:r w:rsidRPr="001227CF">
        <w:rPr>
          <w:rFonts w:eastAsia="Times New Roman"/>
          <w:color w:val="000000"/>
          <w:sz w:val="23"/>
          <w:szCs w:val="23"/>
          <w:lang w:eastAsia="en-AU"/>
          <w14:ligatures w14:val="standardContextual"/>
        </w:rPr>
        <w:tab/>
        <w:t>For the purposes of this regulation—</w:t>
      </w:r>
    </w:p>
    <w:p w14:paraId="330B3ADC"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(a)</w:t>
      </w:r>
      <w:r w:rsidRPr="001227CF">
        <w:rPr>
          <w:rFonts w:eastAsia="Times New Roman"/>
          <w:color w:val="000000"/>
          <w:sz w:val="23"/>
          <w:szCs w:val="23"/>
          <w:lang w:eastAsia="en-AU"/>
          <w14:ligatures w14:val="standardContextual"/>
        </w:rPr>
        <w:tab/>
        <w:t>a reference to a beneficial interest in land includes a reference to a right to reacquire land; and</w:t>
      </w:r>
    </w:p>
    <w:p w14:paraId="50DDD1ED"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(b)</w:t>
      </w:r>
      <w:r w:rsidRPr="001227CF">
        <w:rPr>
          <w:rFonts w:eastAsia="Times New Roman"/>
          <w:color w:val="000000"/>
          <w:sz w:val="23"/>
          <w:szCs w:val="23"/>
          <w:lang w:eastAsia="en-AU"/>
          <w14:ligatures w14:val="standardContextual"/>
        </w:rPr>
        <w:tab/>
        <w:t>a person who is an object of a discretionary trust is to be taken to be a beneficiary of that trust; and</w:t>
      </w:r>
    </w:p>
    <w:p w14:paraId="68CB604A"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(c)</w:t>
      </w:r>
      <w:r w:rsidRPr="001227CF">
        <w:rPr>
          <w:rFonts w:eastAsia="Times New Roman"/>
          <w:color w:val="000000"/>
          <w:sz w:val="23"/>
          <w:szCs w:val="23"/>
          <w:lang w:eastAsia="en-AU"/>
          <w14:ligatures w14:val="standardContextual"/>
        </w:rPr>
        <w:tab/>
        <w:t>a person is an investor in a body if—</w:t>
      </w:r>
    </w:p>
    <w:p w14:paraId="5D39E600" w14:textId="77777777" w:rsidR="001227CF" w:rsidRPr="001227CF" w:rsidRDefault="001227CF" w:rsidP="001227C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(i)</w:t>
      </w:r>
      <w:r w:rsidRPr="001227CF">
        <w:rPr>
          <w:rFonts w:eastAsia="Times New Roman"/>
          <w:color w:val="000000"/>
          <w:sz w:val="23"/>
          <w:szCs w:val="23"/>
          <w:lang w:eastAsia="en-AU"/>
          <w14:ligatures w14:val="standardContextual"/>
        </w:rPr>
        <w:tab/>
        <w:t>the person has deposited money with, or lent money to, the body that has not been repaid and the amount not repaid equals or exceeds $10 000; or</w:t>
      </w:r>
    </w:p>
    <w:p w14:paraId="11397627" w14:textId="77777777" w:rsidR="001227CF" w:rsidRPr="001227CF" w:rsidRDefault="001227CF" w:rsidP="001227C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(ii)</w:t>
      </w:r>
      <w:r w:rsidRPr="001227CF">
        <w:rPr>
          <w:rFonts w:eastAsia="Times New Roman"/>
          <w:color w:val="000000"/>
          <w:sz w:val="23"/>
          <w:szCs w:val="23"/>
          <w:lang w:eastAsia="en-AU"/>
          <w14:ligatures w14:val="standardContextual"/>
        </w:rPr>
        <w:tab/>
        <w:t>the person holds, or has a beneficial interest in, shares in, or debentures of, the body or a policy of life insurance issued by the body.</w:t>
      </w:r>
    </w:p>
    <w:p w14:paraId="64767C13" w14:textId="77777777" w:rsidR="001227CF" w:rsidRPr="001227CF" w:rsidRDefault="001227CF" w:rsidP="001227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5"/>
      <w:bookmarkStart w:id="24" w:name="Elkera_Print_BK5"/>
      <w:r w:rsidRPr="001227CF">
        <w:rPr>
          <w:rFonts w:eastAsia="Times New Roman"/>
          <w:b/>
          <w:bCs/>
          <w:color w:val="000000"/>
          <w:sz w:val="26"/>
          <w:szCs w:val="26"/>
          <w:lang w:eastAsia="en-AU"/>
          <w14:ligatures w14:val="standardContextual"/>
        </w:rPr>
        <w:t>5—Exemptions (section 32 of Act)</w:t>
      </w:r>
      <w:bookmarkEnd w:id="23"/>
      <w:bookmarkEnd w:id="24"/>
    </w:p>
    <w:p w14:paraId="3082D0CD" w14:textId="77777777" w:rsidR="001227CF" w:rsidRPr="001227CF" w:rsidRDefault="001227CF" w:rsidP="001227C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(1)</w:t>
      </w:r>
      <w:r w:rsidRPr="001227CF">
        <w:rPr>
          <w:rFonts w:eastAsia="Times New Roman"/>
          <w:color w:val="000000"/>
          <w:sz w:val="23"/>
          <w:szCs w:val="23"/>
          <w:lang w:eastAsia="en-AU"/>
          <w14:ligatures w14:val="standardContextual"/>
        </w:rPr>
        <w:tab/>
        <w:t>If a member of a corporate agency or advisory body was appointed as a member wholly or partly on the basis that they are or have been engaged in or associated with a particular industry, activity or sector, the member will not be taken to have a direct or indirect interest in a matter for the purposes of the Act by reason only of the fact that the member has an interest in a matter shared in common with those engaged in, or associated with, the industry, activity or sector generally, or a substantial section of those engaged in or associated with the industry, activity or sector.</w:t>
      </w:r>
    </w:p>
    <w:p w14:paraId="25911188" w14:textId="77777777" w:rsidR="001227CF" w:rsidRPr="001227CF" w:rsidRDefault="001227CF" w:rsidP="001227C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 w:name="idfa3696d4_fbd7_4a0c_b0b6_dcadd0fd1e99_b"/>
      <w:r w:rsidRPr="001227CF">
        <w:rPr>
          <w:rFonts w:eastAsia="Times New Roman"/>
          <w:color w:val="000000"/>
          <w:sz w:val="23"/>
          <w:szCs w:val="23"/>
          <w:lang w:eastAsia="en-AU"/>
          <w14:ligatures w14:val="standardContextual"/>
        </w:rPr>
        <w:tab/>
        <w:t>(2)</w:t>
      </w:r>
      <w:r w:rsidRPr="001227CF">
        <w:rPr>
          <w:rFonts w:eastAsia="Times New Roman"/>
          <w:color w:val="000000"/>
          <w:sz w:val="23"/>
          <w:szCs w:val="23"/>
          <w:lang w:eastAsia="en-AU"/>
          <w14:ligatures w14:val="standardContextual"/>
        </w:rPr>
        <w:tab/>
        <w:t>If a member of a non</w:t>
      </w:r>
      <w:r w:rsidRPr="001227CF">
        <w:rPr>
          <w:rFonts w:eastAsia="Times New Roman"/>
          <w:color w:val="000000"/>
          <w:sz w:val="23"/>
          <w:szCs w:val="23"/>
          <w:lang w:eastAsia="en-AU"/>
          <w14:ligatures w14:val="standardContextual"/>
        </w:rPr>
        <w:noBreakHyphen/>
        <w:t>statutory advisory body—</w:t>
      </w:r>
      <w:bookmarkEnd w:id="25"/>
    </w:p>
    <w:p w14:paraId="495A45B4"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(a)</w:t>
      </w:r>
      <w:r w:rsidRPr="001227CF">
        <w:rPr>
          <w:rFonts w:eastAsia="Times New Roman"/>
          <w:color w:val="000000"/>
          <w:sz w:val="23"/>
          <w:szCs w:val="23"/>
          <w:lang w:eastAsia="en-AU"/>
          <w14:ligatures w14:val="standardContextual"/>
        </w:rPr>
        <w:tab/>
        <w:t>advises the relevant Minister, by notice in writing, of any direct or indirect personal or pecuniary interest that conflicts, or may conflict, with the member's functions; and</w:t>
      </w:r>
    </w:p>
    <w:p w14:paraId="2730E62E"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(b)</w:t>
      </w:r>
      <w:r w:rsidRPr="001227CF">
        <w:rPr>
          <w:rFonts w:eastAsia="Times New Roman"/>
          <w:color w:val="000000"/>
          <w:sz w:val="23"/>
          <w:szCs w:val="23"/>
          <w:lang w:eastAsia="en-AU"/>
          <w14:ligatures w14:val="standardContextual"/>
        </w:rPr>
        <w:tab/>
        <w:t>complies with any directions given by the Minister regarding the resolution of the conflict, or potential conflict,</w:t>
      </w:r>
    </w:p>
    <w:p w14:paraId="19FB39BF" w14:textId="2828DB55" w:rsidR="00503368"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the member is exempt from the application of section 12 of the Act in relation to that interest.</w:t>
      </w:r>
    </w:p>
    <w:p w14:paraId="42731469" w14:textId="77777777" w:rsidR="00503368" w:rsidRDefault="00503368">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5E30F5B" w14:textId="77777777" w:rsidR="001227CF" w:rsidRPr="001227CF" w:rsidRDefault="001227CF" w:rsidP="001227C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lastRenderedPageBreak/>
        <w:tab/>
        <w:t>(3)</w:t>
      </w:r>
      <w:r w:rsidRPr="001227CF">
        <w:rPr>
          <w:rFonts w:eastAsia="Times New Roman"/>
          <w:color w:val="000000"/>
          <w:sz w:val="23"/>
          <w:szCs w:val="23"/>
          <w:lang w:eastAsia="en-AU"/>
          <w14:ligatures w14:val="standardContextual"/>
        </w:rPr>
        <w:tab/>
        <w:t>In this regulation—</w:t>
      </w:r>
    </w:p>
    <w:p w14:paraId="02D0EE07" w14:textId="77777777" w:rsidR="001227CF" w:rsidRPr="001227CF" w:rsidRDefault="001227CF" w:rsidP="001227C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b/>
          <w:bCs/>
          <w:i/>
          <w:iCs/>
          <w:color w:val="000000"/>
          <w:sz w:val="23"/>
          <w:szCs w:val="23"/>
          <w:lang w:eastAsia="en-AU"/>
          <w14:ligatures w14:val="standardContextual"/>
        </w:rPr>
        <w:t>relevant Minister</w:t>
      </w:r>
      <w:r w:rsidRPr="001227CF">
        <w:rPr>
          <w:rFonts w:eastAsia="Times New Roman"/>
          <w:color w:val="000000"/>
          <w:sz w:val="23"/>
          <w:szCs w:val="23"/>
          <w:lang w:eastAsia="en-AU"/>
          <w14:ligatures w14:val="standardContextual"/>
        </w:rPr>
        <w:t xml:space="preserve"> means—</w:t>
      </w:r>
    </w:p>
    <w:p w14:paraId="24483F76"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(a)</w:t>
      </w:r>
      <w:r w:rsidRPr="001227CF">
        <w:rPr>
          <w:rFonts w:eastAsia="Times New Roman"/>
          <w:color w:val="000000"/>
          <w:sz w:val="23"/>
          <w:szCs w:val="23"/>
          <w:lang w:eastAsia="en-AU"/>
          <w14:ligatures w14:val="standardContextual"/>
        </w:rPr>
        <w:tab/>
        <w:t>in the case where advice is, or is to be, provided by the advisory body to a public sector agency consisting of a Minister—that Minister; or</w:t>
      </w:r>
    </w:p>
    <w:p w14:paraId="02B75F33"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(b)</w:t>
      </w:r>
      <w:r w:rsidRPr="001227CF">
        <w:rPr>
          <w:rFonts w:eastAsia="Times New Roman"/>
          <w:color w:val="000000"/>
          <w:sz w:val="23"/>
          <w:szCs w:val="23"/>
          <w:lang w:eastAsia="en-AU"/>
          <w14:ligatures w14:val="standardContextual"/>
        </w:rPr>
        <w:tab/>
        <w:t>in any other case—the Minister responsible for the public sector agency to which advice is, or is to be, provided by the advisory body.</w:t>
      </w:r>
    </w:p>
    <w:p w14:paraId="4FCBDD07" w14:textId="77777777" w:rsidR="001227CF" w:rsidRPr="001227CF" w:rsidRDefault="001227CF" w:rsidP="001227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6"/>
      <w:bookmarkStart w:id="27" w:name="Elkera_Print_BK6"/>
      <w:r w:rsidRPr="001227CF">
        <w:rPr>
          <w:rFonts w:eastAsia="Times New Roman"/>
          <w:b/>
          <w:bCs/>
          <w:color w:val="000000"/>
          <w:sz w:val="26"/>
          <w:szCs w:val="26"/>
          <w:lang w:eastAsia="en-AU"/>
          <w14:ligatures w14:val="standardContextual"/>
        </w:rPr>
        <w:t>6—Specific exemption—Return to Work Advisory Committee (section 32 of Act)</w:t>
      </w:r>
      <w:bookmarkEnd w:id="26"/>
      <w:bookmarkEnd w:id="27"/>
    </w:p>
    <w:p w14:paraId="5AEB238B" w14:textId="77777777" w:rsidR="001227CF" w:rsidRPr="001227CF" w:rsidRDefault="001227CF" w:rsidP="001227C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8" w:name="ida00bfa43_93fc_4cd3_885e_c2026ce51a68_2"/>
      <w:r w:rsidRPr="001227CF">
        <w:rPr>
          <w:rFonts w:eastAsia="Times New Roman"/>
          <w:color w:val="000000"/>
          <w:sz w:val="23"/>
          <w:szCs w:val="23"/>
          <w:lang w:eastAsia="en-AU"/>
          <w14:ligatures w14:val="standardContextual"/>
        </w:rPr>
        <w:tab/>
        <w:t>(1)</w:t>
      </w:r>
      <w:r w:rsidRPr="001227CF">
        <w:rPr>
          <w:rFonts w:eastAsia="Times New Roman"/>
          <w:color w:val="000000"/>
          <w:sz w:val="23"/>
          <w:szCs w:val="23"/>
          <w:lang w:eastAsia="en-AU"/>
          <w14:ligatures w14:val="standardContextual"/>
        </w:rPr>
        <w:tab/>
        <w:t>If a member of the Advisory Committee—</w:t>
      </w:r>
      <w:bookmarkEnd w:id="28"/>
    </w:p>
    <w:p w14:paraId="09BF7FB7"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(a)</w:t>
      </w:r>
      <w:r w:rsidRPr="001227CF">
        <w:rPr>
          <w:rFonts w:eastAsia="Times New Roman"/>
          <w:color w:val="000000"/>
          <w:sz w:val="23"/>
          <w:szCs w:val="23"/>
          <w:lang w:eastAsia="en-AU"/>
          <w14:ligatures w14:val="standardContextual"/>
        </w:rPr>
        <w:tab/>
        <w:t>advises the relevant Minister, by notice in writing, of any direct or indirect personal or pecuniary interest that conflicts, or may conflict, with the member's functions; and</w:t>
      </w:r>
    </w:p>
    <w:p w14:paraId="12933865" w14:textId="77777777" w:rsidR="001227CF" w:rsidRPr="001227CF" w:rsidRDefault="001227CF" w:rsidP="001227C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(b)</w:t>
      </w:r>
      <w:r w:rsidRPr="001227CF">
        <w:rPr>
          <w:rFonts w:eastAsia="Times New Roman"/>
          <w:color w:val="000000"/>
          <w:sz w:val="23"/>
          <w:szCs w:val="23"/>
          <w:lang w:eastAsia="en-AU"/>
          <w14:ligatures w14:val="standardContextual"/>
        </w:rPr>
        <w:tab/>
        <w:t>complies with any directions given by the relevant Minister regarding the resolution of the conflict, or potential conflict,</w:t>
      </w:r>
    </w:p>
    <w:p w14:paraId="34E734E9"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the member is exempt from the application of section 12 of the Act in relation to that interest.</w:t>
      </w:r>
    </w:p>
    <w:p w14:paraId="24E5ADA8" w14:textId="77777777" w:rsidR="001227CF" w:rsidRPr="001227CF" w:rsidRDefault="001227CF" w:rsidP="001227C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(2)</w:t>
      </w:r>
      <w:r w:rsidRPr="001227CF">
        <w:rPr>
          <w:rFonts w:eastAsia="Times New Roman"/>
          <w:color w:val="000000"/>
          <w:sz w:val="23"/>
          <w:szCs w:val="23"/>
          <w:lang w:eastAsia="en-AU"/>
          <w14:ligatures w14:val="standardContextual"/>
        </w:rPr>
        <w:tab/>
      </w:r>
      <w:hyperlink w:anchor="ida00bfa43_93fc_4cd3_885e_c2026ce51a68_2" w:history="1">
        <w:r w:rsidRPr="001227CF">
          <w:rPr>
            <w:rFonts w:eastAsia="Times New Roman"/>
            <w:color w:val="000000"/>
            <w:sz w:val="23"/>
            <w:szCs w:val="23"/>
            <w:lang w:eastAsia="en-AU"/>
            <w14:ligatures w14:val="standardContextual"/>
          </w:rPr>
          <w:t>Subregulation (1)</w:t>
        </w:r>
      </w:hyperlink>
      <w:r w:rsidRPr="001227CF">
        <w:rPr>
          <w:rFonts w:eastAsia="Times New Roman"/>
          <w:color w:val="000000"/>
          <w:sz w:val="23"/>
          <w:szCs w:val="23"/>
          <w:lang w:eastAsia="en-AU"/>
          <w14:ligatures w14:val="standardContextual"/>
        </w:rPr>
        <w:t xml:space="preserve"> does not include a case where a member is seeking to act as a member of a selection committee under section 118 of the </w:t>
      </w:r>
      <w:hyperlink r:id="rId20" w:history="1">
        <w:r w:rsidRPr="001227CF">
          <w:rPr>
            <w:rFonts w:eastAsia="Times New Roman"/>
            <w:i/>
            <w:iCs/>
            <w:color w:val="000000"/>
            <w:sz w:val="23"/>
            <w:szCs w:val="23"/>
            <w:lang w:eastAsia="en-AU"/>
            <w14:ligatures w14:val="standardContextual"/>
          </w:rPr>
          <w:t>Return to Work Act 2014</w:t>
        </w:r>
      </w:hyperlink>
      <w:r w:rsidRPr="001227CF">
        <w:rPr>
          <w:rFonts w:eastAsia="Times New Roman"/>
          <w:color w:val="000000"/>
          <w:sz w:val="23"/>
          <w:szCs w:val="23"/>
          <w:lang w:eastAsia="en-AU"/>
          <w14:ligatures w14:val="standardContextual"/>
        </w:rPr>
        <w:t>.</w:t>
      </w:r>
    </w:p>
    <w:p w14:paraId="1A43C5CC" w14:textId="77777777" w:rsidR="001227CF" w:rsidRPr="001227CF" w:rsidRDefault="001227CF" w:rsidP="001227C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ab/>
        <w:t>(3)</w:t>
      </w:r>
      <w:r w:rsidRPr="001227CF">
        <w:rPr>
          <w:rFonts w:eastAsia="Times New Roman"/>
          <w:color w:val="000000"/>
          <w:sz w:val="23"/>
          <w:szCs w:val="23"/>
          <w:lang w:eastAsia="en-AU"/>
          <w14:ligatures w14:val="standardContextual"/>
        </w:rPr>
        <w:tab/>
        <w:t>In this regulation—</w:t>
      </w:r>
    </w:p>
    <w:p w14:paraId="3507ECB1"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b/>
          <w:bCs/>
          <w:i/>
          <w:iCs/>
          <w:color w:val="000000"/>
          <w:sz w:val="23"/>
          <w:szCs w:val="23"/>
          <w:lang w:eastAsia="en-AU"/>
          <w14:ligatures w14:val="standardContextual"/>
        </w:rPr>
        <w:t>Advisory Committee</w:t>
      </w:r>
      <w:r w:rsidRPr="001227CF">
        <w:rPr>
          <w:rFonts w:eastAsia="Times New Roman"/>
          <w:color w:val="000000"/>
          <w:sz w:val="23"/>
          <w:szCs w:val="23"/>
          <w:lang w:eastAsia="en-AU"/>
          <w14:ligatures w14:val="standardContextual"/>
        </w:rPr>
        <w:t xml:space="preserve"> means the </w:t>
      </w:r>
      <w:r w:rsidRPr="001227CF">
        <w:rPr>
          <w:rFonts w:eastAsia="Times New Roman"/>
          <w:i/>
          <w:iCs/>
          <w:color w:val="000000"/>
          <w:sz w:val="23"/>
          <w:szCs w:val="23"/>
          <w:lang w:eastAsia="en-AU"/>
          <w14:ligatures w14:val="standardContextual"/>
        </w:rPr>
        <w:t>Minister's Advisory Committee</w:t>
      </w:r>
      <w:r w:rsidRPr="001227CF">
        <w:rPr>
          <w:rFonts w:eastAsia="Times New Roman"/>
          <w:color w:val="000000"/>
          <w:sz w:val="23"/>
          <w:szCs w:val="23"/>
          <w:lang w:eastAsia="en-AU"/>
          <w14:ligatures w14:val="standardContextual"/>
        </w:rPr>
        <w:t xml:space="preserve"> under the </w:t>
      </w:r>
      <w:hyperlink r:id="rId21" w:history="1">
        <w:r w:rsidRPr="001227CF">
          <w:rPr>
            <w:rFonts w:eastAsia="Times New Roman"/>
            <w:i/>
            <w:iCs/>
            <w:color w:val="000000"/>
            <w:sz w:val="23"/>
            <w:szCs w:val="23"/>
            <w:lang w:eastAsia="en-AU"/>
            <w14:ligatures w14:val="standardContextual"/>
          </w:rPr>
          <w:t>Return to Work Act 2014</w:t>
        </w:r>
      </w:hyperlink>
      <w:r w:rsidRPr="001227CF">
        <w:rPr>
          <w:rFonts w:eastAsia="Times New Roman"/>
          <w:color w:val="000000"/>
          <w:sz w:val="23"/>
          <w:szCs w:val="23"/>
          <w:lang w:eastAsia="en-AU"/>
          <w14:ligatures w14:val="standardContextual"/>
        </w:rPr>
        <w:t>;</w:t>
      </w:r>
    </w:p>
    <w:p w14:paraId="0C100404"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7CF">
        <w:rPr>
          <w:rFonts w:eastAsia="Times New Roman"/>
          <w:b/>
          <w:bCs/>
          <w:i/>
          <w:iCs/>
          <w:color w:val="000000"/>
          <w:sz w:val="23"/>
          <w:szCs w:val="23"/>
          <w:lang w:eastAsia="en-AU"/>
          <w14:ligatures w14:val="standardContextual"/>
        </w:rPr>
        <w:t>relevant Minister</w:t>
      </w:r>
      <w:r w:rsidRPr="001227CF">
        <w:rPr>
          <w:rFonts w:eastAsia="Times New Roman"/>
          <w:color w:val="000000"/>
          <w:sz w:val="23"/>
          <w:szCs w:val="23"/>
          <w:lang w:eastAsia="en-AU"/>
          <w14:ligatures w14:val="standardContextual"/>
        </w:rPr>
        <w:t xml:space="preserve"> means the Minister who is responsible for the administration of the </w:t>
      </w:r>
      <w:hyperlink r:id="rId22" w:history="1">
        <w:r w:rsidRPr="001227CF">
          <w:rPr>
            <w:rFonts w:eastAsia="Times New Roman"/>
            <w:i/>
            <w:iCs/>
            <w:color w:val="000000"/>
            <w:sz w:val="23"/>
            <w:szCs w:val="23"/>
            <w:lang w:eastAsia="en-AU"/>
            <w14:ligatures w14:val="standardContextual"/>
          </w:rPr>
          <w:t>Return to Work Act 2014</w:t>
        </w:r>
      </w:hyperlink>
      <w:r w:rsidRPr="001227CF">
        <w:rPr>
          <w:rFonts w:eastAsia="Times New Roman"/>
          <w:color w:val="000000"/>
          <w:sz w:val="23"/>
          <w:szCs w:val="23"/>
          <w:lang w:eastAsia="en-AU"/>
          <w14:ligatures w14:val="standardContextual"/>
        </w:rPr>
        <w:t>.</w:t>
      </w:r>
    </w:p>
    <w:p w14:paraId="5D76CC64" w14:textId="77777777" w:rsidR="001227CF" w:rsidRPr="001227CF" w:rsidRDefault="001227CF" w:rsidP="001227C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9" w:name="Elkera_Print_TOC7"/>
      <w:bookmarkStart w:id="30" w:name="Elkera_Print_BK7"/>
      <w:r w:rsidRPr="001227CF">
        <w:rPr>
          <w:rFonts w:eastAsia="Times New Roman"/>
          <w:b/>
          <w:bCs/>
          <w:color w:val="000000"/>
          <w:sz w:val="32"/>
          <w:szCs w:val="32"/>
          <w:lang w:eastAsia="en-AU"/>
          <w14:ligatures w14:val="standardContextual"/>
        </w:rPr>
        <w:t xml:space="preserve">Schedule 1—Repeal of </w:t>
      </w:r>
      <w:r w:rsidRPr="001227CF">
        <w:rPr>
          <w:rFonts w:eastAsia="Times New Roman"/>
          <w:b/>
          <w:bCs/>
          <w:i/>
          <w:iCs/>
          <w:color w:val="000000"/>
          <w:sz w:val="32"/>
          <w:szCs w:val="32"/>
          <w:lang w:eastAsia="en-AU"/>
          <w14:ligatures w14:val="standardContextual"/>
        </w:rPr>
        <w:t>Public Sector (Honesty and Accountability) Regulations 2010</w:t>
      </w:r>
      <w:bookmarkEnd w:id="29"/>
      <w:bookmarkEnd w:id="30"/>
    </w:p>
    <w:p w14:paraId="318C0859" w14:textId="77777777" w:rsidR="001227CF" w:rsidRPr="001227CF" w:rsidRDefault="001227CF" w:rsidP="001227CF">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 xml:space="preserve">The </w:t>
      </w:r>
      <w:hyperlink r:id="rId23" w:history="1">
        <w:r w:rsidRPr="001227CF">
          <w:rPr>
            <w:rFonts w:eastAsia="Times New Roman"/>
            <w:i/>
            <w:iCs/>
            <w:color w:val="000000"/>
            <w:sz w:val="23"/>
            <w:szCs w:val="23"/>
            <w:lang w:eastAsia="en-AU"/>
            <w14:ligatures w14:val="standardContextual"/>
          </w:rPr>
          <w:t>Public Sector (Honesty and Accountability) Regulations 2010</w:t>
        </w:r>
      </w:hyperlink>
      <w:r w:rsidRPr="001227CF">
        <w:rPr>
          <w:rFonts w:eastAsia="Times New Roman"/>
          <w:color w:val="000000"/>
          <w:sz w:val="23"/>
          <w:szCs w:val="23"/>
          <w:lang w:eastAsia="en-AU"/>
          <w14:ligatures w14:val="standardContextual"/>
        </w:rPr>
        <w:t xml:space="preserve"> are repealed.</w:t>
      </w:r>
    </w:p>
    <w:p w14:paraId="64290703" w14:textId="77777777" w:rsidR="001227CF" w:rsidRPr="001227CF" w:rsidRDefault="001227CF" w:rsidP="001227C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1227CF">
        <w:rPr>
          <w:rFonts w:eastAsia="Times New Roman"/>
          <w:b/>
          <w:bCs/>
          <w:color w:val="000000"/>
          <w:sz w:val="20"/>
          <w:szCs w:val="20"/>
          <w:lang w:eastAsia="en-AU"/>
          <w14:ligatures w14:val="standardContextual"/>
        </w:rPr>
        <w:t>Editorial note—</w:t>
      </w:r>
    </w:p>
    <w:p w14:paraId="14FEDF46" w14:textId="77777777" w:rsidR="001227CF" w:rsidRPr="001227CF" w:rsidRDefault="001227CF" w:rsidP="001227CF">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1227CF">
        <w:rPr>
          <w:rFonts w:eastAsia="Times New Roman"/>
          <w:color w:val="000000"/>
          <w:sz w:val="20"/>
          <w:szCs w:val="20"/>
          <w:lang w:eastAsia="en-AU"/>
          <w14:ligatures w14:val="standardContextual"/>
        </w:rPr>
        <w:t xml:space="preserve">As required by section 10AA(2) of the </w:t>
      </w:r>
      <w:hyperlink r:id="rId24" w:history="1">
        <w:r w:rsidRPr="001227CF">
          <w:rPr>
            <w:rFonts w:eastAsia="Times New Roman"/>
            <w:i/>
            <w:iCs/>
            <w:color w:val="000000"/>
            <w:sz w:val="20"/>
            <w:szCs w:val="20"/>
            <w:lang w:eastAsia="en-AU"/>
            <w14:ligatures w14:val="standardContextual"/>
          </w:rPr>
          <w:t>Legislative Instruments Act 1978</w:t>
        </w:r>
      </w:hyperlink>
      <w:r w:rsidRPr="001227CF">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0C84A76" w14:textId="77777777" w:rsidR="001227CF" w:rsidRPr="001227CF" w:rsidRDefault="001227CF" w:rsidP="001227C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227CF">
        <w:rPr>
          <w:rFonts w:eastAsia="Times New Roman"/>
          <w:b/>
          <w:bCs/>
          <w:color w:val="000000"/>
          <w:sz w:val="26"/>
          <w:szCs w:val="26"/>
          <w:lang w:eastAsia="en-AU"/>
          <w14:ligatures w14:val="standardContextual"/>
        </w:rPr>
        <w:t>Made by the Governor</w:t>
      </w:r>
    </w:p>
    <w:p w14:paraId="6EDD5606" w14:textId="77777777" w:rsidR="001227CF" w:rsidRPr="001227CF" w:rsidRDefault="001227CF" w:rsidP="001227C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with the advice and consent of the Executive Council</w:t>
      </w:r>
    </w:p>
    <w:p w14:paraId="3C3A171F" w14:textId="378C56DB" w:rsidR="001227CF" w:rsidRPr="001227CF" w:rsidRDefault="001227CF" w:rsidP="001227C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 xml:space="preserve">on </w:t>
      </w:r>
      <w:r w:rsidR="00FA1910">
        <w:rPr>
          <w:rFonts w:eastAsia="Times New Roman"/>
          <w:color w:val="000000"/>
          <w:sz w:val="23"/>
          <w:szCs w:val="23"/>
          <w:lang w:eastAsia="en-AU"/>
          <w14:ligatures w14:val="standardContextual"/>
        </w:rPr>
        <w:t>14 August 2025</w:t>
      </w:r>
    </w:p>
    <w:p w14:paraId="1B95CC51" w14:textId="2A1825C0" w:rsidR="001227CF" w:rsidRPr="001227CF" w:rsidRDefault="001227CF" w:rsidP="001227C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227CF">
        <w:rPr>
          <w:rFonts w:eastAsia="Times New Roman"/>
          <w:color w:val="000000"/>
          <w:sz w:val="23"/>
          <w:szCs w:val="23"/>
          <w:lang w:eastAsia="en-AU"/>
          <w14:ligatures w14:val="standardContextual"/>
        </w:rPr>
        <w:t>No </w:t>
      </w:r>
      <w:r w:rsidR="00FA1910">
        <w:rPr>
          <w:rFonts w:eastAsia="Times New Roman"/>
          <w:color w:val="000000"/>
          <w:sz w:val="23"/>
          <w:szCs w:val="23"/>
          <w:lang w:eastAsia="en-AU"/>
          <w14:ligatures w14:val="standardContextual"/>
        </w:rPr>
        <w:t>87</w:t>
      </w:r>
      <w:r w:rsidRPr="001227CF">
        <w:rPr>
          <w:rFonts w:eastAsia="Times New Roman"/>
          <w:color w:val="000000"/>
          <w:sz w:val="23"/>
          <w:szCs w:val="23"/>
          <w:lang w:eastAsia="en-AU"/>
          <w14:ligatures w14:val="standardContextual"/>
        </w:rPr>
        <w:t> of </w:t>
      </w:r>
      <w:r w:rsidR="00FA1910">
        <w:rPr>
          <w:rFonts w:eastAsia="Times New Roman"/>
          <w:color w:val="000000"/>
          <w:sz w:val="23"/>
          <w:szCs w:val="23"/>
          <w:lang w:eastAsia="en-AU"/>
          <w14:ligatures w14:val="standardContextual"/>
        </w:rPr>
        <w:t>2025</w:t>
      </w:r>
    </w:p>
    <w:p w14:paraId="3F29D371" w14:textId="06FDE4BF" w:rsidR="001227CF" w:rsidRDefault="001227CF">
      <w:pPr>
        <w:spacing w:after="0" w:line="240" w:lineRule="auto"/>
        <w:jc w:val="left"/>
        <w:rPr>
          <w:rFonts w:eastAsia="Times New Roman"/>
          <w:szCs w:val="17"/>
        </w:rPr>
      </w:pPr>
      <w:r>
        <w:br w:type="page"/>
      </w:r>
    </w:p>
    <w:p w14:paraId="2D70D9EE" w14:textId="77777777" w:rsidR="002A3021" w:rsidRPr="002A3021" w:rsidRDefault="002A3021" w:rsidP="002A302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A3021">
        <w:rPr>
          <w:rFonts w:eastAsia="Times New Roman"/>
          <w:color w:val="000000"/>
          <w:sz w:val="28"/>
          <w:szCs w:val="28"/>
          <w:lang w:eastAsia="en-AU"/>
          <w14:ligatures w14:val="standardContextual"/>
        </w:rPr>
        <w:lastRenderedPageBreak/>
        <w:t>South Australia</w:t>
      </w:r>
    </w:p>
    <w:p w14:paraId="5D653B41" w14:textId="77777777" w:rsidR="002A3021" w:rsidRPr="002A3021" w:rsidRDefault="002A3021" w:rsidP="00E34B09">
      <w:pPr>
        <w:pStyle w:val="Heading3"/>
        <w:rPr>
          <w:lang w:eastAsia="en-AU"/>
        </w:rPr>
      </w:pPr>
      <w:bookmarkStart w:id="31" w:name="_Toc206061753"/>
      <w:r w:rsidRPr="002A3021">
        <w:rPr>
          <w:lang w:eastAsia="en-AU"/>
        </w:rPr>
        <w:t>Motor Vehicles Regulations 2025</w:t>
      </w:r>
      <w:bookmarkEnd w:id="31"/>
    </w:p>
    <w:p w14:paraId="0F9F0482" w14:textId="77777777" w:rsidR="002A3021" w:rsidRPr="002A3021" w:rsidRDefault="002A3021" w:rsidP="002A302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A3021">
        <w:rPr>
          <w:rFonts w:eastAsia="Times New Roman"/>
          <w:color w:val="000000"/>
          <w:sz w:val="24"/>
          <w:szCs w:val="24"/>
          <w:lang w:eastAsia="en-AU"/>
          <w14:ligatures w14:val="standardContextual"/>
        </w:rPr>
        <w:t xml:space="preserve">under the </w:t>
      </w:r>
      <w:r w:rsidRPr="002A3021">
        <w:rPr>
          <w:rFonts w:eastAsia="Times New Roman"/>
          <w:i/>
          <w:iCs/>
          <w:color w:val="000000"/>
          <w:sz w:val="24"/>
          <w:szCs w:val="24"/>
          <w:lang w:eastAsia="en-AU"/>
          <w14:ligatures w14:val="standardContextual"/>
        </w:rPr>
        <w:t>Motor Vehicles Act 1959</w:t>
      </w:r>
    </w:p>
    <w:p w14:paraId="627CA52C" w14:textId="77777777" w:rsidR="002A3021" w:rsidRPr="002A3021" w:rsidRDefault="002A3021" w:rsidP="002A302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2D980CB" w14:textId="77777777" w:rsidR="002A3021" w:rsidRPr="002A3021" w:rsidRDefault="002A3021" w:rsidP="002A302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A3021">
        <w:rPr>
          <w:rFonts w:eastAsia="Times New Roman"/>
          <w:b/>
          <w:bCs/>
          <w:color w:val="000000"/>
          <w:sz w:val="32"/>
          <w:szCs w:val="32"/>
          <w:lang w:eastAsia="en-AU"/>
          <w14:ligatures w14:val="standardContextual"/>
        </w:rPr>
        <w:t>Contents</w:t>
      </w:r>
    </w:p>
    <w:p w14:paraId="4D2ED698"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2A3021">
          <w:rPr>
            <w:rFonts w:eastAsia="Times New Roman"/>
            <w:color w:val="000000"/>
            <w:sz w:val="28"/>
            <w:szCs w:val="28"/>
            <w:lang w:eastAsia="en-AU"/>
            <w14:ligatures w14:val="standardContextual"/>
          </w:rPr>
          <w:t>Part 1—Preliminary</w:t>
        </w:r>
      </w:hyperlink>
    </w:p>
    <w:p w14:paraId="18EB5FC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A3021">
          <w:rPr>
            <w:rFonts w:eastAsia="Times New Roman"/>
            <w:color w:val="000000"/>
            <w:sz w:val="22"/>
            <w:lang w:eastAsia="en-AU"/>
            <w14:ligatures w14:val="standardContextual"/>
          </w:rPr>
          <w:t>1</w:t>
        </w:r>
        <w:r w:rsidRPr="002A3021">
          <w:rPr>
            <w:rFonts w:eastAsia="Times New Roman"/>
            <w:color w:val="000000"/>
            <w:sz w:val="22"/>
            <w:lang w:eastAsia="en-AU"/>
            <w14:ligatures w14:val="standardContextual"/>
          </w:rPr>
          <w:tab/>
          <w:t>Short title</w:t>
        </w:r>
      </w:hyperlink>
    </w:p>
    <w:p w14:paraId="18C752D5"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A3021">
          <w:rPr>
            <w:rFonts w:eastAsia="Times New Roman"/>
            <w:color w:val="000000"/>
            <w:sz w:val="22"/>
            <w:lang w:eastAsia="en-AU"/>
            <w14:ligatures w14:val="standardContextual"/>
          </w:rPr>
          <w:t>2</w:t>
        </w:r>
        <w:r w:rsidRPr="002A3021">
          <w:rPr>
            <w:rFonts w:eastAsia="Times New Roman"/>
            <w:color w:val="000000"/>
            <w:sz w:val="22"/>
            <w:lang w:eastAsia="en-AU"/>
            <w14:ligatures w14:val="standardContextual"/>
          </w:rPr>
          <w:tab/>
          <w:t>Commencement</w:t>
        </w:r>
      </w:hyperlink>
    </w:p>
    <w:p w14:paraId="31C1658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2A3021">
          <w:rPr>
            <w:rFonts w:eastAsia="Times New Roman"/>
            <w:color w:val="000000"/>
            <w:sz w:val="22"/>
            <w:lang w:eastAsia="en-AU"/>
            <w14:ligatures w14:val="standardContextual"/>
          </w:rPr>
          <w:t>3</w:t>
        </w:r>
        <w:r w:rsidRPr="002A3021">
          <w:rPr>
            <w:rFonts w:eastAsia="Times New Roman"/>
            <w:color w:val="000000"/>
            <w:sz w:val="22"/>
            <w:lang w:eastAsia="en-AU"/>
            <w14:ligatures w14:val="standardContextual"/>
          </w:rPr>
          <w:tab/>
          <w:t>Interpretation</w:t>
        </w:r>
      </w:hyperlink>
    </w:p>
    <w:p w14:paraId="6361F0E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2A3021">
          <w:rPr>
            <w:rFonts w:eastAsia="Times New Roman"/>
            <w:color w:val="000000"/>
            <w:sz w:val="22"/>
            <w:lang w:eastAsia="en-AU"/>
            <w14:ligatures w14:val="standardContextual"/>
          </w:rPr>
          <w:t>4</w:t>
        </w:r>
        <w:r w:rsidRPr="002A3021">
          <w:rPr>
            <w:rFonts w:eastAsia="Times New Roman"/>
            <w:color w:val="000000"/>
            <w:sz w:val="22"/>
            <w:lang w:eastAsia="en-AU"/>
            <w14:ligatures w14:val="standardContextual"/>
          </w:rPr>
          <w:tab/>
          <w:t>Meaning of high powered vehicle</w:t>
        </w:r>
      </w:hyperlink>
    </w:p>
    <w:p w14:paraId="3F645CA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2A3021">
          <w:rPr>
            <w:rFonts w:eastAsia="Times New Roman"/>
            <w:color w:val="000000"/>
            <w:sz w:val="22"/>
            <w:lang w:eastAsia="en-AU"/>
            <w14:ligatures w14:val="standardContextual"/>
          </w:rPr>
          <w:t>5</w:t>
        </w:r>
        <w:r w:rsidRPr="002A3021">
          <w:rPr>
            <w:rFonts w:eastAsia="Times New Roman"/>
            <w:color w:val="000000"/>
            <w:sz w:val="22"/>
            <w:lang w:eastAsia="en-AU"/>
            <w14:ligatures w14:val="standardContextual"/>
          </w:rPr>
          <w:tab/>
          <w:t>Meaning of motor vehicle</w:t>
        </w:r>
      </w:hyperlink>
    </w:p>
    <w:p w14:paraId="084296F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2A3021">
          <w:rPr>
            <w:rFonts w:eastAsia="Times New Roman"/>
            <w:color w:val="000000"/>
            <w:sz w:val="22"/>
            <w:lang w:eastAsia="en-AU"/>
            <w14:ligatures w14:val="standardContextual"/>
          </w:rPr>
          <w:t>6</w:t>
        </w:r>
        <w:r w:rsidRPr="002A3021">
          <w:rPr>
            <w:rFonts w:eastAsia="Times New Roman"/>
            <w:color w:val="000000"/>
            <w:sz w:val="22"/>
            <w:lang w:eastAsia="en-AU"/>
            <w14:ligatures w14:val="standardContextual"/>
          </w:rPr>
          <w:tab/>
          <w:t>Meaning of interstate non</w:t>
        </w:r>
        <w:r w:rsidRPr="002A3021">
          <w:rPr>
            <w:rFonts w:eastAsia="Times New Roman"/>
            <w:color w:val="000000"/>
            <w:sz w:val="22"/>
            <w:lang w:eastAsia="en-AU"/>
            <w14:ligatures w14:val="standardContextual"/>
          </w:rPr>
          <w:noBreakHyphen/>
          <w:t>provisional licence, interstate provisional licence and unconditional licence</w:t>
        </w:r>
      </w:hyperlink>
    </w:p>
    <w:p w14:paraId="7DA6024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2A3021">
          <w:rPr>
            <w:rFonts w:eastAsia="Times New Roman"/>
            <w:color w:val="000000"/>
            <w:sz w:val="22"/>
            <w:lang w:eastAsia="en-AU"/>
            <w14:ligatures w14:val="standardContextual"/>
          </w:rPr>
          <w:t>7</w:t>
        </w:r>
        <w:r w:rsidRPr="002A3021">
          <w:rPr>
            <w:rFonts w:eastAsia="Times New Roman"/>
            <w:color w:val="000000"/>
            <w:sz w:val="22"/>
            <w:lang w:eastAsia="en-AU"/>
            <w14:ligatures w14:val="standardContextual"/>
          </w:rPr>
          <w:tab/>
          <w:t>Modification of Act</w:t>
        </w:r>
      </w:hyperlink>
    </w:p>
    <w:p w14:paraId="64B15BDE"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9" w:history="1">
        <w:r w:rsidRPr="002A3021">
          <w:rPr>
            <w:rFonts w:eastAsia="Times New Roman"/>
            <w:color w:val="000000"/>
            <w:sz w:val="28"/>
            <w:szCs w:val="28"/>
            <w:lang w:eastAsia="en-AU"/>
            <w14:ligatures w14:val="standardContextual"/>
          </w:rPr>
          <w:t>Part 2—Registration of motor vehicles</w:t>
        </w:r>
      </w:hyperlink>
    </w:p>
    <w:p w14:paraId="031E2EFD"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0" w:history="1">
        <w:r w:rsidRPr="002A3021">
          <w:rPr>
            <w:rFonts w:eastAsia="Times New Roman"/>
            <w:color w:val="000000"/>
            <w:sz w:val="26"/>
            <w:szCs w:val="26"/>
            <w:lang w:eastAsia="en-AU"/>
            <w14:ligatures w14:val="standardContextual"/>
          </w:rPr>
          <w:t>Division 1—Exemptions and permits</w:t>
        </w:r>
      </w:hyperlink>
    </w:p>
    <w:p w14:paraId="37FD637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e11f0a1_98d2_4e5d_b868_3c875283cbe8_6" w:history="1">
        <w:r w:rsidRPr="002A3021">
          <w:rPr>
            <w:rFonts w:eastAsia="Times New Roman"/>
            <w:color w:val="000000"/>
            <w:sz w:val="22"/>
            <w:lang w:eastAsia="en-AU"/>
            <w14:ligatures w14:val="standardContextual"/>
          </w:rPr>
          <w:t>8</w:t>
        </w:r>
        <w:r w:rsidRPr="002A3021">
          <w:rPr>
            <w:rFonts w:eastAsia="Times New Roman"/>
            <w:color w:val="000000"/>
            <w:sz w:val="22"/>
            <w:lang w:eastAsia="en-AU"/>
            <w14:ligatures w14:val="standardContextual"/>
          </w:rPr>
          <w:tab/>
          <w:t>Exemption from registration and insurance for certain vehicles used by disabled persons</w:t>
        </w:r>
      </w:hyperlink>
    </w:p>
    <w:p w14:paraId="0EDED2D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2A3021">
          <w:rPr>
            <w:rFonts w:eastAsia="Times New Roman"/>
            <w:color w:val="000000"/>
            <w:sz w:val="22"/>
            <w:lang w:eastAsia="en-AU"/>
            <w14:ligatures w14:val="standardContextual"/>
          </w:rPr>
          <w:t>9</w:t>
        </w:r>
        <w:r w:rsidRPr="002A3021">
          <w:rPr>
            <w:rFonts w:eastAsia="Times New Roman"/>
            <w:color w:val="000000"/>
            <w:sz w:val="22"/>
            <w:lang w:eastAsia="en-AU"/>
            <w14:ligatures w14:val="standardContextual"/>
          </w:rPr>
          <w:tab/>
          <w:t>Exemption from registration and insurance for certain vehicles driven by or at direction of police officer etc</w:t>
        </w:r>
      </w:hyperlink>
    </w:p>
    <w:p w14:paraId="154B221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2A3021">
          <w:rPr>
            <w:rFonts w:eastAsia="Times New Roman"/>
            <w:color w:val="000000"/>
            <w:sz w:val="22"/>
            <w:lang w:eastAsia="en-AU"/>
            <w14:ligatures w14:val="standardContextual"/>
          </w:rPr>
          <w:t>10</w:t>
        </w:r>
        <w:r w:rsidRPr="002A3021">
          <w:rPr>
            <w:rFonts w:eastAsia="Times New Roman"/>
            <w:color w:val="000000"/>
            <w:sz w:val="22"/>
            <w:lang w:eastAsia="en-AU"/>
            <w14:ligatures w14:val="standardContextual"/>
          </w:rPr>
          <w:tab/>
          <w:t>Exemptions from registration and insurance for certain motor vehicles being towed or on display at prescribed events</w:t>
        </w:r>
      </w:hyperlink>
    </w:p>
    <w:p w14:paraId="7E68086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2A3021">
          <w:rPr>
            <w:rFonts w:eastAsia="Times New Roman"/>
            <w:color w:val="000000"/>
            <w:sz w:val="22"/>
            <w:lang w:eastAsia="en-AU"/>
            <w14:ligatures w14:val="standardContextual"/>
          </w:rPr>
          <w:t>11</w:t>
        </w:r>
        <w:r w:rsidRPr="002A3021">
          <w:rPr>
            <w:rFonts w:eastAsia="Times New Roman"/>
            <w:color w:val="000000"/>
            <w:sz w:val="22"/>
            <w:lang w:eastAsia="en-AU"/>
            <w14:ligatures w14:val="standardContextual"/>
          </w:rPr>
          <w:tab/>
          <w:t>Exemption from registration and insurance for golf carts and mopeds</w:t>
        </w:r>
      </w:hyperlink>
    </w:p>
    <w:p w14:paraId="7818144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2A3021">
          <w:rPr>
            <w:rFonts w:eastAsia="Times New Roman"/>
            <w:color w:val="000000"/>
            <w:sz w:val="22"/>
            <w:lang w:eastAsia="en-AU"/>
            <w14:ligatures w14:val="standardContextual"/>
          </w:rPr>
          <w:t>12</w:t>
        </w:r>
        <w:r w:rsidRPr="002A3021">
          <w:rPr>
            <w:rFonts w:eastAsia="Times New Roman"/>
            <w:color w:val="000000"/>
            <w:sz w:val="22"/>
            <w:lang w:eastAsia="en-AU"/>
            <w14:ligatures w14:val="standardContextual"/>
          </w:rPr>
          <w:tab/>
          <w:t>Exemption from registration and insurance for certain electric personal transporters</w:t>
        </w:r>
      </w:hyperlink>
    </w:p>
    <w:p w14:paraId="4ECF3AD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2A3021">
          <w:rPr>
            <w:rFonts w:eastAsia="Times New Roman"/>
            <w:color w:val="000000"/>
            <w:sz w:val="22"/>
            <w:lang w:eastAsia="en-AU"/>
            <w14:ligatures w14:val="standardContextual"/>
          </w:rPr>
          <w:t>13</w:t>
        </w:r>
        <w:r w:rsidRPr="002A3021">
          <w:rPr>
            <w:rFonts w:eastAsia="Times New Roman"/>
            <w:color w:val="000000"/>
            <w:sz w:val="22"/>
            <w:lang w:eastAsia="en-AU"/>
            <w14:ligatures w14:val="standardContextual"/>
          </w:rPr>
          <w:tab/>
          <w:t>Exemption from registration and insurance for self</w:t>
        </w:r>
        <w:r w:rsidRPr="002A3021">
          <w:rPr>
            <w:rFonts w:eastAsia="Times New Roman"/>
            <w:color w:val="000000"/>
            <w:sz w:val="22"/>
            <w:lang w:eastAsia="en-AU"/>
            <w14:ligatures w14:val="standardContextual"/>
          </w:rPr>
          <w:noBreakHyphen/>
          <w:t>propelled elevating work platforms</w:t>
        </w:r>
      </w:hyperlink>
    </w:p>
    <w:p w14:paraId="7F12245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2A3021">
          <w:rPr>
            <w:rFonts w:eastAsia="Times New Roman"/>
            <w:color w:val="000000"/>
            <w:sz w:val="22"/>
            <w:lang w:eastAsia="en-AU"/>
            <w14:ligatures w14:val="standardContextual"/>
          </w:rPr>
          <w:t>14</w:t>
        </w:r>
        <w:r w:rsidRPr="002A3021">
          <w:rPr>
            <w:rFonts w:eastAsia="Times New Roman"/>
            <w:color w:val="000000"/>
            <w:sz w:val="22"/>
            <w:lang w:eastAsia="en-AU"/>
            <w14:ligatures w14:val="standardContextual"/>
          </w:rPr>
          <w:tab/>
          <w:t>Exemption from registration and insurance for motor vehicles returning from extinguishing or controlling a fire</w:t>
        </w:r>
      </w:hyperlink>
    </w:p>
    <w:p w14:paraId="7609520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2A3021">
          <w:rPr>
            <w:rFonts w:eastAsia="Times New Roman"/>
            <w:color w:val="000000"/>
            <w:sz w:val="22"/>
            <w:lang w:eastAsia="en-AU"/>
            <w14:ligatures w14:val="standardContextual"/>
          </w:rPr>
          <w:t>15</w:t>
        </w:r>
        <w:r w:rsidRPr="002A3021">
          <w:rPr>
            <w:rFonts w:eastAsia="Times New Roman"/>
            <w:color w:val="000000"/>
            <w:sz w:val="22"/>
            <w:lang w:eastAsia="en-AU"/>
            <w14:ligatures w14:val="standardContextual"/>
          </w:rPr>
          <w:tab/>
          <w:t>Permit to drive unregistered vehicle in prescribed circumstances</w:t>
        </w:r>
      </w:hyperlink>
    </w:p>
    <w:p w14:paraId="5E9CE5B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2A3021">
          <w:rPr>
            <w:rFonts w:eastAsia="Times New Roman"/>
            <w:color w:val="000000"/>
            <w:sz w:val="22"/>
            <w:lang w:eastAsia="en-AU"/>
            <w14:ligatures w14:val="standardContextual"/>
          </w:rPr>
          <w:t>16</w:t>
        </w:r>
        <w:r w:rsidRPr="002A3021">
          <w:rPr>
            <w:rFonts w:eastAsia="Times New Roman"/>
            <w:color w:val="000000"/>
            <w:sz w:val="22"/>
            <w:lang w:eastAsia="en-AU"/>
            <w14:ligatures w14:val="standardContextual"/>
          </w:rPr>
          <w:tab/>
          <w:t>Cessation of permit when registration information publicly available</w:t>
        </w:r>
      </w:hyperlink>
    </w:p>
    <w:p w14:paraId="44261545"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Pr="002A3021">
          <w:rPr>
            <w:rFonts w:eastAsia="Times New Roman"/>
            <w:color w:val="000000"/>
            <w:sz w:val="22"/>
            <w:lang w:eastAsia="en-AU"/>
            <w14:ligatures w14:val="standardContextual"/>
          </w:rPr>
          <w:t>17</w:t>
        </w:r>
        <w:r w:rsidRPr="002A3021">
          <w:rPr>
            <w:rFonts w:eastAsia="Times New Roman"/>
            <w:color w:val="000000"/>
            <w:sz w:val="22"/>
            <w:lang w:eastAsia="en-AU"/>
            <w14:ligatures w14:val="standardContextual"/>
          </w:rPr>
          <w:tab/>
          <w:t>Cancellation of permit to drive unregistered vehicle</w:t>
        </w:r>
      </w:hyperlink>
    </w:p>
    <w:p w14:paraId="040AC5D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2A3021">
          <w:rPr>
            <w:rFonts w:eastAsia="Times New Roman"/>
            <w:color w:val="000000"/>
            <w:sz w:val="22"/>
            <w:lang w:eastAsia="en-AU"/>
            <w14:ligatures w14:val="standardContextual"/>
          </w:rPr>
          <w:t>18</w:t>
        </w:r>
        <w:r w:rsidRPr="002A3021">
          <w:rPr>
            <w:rFonts w:eastAsia="Times New Roman"/>
            <w:color w:val="000000"/>
            <w:sz w:val="22"/>
            <w:lang w:eastAsia="en-AU"/>
            <w14:ligatures w14:val="standardContextual"/>
          </w:rPr>
          <w:tab/>
          <w:t>Exemption relating to vehicles registered etc interstate or overseas</w:t>
        </w:r>
      </w:hyperlink>
    </w:p>
    <w:p w14:paraId="2C54B7C7"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ea4e26c_6d5f_44ee_952b_9bb36acb71" w:history="1">
        <w:r w:rsidRPr="002A3021">
          <w:rPr>
            <w:rFonts w:eastAsia="Times New Roman"/>
            <w:color w:val="000000"/>
            <w:sz w:val="22"/>
            <w:lang w:eastAsia="en-AU"/>
            <w14:ligatures w14:val="standardContextual"/>
          </w:rPr>
          <w:t>19</w:t>
        </w:r>
        <w:r w:rsidRPr="002A3021">
          <w:rPr>
            <w:rFonts w:eastAsia="Times New Roman"/>
            <w:color w:val="000000"/>
            <w:sz w:val="22"/>
            <w:lang w:eastAsia="en-AU"/>
            <w14:ligatures w14:val="standardContextual"/>
          </w:rPr>
          <w:tab/>
          <w:t>Exemptions relating to consular officials etc</w:t>
        </w:r>
      </w:hyperlink>
    </w:p>
    <w:p w14:paraId="491B0BA2"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5" w:history="1">
        <w:r w:rsidRPr="002A3021">
          <w:rPr>
            <w:rFonts w:eastAsia="Times New Roman"/>
            <w:color w:val="000000"/>
            <w:sz w:val="26"/>
            <w:szCs w:val="26"/>
            <w:lang w:eastAsia="en-AU"/>
            <w14:ligatures w14:val="standardContextual"/>
          </w:rPr>
          <w:t>Division 2—Registration procedure</w:t>
        </w:r>
      </w:hyperlink>
    </w:p>
    <w:p w14:paraId="2D9A247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9e47efb_ee08_4a07_b7e3_9b264f38bf40_8" w:history="1">
        <w:r w:rsidRPr="002A3021">
          <w:rPr>
            <w:rFonts w:eastAsia="Times New Roman"/>
            <w:color w:val="000000"/>
            <w:sz w:val="22"/>
            <w:lang w:eastAsia="en-AU"/>
            <w14:ligatures w14:val="standardContextual"/>
          </w:rPr>
          <w:t>20</w:t>
        </w:r>
        <w:r w:rsidRPr="002A3021">
          <w:rPr>
            <w:rFonts w:eastAsia="Times New Roman"/>
            <w:color w:val="000000"/>
            <w:sz w:val="22"/>
            <w:lang w:eastAsia="en-AU"/>
            <w14:ligatures w14:val="standardContextual"/>
          </w:rPr>
          <w:tab/>
          <w:t>Report required before registration of new vehicles—prescribed particulars</w:t>
        </w:r>
      </w:hyperlink>
    </w:p>
    <w:p w14:paraId="0D7692B3"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 w:history="1">
        <w:r w:rsidRPr="002A3021">
          <w:rPr>
            <w:rFonts w:eastAsia="Times New Roman"/>
            <w:color w:val="000000"/>
            <w:sz w:val="22"/>
            <w:lang w:eastAsia="en-AU"/>
            <w14:ligatures w14:val="standardContextual"/>
          </w:rPr>
          <w:t>21</w:t>
        </w:r>
        <w:r w:rsidRPr="002A3021">
          <w:rPr>
            <w:rFonts w:eastAsia="Times New Roman"/>
            <w:color w:val="000000"/>
            <w:sz w:val="22"/>
            <w:lang w:eastAsia="en-AU"/>
            <w14:ligatures w14:val="standardContextual"/>
          </w:rPr>
          <w:tab/>
          <w:t>Classes of vehicles Registrar may refuse to register</w:t>
        </w:r>
      </w:hyperlink>
    </w:p>
    <w:p w14:paraId="18E694DA"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9" w:history="1">
        <w:r w:rsidRPr="002A3021">
          <w:rPr>
            <w:rFonts w:eastAsia="Times New Roman"/>
            <w:color w:val="000000"/>
            <w:sz w:val="26"/>
            <w:szCs w:val="26"/>
            <w:lang w:eastAsia="en-AU"/>
            <w14:ligatures w14:val="standardContextual"/>
          </w:rPr>
          <w:t>Division 3—Conditional registration</w:t>
        </w:r>
      </w:hyperlink>
    </w:p>
    <w:p w14:paraId="60E92F08"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30" w:history="1">
        <w:r w:rsidRPr="002A3021">
          <w:rPr>
            <w:rFonts w:eastAsia="Times New Roman"/>
            <w:color w:val="000000"/>
            <w:sz w:val="24"/>
            <w:szCs w:val="24"/>
            <w:lang w:eastAsia="en-AU"/>
            <w14:ligatures w14:val="standardContextual"/>
          </w:rPr>
          <w:t>Subdivision 1—Interpretation</w:t>
        </w:r>
      </w:hyperlink>
    </w:p>
    <w:p w14:paraId="6CBE3CD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c0d646f_217c_4dde_9112_8eb8a8e8d86d_7" w:history="1">
        <w:r w:rsidRPr="002A3021">
          <w:rPr>
            <w:rFonts w:eastAsia="Times New Roman"/>
            <w:color w:val="000000"/>
            <w:sz w:val="22"/>
            <w:lang w:eastAsia="en-AU"/>
            <w14:ligatures w14:val="standardContextual"/>
          </w:rPr>
          <w:t>22</w:t>
        </w:r>
        <w:r w:rsidRPr="002A3021">
          <w:rPr>
            <w:rFonts w:eastAsia="Times New Roman"/>
            <w:color w:val="000000"/>
            <w:sz w:val="22"/>
            <w:lang w:eastAsia="en-AU"/>
            <w14:ligatures w14:val="standardContextual"/>
          </w:rPr>
          <w:tab/>
          <w:t>Interpretation</w:t>
        </w:r>
      </w:hyperlink>
    </w:p>
    <w:p w14:paraId="593001E1"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33" w:history="1">
        <w:r w:rsidRPr="002A3021">
          <w:rPr>
            <w:rFonts w:eastAsia="Times New Roman"/>
            <w:color w:val="000000"/>
            <w:sz w:val="24"/>
            <w:szCs w:val="24"/>
            <w:lang w:eastAsia="en-AU"/>
            <w14:ligatures w14:val="standardContextual"/>
          </w:rPr>
          <w:t>Subdivision 2—Prescribed classes of vehicles</w:t>
        </w:r>
      </w:hyperlink>
    </w:p>
    <w:p w14:paraId="21C4FA9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4" w:history="1">
        <w:r w:rsidRPr="002A3021">
          <w:rPr>
            <w:rFonts w:eastAsia="Times New Roman"/>
            <w:color w:val="000000"/>
            <w:sz w:val="22"/>
            <w:lang w:eastAsia="en-AU"/>
            <w14:ligatures w14:val="standardContextual"/>
          </w:rPr>
          <w:t>23</w:t>
        </w:r>
        <w:r w:rsidRPr="002A3021">
          <w:rPr>
            <w:rFonts w:eastAsia="Times New Roman"/>
            <w:color w:val="000000"/>
            <w:sz w:val="22"/>
            <w:lang w:eastAsia="en-AU"/>
            <w14:ligatures w14:val="standardContextual"/>
          </w:rPr>
          <w:tab/>
          <w:t>Historic, individually constructed, left hand drive and street rod vehicles</w:t>
        </w:r>
      </w:hyperlink>
    </w:p>
    <w:p w14:paraId="1CCD60B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5" w:history="1">
        <w:r w:rsidRPr="002A3021">
          <w:rPr>
            <w:rFonts w:eastAsia="Times New Roman"/>
            <w:color w:val="000000"/>
            <w:sz w:val="22"/>
            <w:lang w:eastAsia="en-AU"/>
            <w14:ligatures w14:val="standardContextual"/>
          </w:rPr>
          <w:t>24</w:t>
        </w:r>
        <w:r w:rsidRPr="002A3021">
          <w:rPr>
            <w:rFonts w:eastAsia="Times New Roman"/>
            <w:color w:val="000000"/>
            <w:sz w:val="22"/>
            <w:lang w:eastAsia="en-AU"/>
            <w14:ligatures w14:val="standardContextual"/>
          </w:rPr>
          <w:tab/>
          <w:t>Vehicles used between farm blocks</w:t>
        </w:r>
      </w:hyperlink>
    </w:p>
    <w:p w14:paraId="0E05519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6" w:history="1">
        <w:r w:rsidRPr="002A3021">
          <w:rPr>
            <w:rFonts w:eastAsia="Times New Roman"/>
            <w:color w:val="000000"/>
            <w:sz w:val="22"/>
            <w:lang w:eastAsia="en-AU"/>
            <w14:ligatures w14:val="standardContextual"/>
          </w:rPr>
          <w:t>25</w:t>
        </w:r>
        <w:r w:rsidRPr="002A3021">
          <w:rPr>
            <w:rFonts w:eastAsia="Times New Roman"/>
            <w:color w:val="000000"/>
            <w:sz w:val="22"/>
            <w:lang w:eastAsia="en-AU"/>
            <w14:ligatures w14:val="standardContextual"/>
          </w:rPr>
          <w:tab/>
          <w:t>Vehicles used to tow commercial fishing boats</w:t>
        </w:r>
      </w:hyperlink>
    </w:p>
    <w:p w14:paraId="7D17A4EE" w14:textId="7872A0F5" w:rsidR="00503368"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1214290_0cb3_45a7_be4d_e7e0398bc318_7" w:history="1">
        <w:r w:rsidRPr="002A3021">
          <w:rPr>
            <w:rFonts w:eastAsia="Times New Roman"/>
            <w:color w:val="000000"/>
            <w:sz w:val="22"/>
            <w:lang w:eastAsia="en-AU"/>
            <w14:ligatures w14:val="standardContextual"/>
          </w:rPr>
          <w:t>26</w:t>
        </w:r>
        <w:r w:rsidRPr="002A3021">
          <w:rPr>
            <w:rFonts w:eastAsia="Times New Roman"/>
            <w:color w:val="000000"/>
            <w:sz w:val="22"/>
            <w:lang w:eastAsia="en-AU"/>
            <w14:ligatures w14:val="standardContextual"/>
          </w:rPr>
          <w:tab/>
          <w:t>Other prescribed classes of vehicles</w:t>
        </w:r>
      </w:hyperlink>
    </w:p>
    <w:p w14:paraId="6095D388" w14:textId="77777777" w:rsidR="00503368" w:rsidRDefault="00503368">
      <w:pPr>
        <w:spacing w:after="0" w:line="240" w:lineRule="auto"/>
        <w:jc w:val="left"/>
        <w:rPr>
          <w:rFonts w:eastAsia="Times New Roman"/>
          <w:color w:val="000000"/>
          <w:sz w:val="22"/>
          <w:lang w:eastAsia="en-AU"/>
          <w14:ligatures w14:val="standardContextual"/>
        </w:rPr>
      </w:pPr>
      <w:r>
        <w:rPr>
          <w:rFonts w:eastAsia="Times New Roman"/>
          <w:color w:val="000000"/>
          <w:sz w:val="22"/>
          <w:lang w:eastAsia="en-AU"/>
          <w14:ligatures w14:val="standardContextual"/>
        </w:rPr>
        <w:br w:type="page"/>
      </w:r>
    </w:p>
    <w:p w14:paraId="0F1F3C92"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39" w:history="1">
        <w:r w:rsidRPr="002A3021">
          <w:rPr>
            <w:rFonts w:eastAsia="Times New Roman"/>
            <w:color w:val="000000"/>
            <w:sz w:val="24"/>
            <w:szCs w:val="24"/>
            <w:lang w:eastAsia="en-AU"/>
            <w14:ligatures w14:val="standardContextual"/>
          </w:rPr>
          <w:t>Subdivision 3—Miscellaneous</w:t>
        </w:r>
      </w:hyperlink>
    </w:p>
    <w:p w14:paraId="3C63552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0" w:history="1">
        <w:r w:rsidRPr="002A3021">
          <w:rPr>
            <w:rFonts w:eastAsia="Times New Roman"/>
            <w:color w:val="000000"/>
            <w:sz w:val="22"/>
            <w:lang w:eastAsia="en-AU"/>
            <w14:ligatures w14:val="standardContextual"/>
          </w:rPr>
          <w:t>27</w:t>
        </w:r>
        <w:r w:rsidRPr="002A3021">
          <w:rPr>
            <w:rFonts w:eastAsia="Times New Roman"/>
            <w:color w:val="000000"/>
            <w:sz w:val="22"/>
            <w:lang w:eastAsia="en-AU"/>
            <w14:ligatures w14:val="standardContextual"/>
          </w:rPr>
          <w:tab/>
          <w:t>Exemption from stamp duty</w:t>
        </w:r>
      </w:hyperlink>
    </w:p>
    <w:p w14:paraId="49C58D4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1" w:history="1">
        <w:r w:rsidRPr="002A3021">
          <w:rPr>
            <w:rFonts w:eastAsia="Times New Roman"/>
            <w:color w:val="000000"/>
            <w:sz w:val="22"/>
            <w:lang w:eastAsia="en-AU"/>
            <w14:ligatures w14:val="standardContextual"/>
          </w:rPr>
          <w:t>28</w:t>
        </w:r>
        <w:r w:rsidRPr="002A3021">
          <w:rPr>
            <w:rFonts w:eastAsia="Times New Roman"/>
            <w:color w:val="000000"/>
            <w:sz w:val="22"/>
            <w:lang w:eastAsia="en-AU"/>
            <w14:ligatures w14:val="standardContextual"/>
          </w:rPr>
          <w:tab/>
          <w:t>Duration of registration</w:t>
        </w:r>
      </w:hyperlink>
    </w:p>
    <w:p w14:paraId="3AC9E92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2" w:history="1">
        <w:r w:rsidRPr="002A3021">
          <w:rPr>
            <w:rFonts w:eastAsia="Times New Roman"/>
            <w:color w:val="000000"/>
            <w:sz w:val="22"/>
            <w:lang w:eastAsia="en-AU"/>
            <w14:ligatures w14:val="standardContextual"/>
          </w:rPr>
          <w:t>29</w:t>
        </w:r>
        <w:r w:rsidRPr="002A3021">
          <w:rPr>
            <w:rFonts w:eastAsia="Times New Roman"/>
            <w:color w:val="000000"/>
            <w:sz w:val="22"/>
            <w:lang w:eastAsia="en-AU"/>
            <w14:ligatures w14:val="standardContextual"/>
          </w:rPr>
          <w:tab/>
          <w:t>Transfer of registration</w:t>
        </w:r>
      </w:hyperlink>
    </w:p>
    <w:p w14:paraId="6F019F5B"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43" w:history="1">
        <w:r w:rsidRPr="002A3021">
          <w:rPr>
            <w:rFonts w:eastAsia="Times New Roman"/>
            <w:color w:val="000000"/>
            <w:sz w:val="26"/>
            <w:szCs w:val="26"/>
            <w:lang w:eastAsia="en-AU"/>
            <w14:ligatures w14:val="standardContextual"/>
          </w:rPr>
          <w:t>Division 4—Duty to notify alterations or additions to vehicles</w:t>
        </w:r>
      </w:hyperlink>
    </w:p>
    <w:p w14:paraId="2C4B566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b66b760_6f23_4629_bd87_44fe630c043b_4" w:history="1">
        <w:r w:rsidRPr="002A3021">
          <w:rPr>
            <w:rFonts w:eastAsia="Times New Roman"/>
            <w:color w:val="000000"/>
            <w:sz w:val="22"/>
            <w:lang w:eastAsia="en-AU"/>
            <w14:ligatures w14:val="standardContextual"/>
          </w:rPr>
          <w:t>30</w:t>
        </w:r>
        <w:r w:rsidRPr="002A3021">
          <w:rPr>
            <w:rFonts w:eastAsia="Times New Roman"/>
            <w:color w:val="000000"/>
            <w:sz w:val="22"/>
            <w:lang w:eastAsia="en-AU"/>
            <w14:ligatures w14:val="standardContextual"/>
          </w:rPr>
          <w:tab/>
          <w:t>Duty to notify alterations or additions to vehicles</w:t>
        </w:r>
      </w:hyperlink>
    </w:p>
    <w:p w14:paraId="613D8581"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46" w:history="1">
        <w:r w:rsidRPr="002A3021">
          <w:rPr>
            <w:rFonts w:eastAsia="Times New Roman"/>
            <w:color w:val="000000"/>
            <w:sz w:val="26"/>
            <w:szCs w:val="26"/>
            <w:lang w:eastAsia="en-AU"/>
            <w14:ligatures w14:val="standardContextual"/>
          </w:rPr>
          <w:t>Division 5—Numbers and number plates</w:t>
        </w:r>
      </w:hyperlink>
    </w:p>
    <w:p w14:paraId="10377D8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7" w:history="1">
        <w:r w:rsidRPr="002A3021">
          <w:rPr>
            <w:rFonts w:eastAsia="Times New Roman"/>
            <w:color w:val="000000"/>
            <w:sz w:val="22"/>
            <w:lang w:eastAsia="en-AU"/>
            <w14:ligatures w14:val="standardContextual"/>
          </w:rPr>
          <w:t>31</w:t>
        </w:r>
        <w:r w:rsidRPr="002A3021">
          <w:rPr>
            <w:rFonts w:eastAsia="Times New Roman"/>
            <w:color w:val="000000"/>
            <w:sz w:val="22"/>
            <w:lang w:eastAsia="en-AU"/>
            <w14:ligatures w14:val="standardContextual"/>
          </w:rPr>
          <w:tab/>
          <w:t>Carriage of number plates</w:t>
        </w:r>
      </w:hyperlink>
    </w:p>
    <w:p w14:paraId="3BD791D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0bcab7b_c497_4af0_bba4_c05926a9cc4e_0" w:history="1">
        <w:r w:rsidRPr="002A3021">
          <w:rPr>
            <w:rFonts w:eastAsia="Times New Roman"/>
            <w:color w:val="000000"/>
            <w:sz w:val="22"/>
            <w:lang w:eastAsia="en-AU"/>
            <w14:ligatures w14:val="standardContextual"/>
          </w:rPr>
          <w:t>32</w:t>
        </w:r>
        <w:r w:rsidRPr="002A3021">
          <w:rPr>
            <w:rFonts w:eastAsia="Times New Roman"/>
            <w:color w:val="000000"/>
            <w:sz w:val="22"/>
            <w:lang w:eastAsia="en-AU"/>
            <w14:ligatures w14:val="standardContextual"/>
          </w:rPr>
          <w:tab/>
          <w:t>Exemptions from duty to carry number plates</w:t>
        </w:r>
      </w:hyperlink>
    </w:p>
    <w:p w14:paraId="5801B65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0" w:history="1">
        <w:r w:rsidRPr="002A3021">
          <w:rPr>
            <w:rFonts w:eastAsia="Times New Roman"/>
            <w:color w:val="000000"/>
            <w:sz w:val="22"/>
            <w:lang w:eastAsia="en-AU"/>
            <w14:ligatures w14:val="standardContextual"/>
          </w:rPr>
          <w:t>33</w:t>
        </w:r>
        <w:r w:rsidRPr="002A3021">
          <w:rPr>
            <w:rFonts w:eastAsia="Times New Roman"/>
            <w:color w:val="000000"/>
            <w:sz w:val="22"/>
            <w:lang w:eastAsia="en-AU"/>
            <w14:ligatures w14:val="standardContextual"/>
          </w:rPr>
          <w:tab/>
          <w:t>Surrender of number plates—exceptions</w:t>
        </w:r>
      </w:hyperlink>
    </w:p>
    <w:p w14:paraId="54BE443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1" w:history="1">
        <w:r w:rsidRPr="002A3021">
          <w:rPr>
            <w:rFonts w:eastAsia="Times New Roman"/>
            <w:color w:val="000000"/>
            <w:sz w:val="22"/>
            <w:lang w:eastAsia="en-AU"/>
            <w14:ligatures w14:val="standardContextual"/>
          </w:rPr>
          <w:t>34</w:t>
        </w:r>
        <w:r w:rsidRPr="002A3021">
          <w:rPr>
            <w:rFonts w:eastAsia="Times New Roman"/>
            <w:color w:val="000000"/>
            <w:sz w:val="22"/>
            <w:lang w:eastAsia="en-AU"/>
            <w14:ligatures w14:val="standardContextual"/>
          </w:rPr>
          <w:tab/>
          <w:t>Exemptions from section 47D of Act</w:t>
        </w:r>
      </w:hyperlink>
    </w:p>
    <w:p w14:paraId="224C96F4"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52" w:history="1">
        <w:r w:rsidRPr="002A3021">
          <w:rPr>
            <w:rFonts w:eastAsia="Times New Roman"/>
            <w:color w:val="000000"/>
            <w:sz w:val="26"/>
            <w:szCs w:val="26"/>
            <w:lang w:eastAsia="en-AU"/>
            <w14:ligatures w14:val="standardContextual"/>
          </w:rPr>
          <w:t>Division 6—Suspension, cancellation and transfer of registration</w:t>
        </w:r>
      </w:hyperlink>
    </w:p>
    <w:p w14:paraId="6F47CA5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3" w:history="1">
        <w:r w:rsidRPr="002A3021">
          <w:rPr>
            <w:rFonts w:eastAsia="Times New Roman"/>
            <w:color w:val="000000"/>
            <w:sz w:val="22"/>
            <w:lang w:eastAsia="en-AU"/>
            <w14:ligatures w14:val="standardContextual"/>
          </w:rPr>
          <w:t>35</w:t>
        </w:r>
        <w:r w:rsidRPr="002A3021">
          <w:rPr>
            <w:rFonts w:eastAsia="Times New Roman"/>
            <w:color w:val="000000"/>
            <w:sz w:val="22"/>
            <w:lang w:eastAsia="en-AU"/>
            <w14:ligatures w14:val="standardContextual"/>
          </w:rPr>
          <w:tab/>
          <w:t>Exemption from section 56(b)(ii) of Act where motor vehicle dealer etc acting as delegate of Registrar, transfers registration of vehicle sold by dealer</w:t>
        </w:r>
      </w:hyperlink>
    </w:p>
    <w:p w14:paraId="302AFC59"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54" w:history="1">
        <w:r w:rsidRPr="002A3021">
          <w:rPr>
            <w:rFonts w:eastAsia="Times New Roman"/>
            <w:color w:val="000000"/>
            <w:sz w:val="26"/>
            <w:szCs w:val="26"/>
            <w:lang w:eastAsia="en-AU"/>
            <w14:ligatures w14:val="standardContextual"/>
          </w:rPr>
          <w:t>Division 7—Trade plates</w:t>
        </w:r>
      </w:hyperlink>
    </w:p>
    <w:p w14:paraId="7C1F9C6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5" w:history="1">
        <w:r w:rsidRPr="002A3021">
          <w:rPr>
            <w:rFonts w:eastAsia="Times New Roman"/>
            <w:color w:val="000000"/>
            <w:sz w:val="22"/>
            <w:lang w:eastAsia="en-AU"/>
            <w14:ligatures w14:val="standardContextual"/>
          </w:rPr>
          <w:t>36</w:t>
        </w:r>
        <w:r w:rsidRPr="002A3021">
          <w:rPr>
            <w:rFonts w:eastAsia="Times New Roman"/>
            <w:color w:val="000000"/>
            <w:sz w:val="22"/>
            <w:lang w:eastAsia="en-AU"/>
            <w14:ligatures w14:val="standardContextual"/>
          </w:rPr>
          <w:tab/>
          <w:t>Purposes for which trade plates may be issued and used</w:t>
        </w:r>
      </w:hyperlink>
    </w:p>
    <w:p w14:paraId="63BFEC7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6" w:history="1">
        <w:r w:rsidRPr="002A3021">
          <w:rPr>
            <w:rFonts w:eastAsia="Times New Roman"/>
            <w:color w:val="000000"/>
            <w:sz w:val="22"/>
            <w:lang w:eastAsia="en-AU"/>
            <w14:ligatures w14:val="standardContextual"/>
          </w:rPr>
          <w:t>37</w:t>
        </w:r>
        <w:r w:rsidRPr="002A3021">
          <w:rPr>
            <w:rFonts w:eastAsia="Times New Roman"/>
            <w:color w:val="000000"/>
            <w:sz w:val="22"/>
            <w:lang w:eastAsia="en-AU"/>
            <w14:ligatures w14:val="standardContextual"/>
          </w:rPr>
          <w:tab/>
          <w:t>Trade plate label and certificate of issue of trade plate</w:t>
        </w:r>
      </w:hyperlink>
    </w:p>
    <w:p w14:paraId="54E065E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7" w:history="1">
        <w:r w:rsidRPr="002A3021">
          <w:rPr>
            <w:rFonts w:eastAsia="Times New Roman"/>
            <w:color w:val="000000"/>
            <w:sz w:val="22"/>
            <w:lang w:eastAsia="en-AU"/>
            <w14:ligatures w14:val="standardContextual"/>
          </w:rPr>
          <w:t>38</w:t>
        </w:r>
        <w:r w:rsidRPr="002A3021">
          <w:rPr>
            <w:rFonts w:eastAsia="Times New Roman"/>
            <w:color w:val="000000"/>
            <w:sz w:val="22"/>
            <w:lang w:eastAsia="en-AU"/>
            <w14:ligatures w14:val="standardContextual"/>
          </w:rPr>
          <w:tab/>
          <w:t>Carriage of trade plate and trade plate label</w:t>
        </w:r>
      </w:hyperlink>
    </w:p>
    <w:p w14:paraId="3FB3323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8" w:history="1">
        <w:r w:rsidRPr="002A3021">
          <w:rPr>
            <w:rFonts w:eastAsia="Times New Roman"/>
            <w:color w:val="000000"/>
            <w:sz w:val="22"/>
            <w:lang w:eastAsia="en-AU"/>
            <w14:ligatures w14:val="standardContextual"/>
          </w:rPr>
          <w:t>39</w:t>
        </w:r>
        <w:r w:rsidRPr="002A3021">
          <w:rPr>
            <w:rFonts w:eastAsia="Times New Roman"/>
            <w:color w:val="000000"/>
            <w:sz w:val="22"/>
            <w:lang w:eastAsia="en-AU"/>
            <w14:ligatures w14:val="standardContextual"/>
          </w:rPr>
          <w:tab/>
          <w:t>Offences</w:t>
        </w:r>
      </w:hyperlink>
    </w:p>
    <w:p w14:paraId="589AC1F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9" w:history="1">
        <w:r w:rsidRPr="002A3021">
          <w:rPr>
            <w:rFonts w:eastAsia="Times New Roman"/>
            <w:color w:val="000000"/>
            <w:sz w:val="22"/>
            <w:lang w:eastAsia="en-AU"/>
            <w14:ligatures w14:val="standardContextual"/>
          </w:rPr>
          <w:t>40</w:t>
        </w:r>
        <w:r w:rsidRPr="002A3021">
          <w:rPr>
            <w:rFonts w:eastAsia="Times New Roman"/>
            <w:color w:val="000000"/>
            <w:sz w:val="22"/>
            <w:lang w:eastAsia="en-AU"/>
            <w14:ligatures w14:val="standardContextual"/>
          </w:rPr>
          <w:tab/>
          <w:t>Replacement of lost trade plate</w:t>
        </w:r>
      </w:hyperlink>
    </w:p>
    <w:p w14:paraId="440F49D0"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60" w:history="1">
        <w:r w:rsidRPr="002A3021">
          <w:rPr>
            <w:rFonts w:eastAsia="Times New Roman"/>
            <w:color w:val="000000"/>
            <w:sz w:val="26"/>
            <w:szCs w:val="26"/>
            <w:lang w:eastAsia="en-AU"/>
            <w14:ligatures w14:val="standardContextual"/>
          </w:rPr>
          <w:t>Division 8—Miscellaneous</w:t>
        </w:r>
      </w:hyperlink>
    </w:p>
    <w:p w14:paraId="198F95C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2f12080_21de_4857_951c_41ff02f0c72d_1" w:history="1">
        <w:r w:rsidRPr="002A3021">
          <w:rPr>
            <w:rFonts w:eastAsia="Times New Roman"/>
            <w:color w:val="000000"/>
            <w:sz w:val="22"/>
            <w:lang w:eastAsia="en-AU"/>
            <w14:ligatures w14:val="standardContextual"/>
          </w:rPr>
          <w:t>41</w:t>
        </w:r>
        <w:r w:rsidRPr="002A3021">
          <w:rPr>
            <w:rFonts w:eastAsia="Times New Roman"/>
            <w:color w:val="000000"/>
            <w:sz w:val="22"/>
            <w:lang w:eastAsia="en-AU"/>
            <w14:ligatures w14:val="standardContextual"/>
          </w:rPr>
          <w:tab/>
          <w:t>Registration details certificate</w:t>
        </w:r>
      </w:hyperlink>
    </w:p>
    <w:p w14:paraId="34724F6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3" w:history="1">
        <w:r w:rsidRPr="002A3021">
          <w:rPr>
            <w:rFonts w:eastAsia="Times New Roman"/>
            <w:color w:val="000000"/>
            <w:sz w:val="22"/>
            <w:lang w:eastAsia="en-AU"/>
            <w14:ligatures w14:val="standardContextual"/>
          </w:rPr>
          <w:t>42</w:t>
        </w:r>
        <w:r w:rsidRPr="002A3021">
          <w:rPr>
            <w:rFonts w:eastAsia="Times New Roman"/>
            <w:color w:val="000000"/>
            <w:sz w:val="22"/>
            <w:lang w:eastAsia="en-AU"/>
            <w14:ligatures w14:val="standardContextual"/>
          </w:rPr>
          <w:tab/>
          <w:t>Prescribed documents</w:t>
        </w:r>
      </w:hyperlink>
    </w:p>
    <w:p w14:paraId="205E222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4" w:history="1">
        <w:r w:rsidRPr="002A3021">
          <w:rPr>
            <w:rFonts w:eastAsia="Times New Roman"/>
            <w:color w:val="000000"/>
            <w:sz w:val="22"/>
            <w:lang w:eastAsia="en-AU"/>
            <w14:ligatures w14:val="standardContextual"/>
          </w:rPr>
          <w:t>43</w:t>
        </w:r>
        <w:r w:rsidRPr="002A3021">
          <w:rPr>
            <w:rFonts w:eastAsia="Times New Roman"/>
            <w:color w:val="000000"/>
            <w:sz w:val="22"/>
            <w:lang w:eastAsia="en-AU"/>
            <w14:ligatures w14:val="standardContextual"/>
          </w:rPr>
          <w:tab/>
          <w:t>Carriage of permits issued under section 16 of Act</w:t>
        </w:r>
      </w:hyperlink>
    </w:p>
    <w:p w14:paraId="5650066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5" w:history="1">
        <w:r w:rsidRPr="002A3021">
          <w:rPr>
            <w:rFonts w:eastAsia="Times New Roman"/>
            <w:color w:val="000000"/>
            <w:sz w:val="22"/>
            <w:lang w:eastAsia="en-AU"/>
            <w14:ligatures w14:val="standardContextual"/>
          </w:rPr>
          <w:t>44</w:t>
        </w:r>
        <w:r w:rsidRPr="002A3021">
          <w:rPr>
            <w:rFonts w:eastAsia="Times New Roman"/>
            <w:color w:val="000000"/>
            <w:sz w:val="22"/>
            <w:lang w:eastAsia="en-AU"/>
            <w14:ligatures w14:val="standardContextual"/>
          </w:rPr>
          <w:tab/>
          <w:t>Offences</w:t>
        </w:r>
      </w:hyperlink>
    </w:p>
    <w:p w14:paraId="57139DE0"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6" w:history="1">
        <w:r w:rsidRPr="002A3021">
          <w:rPr>
            <w:rFonts w:eastAsia="Times New Roman"/>
            <w:color w:val="000000"/>
            <w:sz w:val="28"/>
            <w:szCs w:val="28"/>
            <w:lang w:eastAsia="en-AU"/>
            <w14:ligatures w14:val="standardContextual"/>
          </w:rPr>
          <w:t>Part 3—Driver's licences and learner's permits</w:t>
        </w:r>
      </w:hyperlink>
    </w:p>
    <w:p w14:paraId="269C7424"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67" w:history="1">
        <w:r w:rsidRPr="002A3021">
          <w:rPr>
            <w:rFonts w:eastAsia="Times New Roman"/>
            <w:color w:val="000000"/>
            <w:sz w:val="26"/>
            <w:szCs w:val="26"/>
            <w:lang w:eastAsia="en-AU"/>
            <w14:ligatures w14:val="standardContextual"/>
          </w:rPr>
          <w:t>Division 1—Classification of licences</w:t>
        </w:r>
      </w:hyperlink>
    </w:p>
    <w:p w14:paraId="5B2053C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1688342_7fc0_4b62_8b60_4177fda96588_a" w:history="1">
        <w:r w:rsidRPr="002A3021">
          <w:rPr>
            <w:rFonts w:eastAsia="Times New Roman"/>
            <w:color w:val="000000"/>
            <w:sz w:val="22"/>
            <w:lang w:eastAsia="en-AU"/>
            <w14:ligatures w14:val="standardContextual"/>
          </w:rPr>
          <w:t>45</w:t>
        </w:r>
        <w:r w:rsidRPr="002A3021">
          <w:rPr>
            <w:rFonts w:eastAsia="Times New Roman"/>
            <w:color w:val="000000"/>
            <w:sz w:val="22"/>
            <w:lang w:eastAsia="en-AU"/>
            <w14:ligatures w14:val="standardContextual"/>
          </w:rPr>
          <w:tab/>
          <w:t>Classification of licences</w:t>
        </w:r>
      </w:hyperlink>
    </w:p>
    <w:p w14:paraId="023AFD2C"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70" w:history="1">
        <w:r w:rsidRPr="002A3021">
          <w:rPr>
            <w:rFonts w:eastAsia="Times New Roman"/>
            <w:color w:val="000000"/>
            <w:sz w:val="26"/>
            <w:szCs w:val="26"/>
            <w:lang w:eastAsia="en-AU"/>
            <w14:ligatures w14:val="standardContextual"/>
          </w:rPr>
          <w:t>Division 2—Driver's licences and learner's permits</w:t>
        </w:r>
      </w:hyperlink>
    </w:p>
    <w:p w14:paraId="2C0F287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1" w:history="1">
        <w:r w:rsidRPr="002A3021">
          <w:rPr>
            <w:rFonts w:eastAsia="Times New Roman"/>
            <w:color w:val="000000"/>
            <w:sz w:val="22"/>
            <w:lang w:eastAsia="en-AU"/>
            <w14:ligatures w14:val="standardContextual"/>
          </w:rPr>
          <w:t>46</w:t>
        </w:r>
        <w:r w:rsidRPr="002A3021">
          <w:rPr>
            <w:rFonts w:eastAsia="Times New Roman"/>
            <w:color w:val="000000"/>
            <w:sz w:val="22"/>
            <w:lang w:eastAsia="en-AU"/>
            <w14:ligatures w14:val="standardContextual"/>
          </w:rPr>
          <w:tab/>
          <w:t>Exemptions from certain requirements for qualified supervising drivers</w:t>
        </w:r>
      </w:hyperlink>
    </w:p>
    <w:p w14:paraId="5C90793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2" w:history="1">
        <w:r w:rsidRPr="002A3021">
          <w:rPr>
            <w:rFonts w:eastAsia="Times New Roman"/>
            <w:color w:val="000000"/>
            <w:sz w:val="22"/>
            <w:lang w:eastAsia="en-AU"/>
            <w14:ligatures w14:val="standardContextual"/>
          </w:rPr>
          <w:t>47</w:t>
        </w:r>
        <w:r w:rsidRPr="002A3021">
          <w:rPr>
            <w:rFonts w:eastAsia="Times New Roman"/>
            <w:color w:val="000000"/>
            <w:sz w:val="22"/>
            <w:lang w:eastAsia="en-AU"/>
            <w14:ligatures w14:val="standardContextual"/>
          </w:rPr>
          <w:tab/>
          <w:t>Duty of applicant for licence or permit to supply specimen signature etc</w:t>
        </w:r>
      </w:hyperlink>
    </w:p>
    <w:p w14:paraId="2D87C405"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3" w:history="1">
        <w:r w:rsidRPr="002A3021">
          <w:rPr>
            <w:rFonts w:eastAsia="Times New Roman"/>
            <w:color w:val="000000"/>
            <w:sz w:val="22"/>
            <w:lang w:eastAsia="en-AU"/>
            <w14:ligatures w14:val="standardContextual"/>
          </w:rPr>
          <w:t>48</w:t>
        </w:r>
        <w:r w:rsidRPr="002A3021">
          <w:rPr>
            <w:rFonts w:eastAsia="Times New Roman"/>
            <w:color w:val="000000"/>
            <w:sz w:val="22"/>
            <w:lang w:eastAsia="en-AU"/>
            <w14:ligatures w14:val="standardContextual"/>
          </w:rPr>
          <w:tab/>
          <w:t>Use of photographs by Registrar under section 77BA(2)(e) of Act</w:t>
        </w:r>
      </w:hyperlink>
    </w:p>
    <w:p w14:paraId="4C77C9C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4" w:history="1">
        <w:r w:rsidRPr="002A3021">
          <w:rPr>
            <w:rFonts w:eastAsia="Times New Roman"/>
            <w:color w:val="000000"/>
            <w:sz w:val="22"/>
            <w:lang w:eastAsia="en-AU"/>
            <w14:ligatures w14:val="standardContextual"/>
          </w:rPr>
          <w:t>49</w:t>
        </w:r>
        <w:r w:rsidRPr="002A3021">
          <w:rPr>
            <w:rFonts w:eastAsia="Times New Roman"/>
            <w:color w:val="000000"/>
            <w:sz w:val="22"/>
            <w:lang w:eastAsia="en-AU"/>
            <w14:ligatures w14:val="standardContextual"/>
          </w:rPr>
          <w:tab/>
          <w:t>Exemptions from duty to hold licence, learner's permit or particular class of licence</w:t>
        </w:r>
      </w:hyperlink>
    </w:p>
    <w:p w14:paraId="2A83FE6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5" w:history="1">
        <w:r w:rsidRPr="002A3021">
          <w:rPr>
            <w:rFonts w:eastAsia="Times New Roman"/>
            <w:color w:val="000000"/>
            <w:sz w:val="22"/>
            <w:lang w:eastAsia="en-AU"/>
            <w14:ligatures w14:val="standardContextual"/>
          </w:rPr>
          <w:t>50</w:t>
        </w:r>
        <w:r w:rsidRPr="002A3021">
          <w:rPr>
            <w:rFonts w:eastAsia="Times New Roman"/>
            <w:color w:val="000000"/>
            <w:sz w:val="22"/>
            <w:lang w:eastAsia="en-AU"/>
            <w14:ligatures w14:val="standardContextual"/>
          </w:rPr>
          <w:tab/>
          <w:t>Section 75(1)(aa)(i) of Act—exemption for certain applicants</w:t>
        </w:r>
      </w:hyperlink>
    </w:p>
    <w:p w14:paraId="24C48B7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6" w:history="1">
        <w:r w:rsidRPr="002A3021">
          <w:rPr>
            <w:rFonts w:eastAsia="Times New Roman"/>
            <w:color w:val="000000"/>
            <w:sz w:val="22"/>
            <w:lang w:eastAsia="en-AU"/>
            <w14:ligatures w14:val="standardContextual"/>
          </w:rPr>
          <w:t>51</w:t>
        </w:r>
        <w:r w:rsidRPr="002A3021">
          <w:rPr>
            <w:rFonts w:eastAsia="Times New Roman"/>
            <w:color w:val="000000"/>
            <w:sz w:val="22"/>
            <w:lang w:eastAsia="en-AU"/>
            <w14:ligatures w14:val="standardContextual"/>
          </w:rPr>
          <w:tab/>
          <w:t>Section 75A(1) of Act—prescribed locality</w:t>
        </w:r>
      </w:hyperlink>
    </w:p>
    <w:p w14:paraId="23273557"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ade2651_868c_4791_8557_8e49606ab5" w:history="1">
        <w:r w:rsidRPr="002A3021">
          <w:rPr>
            <w:rFonts w:eastAsia="Times New Roman"/>
            <w:color w:val="000000"/>
            <w:sz w:val="22"/>
            <w:lang w:eastAsia="en-AU"/>
            <w14:ligatures w14:val="standardContextual"/>
          </w:rPr>
          <w:t>52</w:t>
        </w:r>
        <w:r w:rsidRPr="002A3021">
          <w:rPr>
            <w:rFonts w:eastAsia="Times New Roman"/>
            <w:color w:val="000000"/>
            <w:sz w:val="22"/>
            <w:lang w:eastAsia="en-AU"/>
            <w14:ligatures w14:val="standardContextual"/>
          </w:rPr>
          <w:tab/>
          <w:t>Section 75A(2)(a)(v)(A) of Act—prescribed training, requirements and exemptions</w:t>
        </w:r>
      </w:hyperlink>
    </w:p>
    <w:p w14:paraId="32360DA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9" w:history="1">
        <w:r w:rsidRPr="002A3021">
          <w:rPr>
            <w:rFonts w:eastAsia="Times New Roman"/>
            <w:color w:val="000000"/>
            <w:sz w:val="22"/>
            <w:lang w:eastAsia="en-AU"/>
            <w14:ligatures w14:val="standardContextual"/>
          </w:rPr>
          <w:t>53</w:t>
        </w:r>
        <w:r w:rsidRPr="002A3021">
          <w:rPr>
            <w:rFonts w:eastAsia="Times New Roman"/>
            <w:color w:val="000000"/>
            <w:sz w:val="22"/>
            <w:lang w:eastAsia="en-AU"/>
            <w14:ligatures w14:val="standardContextual"/>
          </w:rPr>
          <w:tab/>
          <w:t>Section 75A(10)(c) of Act—exemption while driving motor trike</w:t>
        </w:r>
      </w:hyperlink>
    </w:p>
    <w:p w14:paraId="5EB7226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0" w:history="1">
        <w:r w:rsidRPr="002A3021">
          <w:rPr>
            <w:rFonts w:eastAsia="Times New Roman"/>
            <w:color w:val="000000"/>
            <w:sz w:val="22"/>
            <w:lang w:eastAsia="en-AU"/>
            <w14:ligatures w14:val="standardContextual"/>
          </w:rPr>
          <w:t>54</w:t>
        </w:r>
        <w:r w:rsidRPr="002A3021">
          <w:rPr>
            <w:rFonts w:eastAsia="Times New Roman"/>
            <w:color w:val="000000"/>
            <w:sz w:val="22"/>
            <w:lang w:eastAsia="en-AU"/>
            <w14:ligatures w14:val="standardContextual"/>
          </w:rPr>
          <w:tab/>
          <w:t>Offence against section 75A(20) of Act—prescribed circumstances (section 75A(21)(b) of Act)</w:t>
        </w:r>
      </w:hyperlink>
    </w:p>
    <w:p w14:paraId="32AF959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1" w:history="1">
        <w:r w:rsidRPr="002A3021">
          <w:rPr>
            <w:rFonts w:eastAsia="Times New Roman"/>
            <w:color w:val="000000"/>
            <w:sz w:val="22"/>
            <w:lang w:eastAsia="en-AU"/>
            <w14:ligatures w14:val="standardContextual"/>
          </w:rPr>
          <w:t>55</w:t>
        </w:r>
        <w:r w:rsidRPr="002A3021">
          <w:rPr>
            <w:rFonts w:eastAsia="Times New Roman"/>
            <w:color w:val="000000"/>
            <w:sz w:val="22"/>
            <w:lang w:eastAsia="en-AU"/>
            <w14:ligatures w14:val="standardContextual"/>
          </w:rPr>
          <w:tab/>
          <w:t>Section 75A(20) of Act—exemption for certain restricted motor bike learner's permit holders</w:t>
        </w:r>
      </w:hyperlink>
    </w:p>
    <w:p w14:paraId="150BC43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2" w:history="1">
        <w:r w:rsidRPr="002A3021">
          <w:rPr>
            <w:rFonts w:eastAsia="Times New Roman"/>
            <w:color w:val="000000"/>
            <w:sz w:val="22"/>
            <w:lang w:eastAsia="en-AU"/>
            <w14:ligatures w14:val="standardContextual"/>
          </w:rPr>
          <w:t>56</w:t>
        </w:r>
        <w:r w:rsidRPr="002A3021">
          <w:rPr>
            <w:rFonts w:eastAsia="Times New Roman"/>
            <w:color w:val="000000"/>
            <w:sz w:val="22"/>
            <w:lang w:eastAsia="en-AU"/>
            <w14:ligatures w14:val="standardContextual"/>
          </w:rPr>
          <w:tab/>
          <w:t>Section 75B(1) of Act—exemption for certain restricted motor bike learner's permit holders</w:t>
        </w:r>
      </w:hyperlink>
    </w:p>
    <w:p w14:paraId="7F722D97"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3" w:history="1">
        <w:r w:rsidRPr="002A3021">
          <w:rPr>
            <w:rFonts w:eastAsia="Times New Roman"/>
            <w:color w:val="000000"/>
            <w:sz w:val="22"/>
            <w:lang w:eastAsia="en-AU"/>
            <w14:ligatures w14:val="standardContextual"/>
          </w:rPr>
          <w:t>57</w:t>
        </w:r>
        <w:r w:rsidRPr="002A3021">
          <w:rPr>
            <w:rFonts w:eastAsia="Times New Roman"/>
            <w:color w:val="000000"/>
            <w:sz w:val="22"/>
            <w:lang w:eastAsia="en-AU"/>
            <w14:ligatures w14:val="standardContextual"/>
          </w:rPr>
          <w:tab/>
          <w:t>Offence against section 75B(1) of Act—prescribed circumstances (section 75B(1)(d) of Act)</w:t>
        </w:r>
      </w:hyperlink>
    </w:p>
    <w:p w14:paraId="5A4BF6F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4" w:history="1">
        <w:r w:rsidRPr="002A3021">
          <w:rPr>
            <w:rFonts w:eastAsia="Times New Roman"/>
            <w:color w:val="000000"/>
            <w:sz w:val="22"/>
            <w:lang w:eastAsia="en-AU"/>
            <w14:ligatures w14:val="standardContextual"/>
          </w:rPr>
          <w:t>58</w:t>
        </w:r>
        <w:r w:rsidRPr="002A3021">
          <w:rPr>
            <w:rFonts w:eastAsia="Times New Roman"/>
            <w:color w:val="000000"/>
            <w:sz w:val="22"/>
            <w:lang w:eastAsia="en-AU"/>
            <w14:ligatures w14:val="standardContextual"/>
          </w:rPr>
          <w:tab/>
          <w:t>Examination of applicant for licence or learner's permit</w:t>
        </w:r>
      </w:hyperlink>
    </w:p>
    <w:p w14:paraId="2F4F0893"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5" w:history="1">
        <w:r w:rsidRPr="002A3021">
          <w:rPr>
            <w:rFonts w:eastAsia="Times New Roman"/>
            <w:color w:val="000000"/>
            <w:sz w:val="22"/>
            <w:lang w:eastAsia="en-AU"/>
            <w14:ligatures w14:val="standardContextual"/>
          </w:rPr>
          <w:t>59</w:t>
        </w:r>
        <w:r w:rsidRPr="002A3021">
          <w:rPr>
            <w:rFonts w:eastAsia="Times New Roman"/>
            <w:color w:val="000000"/>
            <w:sz w:val="22"/>
            <w:lang w:eastAsia="en-AU"/>
            <w14:ligatures w14:val="standardContextual"/>
          </w:rPr>
          <w:tab/>
          <w:t>Section 79A of Act—exemptions from certain requirements</w:t>
        </w:r>
      </w:hyperlink>
    </w:p>
    <w:p w14:paraId="0608BFE1" w14:textId="496E3F4C" w:rsidR="00503368"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fd6cef2_14e6_442a_852e_6ed0d1e67606_8" w:history="1">
        <w:r w:rsidRPr="002A3021">
          <w:rPr>
            <w:rFonts w:eastAsia="Times New Roman"/>
            <w:color w:val="000000"/>
            <w:sz w:val="22"/>
            <w:lang w:eastAsia="en-AU"/>
            <w14:ligatures w14:val="standardContextual"/>
          </w:rPr>
          <w:t>60</w:t>
        </w:r>
        <w:r w:rsidRPr="002A3021">
          <w:rPr>
            <w:rFonts w:eastAsia="Times New Roman"/>
            <w:color w:val="000000"/>
            <w:sz w:val="22"/>
            <w:lang w:eastAsia="en-AU"/>
            <w14:ligatures w14:val="standardContextual"/>
          </w:rPr>
          <w:tab/>
          <w:t>Section 79A of Act—prescribed requirements and prescribed training</w:t>
        </w:r>
      </w:hyperlink>
    </w:p>
    <w:p w14:paraId="257F34E8" w14:textId="77777777" w:rsidR="00503368" w:rsidRDefault="00503368" w:rsidP="00503368">
      <w:pPr>
        <w:spacing w:after="0" w:line="80" w:lineRule="exact"/>
        <w:jc w:val="left"/>
        <w:rPr>
          <w:rFonts w:eastAsia="Times New Roman"/>
          <w:color w:val="000000"/>
          <w:sz w:val="22"/>
          <w:lang w:eastAsia="en-AU"/>
          <w14:ligatures w14:val="standardContextual"/>
        </w:rPr>
      </w:pPr>
      <w:r>
        <w:rPr>
          <w:rFonts w:eastAsia="Times New Roman"/>
          <w:color w:val="000000"/>
          <w:sz w:val="22"/>
          <w:lang w:eastAsia="en-AU"/>
          <w14:ligatures w14:val="standardContextual"/>
        </w:rPr>
        <w:br w:type="page"/>
      </w:r>
    </w:p>
    <w:p w14:paraId="18B5D15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8" w:history="1">
        <w:r w:rsidRPr="002A3021">
          <w:rPr>
            <w:rFonts w:eastAsia="Times New Roman"/>
            <w:color w:val="000000"/>
            <w:sz w:val="22"/>
            <w:lang w:eastAsia="en-AU"/>
            <w14:ligatures w14:val="standardContextual"/>
          </w:rPr>
          <w:t>61</w:t>
        </w:r>
        <w:r w:rsidRPr="002A3021">
          <w:rPr>
            <w:rFonts w:eastAsia="Times New Roman"/>
            <w:color w:val="000000"/>
            <w:sz w:val="22"/>
            <w:lang w:eastAsia="en-AU"/>
            <w14:ligatures w14:val="standardContextual"/>
          </w:rPr>
          <w:tab/>
          <w:t>Exemption from section 79B of Act</w:t>
        </w:r>
      </w:hyperlink>
    </w:p>
    <w:p w14:paraId="122DA03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9" w:history="1">
        <w:r w:rsidRPr="002A3021">
          <w:rPr>
            <w:rFonts w:eastAsia="Times New Roman"/>
            <w:color w:val="000000"/>
            <w:sz w:val="22"/>
            <w:lang w:eastAsia="en-AU"/>
            <w14:ligatures w14:val="standardContextual"/>
          </w:rPr>
          <w:t>62</w:t>
        </w:r>
        <w:r w:rsidRPr="002A3021">
          <w:rPr>
            <w:rFonts w:eastAsia="Times New Roman"/>
            <w:color w:val="000000"/>
            <w:sz w:val="22"/>
            <w:lang w:eastAsia="en-AU"/>
            <w14:ligatures w14:val="standardContextual"/>
          </w:rPr>
          <w:tab/>
          <w:t>Power to refuse practical driving test where undue danger to any person</w:t>
        </w:r>
      </w:hyperlink>
    </w:p>
    <w:p w14:paraId="7B68707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0" w:history="1">
        <w:r w:rsidRPr="002A3021">
          <w:rPr>
            <w:rFonts w:eastAsia="Times New Roman"/>
            <w:color w:val="000000"/>
            <w:sz w:val="22"/>
            <w:lang w:eastAsia="en-AU"/>
            <w14:ligatures w14:val="standardContextual"/>
          </w:rPr>
          <w:t>63</w:t>
        </w:r>
        <w:r w:rsidRPr="002A3021">
          <w:rPr>
            <w:rFonts w:eastAsia="Times New Roman"/>
            <w:color w:val="000000"/>
            <w:sz w:val="22"/>
            <w:lang w:eastAsia="en-AU"/>
            <w14:ligatures w14:val="standardContextual"/>
          </w:rPr>
          <w:tab/>
          <w:t>Certain practical driving tests not to be taken again within 13 day period</w:t>
        </w:r>
      </w:hyperlink>
    </w:p>
    <w:p w14:paraId="70AF633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fca778c_a099_4d35_a42e_d431f2f2b65c_2" w:history="1">
        <w:r w:rsidRPr="002A3021">
          <w:rPr>
            <w:rFonts w:eastAsia="Times New Roman"/>
            <w:color w:val="000000"/>
            <w:sz w:val="22"/>
            <w:lang w:eastAsia="en-AU"/>
            <w14:ligatures w14:val="standardContextual"/>
          </w:rPr>
          <w:t>64</w:t>
        </w:r>
        <w:r w:rsidRPr="002A3021">
          <w:rPr>
            <w:rFonts w:eastAsia="Times New Roman"/>
            <w:color w:val="000000"/>
            <w:sz w:val="22"/>
            <w:lang w:eastAsia="en-AU"/>
            <w14:ligatures w14:val="standardContextual"/>
          </w:rPr>
          <w:tab/>
          <w:t>Learner's permits—display of L plates</w:t>
        </w:r>
      </w:hyperlink>
    </w:p>
    <w:p w14:paraId="137D204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5780fd3_80f1_4a57_b364_b5f9eeb55bc0_4" w:history="1">
        <w:r w:rsidRPr="002A3021">
          <w:rPr>
            <w:rFonts w:eastAsia="Times New Roman"/>
            <w:color w:val="000000"/>
            <w:sz w:val="22"/>
            <w:lang w:eastAsia="en-AU"/>
            <w14:ligatures w14:val="standardContextual"/>
          </w:rPr>
          <w:t>65</w:t>
        </w:r>
        <w:r w:rsidRPr="002A3021">
          <w:rPr>
            <w:rFonts w:eastAsia="Times New Roman"/>
            <w:color w:val="000000"/>
            <w:sz w:val="22"/>
            <w:lang w:eastAsia="en-AU"/>
            <w14:ligatures w14:val="standardContextual"/>
          </w:rPr>
          <w:tab/>
          <w:t>Display of P plates</w:t>
        </w:r>
      </w:hyperlink>
    </w:p>
    <w:p w14:paraId="424AFBC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5" w:history="1">
        <w:r w:rsidRPr="002A3021">
          <w:rPr>
            <w:rFonts w:eastAsia="Times New Roman"/>
            <w:color w:val="000000"/>
            <w:sz w:val="22"/>
            <w:lang w:eastAsia="en-AU"/>
            <w14:ligatures w14:val="standardContextual"/>
          </w:rPr>
          <w:t>66</w:t>
        </w:r>
        <w:r w:rsidRPr="002A3021">
          <w:rPr>
            <w:rFonts w:eastAsia="Times New Roman"/>
            <w:color w:val="000000"/>
            <w:sz w:val="22"/>
            <w:lang w:eastAsia="en-AU"/>
            <w14:ligatures w14:val="standardContextual"/>
          </w:rPr>
          <w:tab/>
          <w:t>Exemptions for police officer or police cadet with provisional licence</w:t>
        </w:r>
      </w:hyperlink>
    </w:p>
    <w:p w14:paraId="51AB15C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6" w:history="1">
        <w:r w:rsidRPr="002A3021">
          <w:rPr>
            <w:rFonts w:eastAsia="Times New Roman"/>
            <w:color w:val="000000"/>
            <w:sz w:val="22"/>
            <w:lang w:eastAsia="en-AU"/>
            <w14:ligatures w14:val="standardContextual"/>
          </w:rPr>
          <w:t>67</w:t>
        </w:r>
        <w:r w:rsidRPr="002A3021">
          <w:rPr>
            <w:rFonts w:eastAsia="Times New Roman"/>
            <w:color w:val="000000"/>
            <w:sz w:val="22"/>
            <w:lang w:eastAsia="en-AU"/>
            <w14:ligatures w14:val="standardContextual"/>
          </w:rPr>
          <w:tab/>
          <w:t>Prescribed classes of applicants</w:t>
        </w:r>
      </w:hyperlink>
    </w:p>
    <w:p w14:paraId="2B6E79F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7" w:history="1">
        <w:r w:rsidRPr="002A3021">
          <w:rPr>
            <w:rFonts w:eastAsia="Times New Roman"/>
            <w:color w:val="000000"/>
            <w:sz w:val="22"/>
            <w:lang w:eastAsia="en-AU"/>
            <w14:ligatures w14:val="standardContextual"/>
          </w:rPr>
          <w:t>68</w:t>
        </w:r>
        <w:r w:rsidRPr="002A3021">
          <w:rPr>
            <w:rFonts w:eastAsia="Times New Roman"/>
            <w:color w:val="000000"/>
            <w:sz w:val="22"/>
            <w:lang w:eastAsia="en-AU"/>
            <w14:ligatures w14:val="standardContextual"/>
          </w:rPr>
          <w:tab/>
          <w:t>Offence against section 81A(16) of Act—defence of driving in prescribed circumstances (section 81A(17)(b) of Act)</w:t>
        </w:r>
      </w:hyperlink>
    </w:p>
    <w:p w14:paraId="484A8F77"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8" w:history="1">
        <w:r w:rsidRPr="002A3021">
          <w:rPr>
            <w:rFonts w:eastAsia="Times New Roman"/>
            <w:color w:val="000000"/>
            <w:sz w:val="22"/>
            <w:lang w:eastAsia="en-AU"/>
            <w14:ligatures w14:val="standardContextual"/>
          </w:rPr>
          <w:t>69</w:t>
        </w:r>
        <w:r w:rsidRPr="002A3021">
          <w:rPr>
            <w:rFonts w:eastAsia="Times New Roman"/>
            <w:color w:val="000000"/>
            <w:sz w:val="22"/>
            <w:lang w:eastAsia="en-AU"/>
            <w14:ligatures w14:val="standardContextual"/>
          </w:rPr>
          <w:tab/>
          <w:t>Section 81AC(1) of Act—prescribed class of motor bike licence</w:t>
        </w:r>
      </w:hyperlink>
    </w:p>
    <w:p w14:paraId="6F6E96A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9" w:history="1">
        <w:r w:rsidRPr="002A3021">
          <w:rPr>
            <w:rFonts w:eastAsia="Times New Roman"/>
            <w:color w:val="000000"/>
            <w:sz w:val="22"/>
            <w:lang w:eastAsia="en-AU"/>
            <w14:ligatures w14:val="standardContextual"/>
          </w:rPr>
          <w:t>70</w:t>
        </w:r>
        <w:r w:rsidRPr="002A3021">
          <w:rPr>
            <w:rFonts w:eastAsia="Times New Roman"/>
            <w:color w:val="000000"/>
            <w:sz w:val="22"/>
            <w:lang w:eastAsia="en-AU"/>
            <w14:ligatures w14:val="standardContextual"/>
          </w:rPr>
          <w:tab/>
          <w:t>Application for high powered vehicle exemption</w:t>
        </w:r>
      </w:hyperlink>
    </w:p>
    <w:p w14:paraId="009771D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0" w:history="1">
        <w:r w:rsidRPr="002A3021">
          <w:rPr>
            <w:rFonts w:eastAsia="Times New Roman"/>
            <w:color w:val="000000"/>
            <w:sz w:val="22"/>
            <w:lang w:eastAsia="en-AU"/>
            <w14:ligatures w14:val="standardContextual"/>
          </w:rPr>
          <w:t>71</w:t>
        </w:r>
        <w:r w:rsidRPr="002A3021">
          <w:rPr>
            <w:rFonts w:eastAsia="Times New Roman"/>
            <w:color w:val="000000"/>
            <w:sz w:val="22"/>
            <w:lang w:eastAsia="en-AU"/>
            <w14:ligatures w14:val="standardContextual"/>
          </w:rPr>
          <w:tab/>
          <w:t>Issue of certificate of high powered vehicle exemption</w:t>
        </w:r>
      </w:hyperlink>
    </w:p>
    <w:p w14:paraId="4CF837C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1" w:history="1">
        <w:r w:rsidRPr="002A3021">
          <w:rPr>
            <w:rFonts w:eastAsia="Times New Roman"/>
            <w:color w:val="000000"/>
            <w:sz w:val="22"/>
            <w:lang w:eastAsia="en-AU"/>
            <w14:ligatures w14:val="standardContextual"/>
          </w:rPr>
          <w:t>72</w:t>
        </w:r>
        <w:r w:rsidRPr="002A3021">
          <w:rPr>
            <w:rFonts w:eastAsia="Times New Roman"/>
            <w:color w:val="000000"/>
            <w:sz w:val="22"/>
            <w:lang w:eastAsia="en-AU"/>
            <w14:ligatures w14:val="standardContextual"/>
          </w:rPr>
          <w:tab/>
          <w:t>Issue of duplicate certificate of high powered vehicle exemption</w:t>
        </w:r>
      </w:hyperlink>
    </w:p>
    <w:p w14:paraId="698096D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2" w:history="1">
        <w:r w:rsidRPr="002A3021">
          <w:rPr>
            <w:rFonts w:eastAsia="Times New Roman"/>
            <w:color w:val="000000"/>
            <w:sz w:val="22"/>
            <w:lang w:eastAsia="en-AU"/>
            <w14:ligatures w14:val="standardContextual"/>
          </w:rPr>
          <w:t>73</w:t>
        </w:r>
        <w:r w:rsidRPr="002A3021">
          <w:rPr>
            <w:rFonts w:eastAsia="Times New Roman"/>
            <w:color w:val="000000"/>
            <w:sz w:val="22"/>
            <w:lang w:eastAsia="en-AU"/>
            <w14:ligatures w14:val="standardContextual"/>
          </w:rPr>
          <w:tab/>
          <w:t>Surrender of high powered vehicle certificate on surrender of licence</w:t>
        </w:r>
      </w:hyperlink>
    </w:p>
    <w:p w14:paraId="0528DC8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3" w:history="1">
        <w:r w:rsidRPr="002A3021">
          <w:rPr>
            <w:rFonts w:eastAsia="Times New Roman"/>
            <w:color w:val="000000"/>
            <w:sz w:val="22"/>
            <w:lang w:eastAsia="en-AU"/>
            <w14:ligatures w14:val="standardContextual"/>
          </w:rPr>
          <w:t>74</w:t>
        </w:r>
        <w:r w:rsidRPr="002A3021">
          <w:rPr>
            <w:rFonts w:eastAsia="Times New Roman"/>
            <w:color w:val="000000"/>
            <w:sz w:val="22"/>
            <w:lang w:eastAsia="en-AU"/>
            <w14:ligatures w14:val="standardContextual"/>
          </w:rPr>
          <w:tab/>
          <w:t>Requirement to produce certificate of high powered vehicle exemption</w:t>
        </w:r>
      </w:hyperlink>
    </w:p>
    <w:p w14:paraId="0BA1EA83"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4" w:history="1">
        <w:r w:rsidRPr="002A3021">
          <w:rPr>
            <w:rFonts w:eastAsia="Times New Roman"/>
            <w:color w:val="000000"/>
            <w:sz w:val="22"/>
            <w:lang w:eastAsia="en-AU"/>
            <w14:ligatures w14:val="standardContextual"/>
          </w:rPr>
          <w:t>75</w:t>
        </w:r>
        <w:r w:rsidRPr="002A3021">
          <w:rPr>
            <w:rFonts w:eastAsia="Times New Roman"/>
            <w:color w:val="000000"/>
            <w:sz w:val="22"/>
            <w:lang w:eastAsia="en-AU"/>
            <w14:ligatures w14:val="standardContextual"/>
          </w:rPr>
          <w:tab/>
          <w:t>Duty to carry certificate of high powered vehicle exemption</w:t>
        </w:r>
      </w:hyperlink>
    </w:p>
    <w:p w14:paraId="5DAE5C8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5" w:history="1">
        <w:r w:rsidRPr="002A3021">
          <w:rPr>
            <w:rFonts w:eastAsia="Times New Roman"/>
            <w:color w:val="000000"/>
            <w:sz w:val="22"/>
            <w:lang w:eastAsia="en-AU"/>
            <w14:ligatures w14:val="standardContextual"/>
          </w:rPr>
          <w:t>76</w:t>
        </w:r>
        <w:r w:rsidRPr="002A3021">
          <w:rPr>
            <w:rFonts w:eastAsia="Times New Roman"/>
            <w:color w:val="000000"/>
            <w:sz w:val="22"/>
            <w:lang w:eastAsia="en-AU"/>
            <w14:ligatures w14:val="standardContextual"/>
          </w:rPr>
          <w:tab/>
          <w:t>Cancellation of high powered vehicle exemption granted in error</w:t>
        </w:r>
      </w:hyperlink>
    </w:p>
    <w:p w14:paraId="0520CF6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6" w:history="1">
        <w:r w:rsidRPr="002A3021">
          <w:rPr>
            <w:rFonts w:eastAsia="Times New Roman"/>
            <w:color w:val="000000"/>
            <w:sz w:val="22"/>
            <w:lang w:eastAsia="en-AU"/>
            <w14:ligatures w14:val="standardContextual"/>
          </w:rPr>
          <w:t>77</w:t>
        </w:r>
        <w:r w:rsidRPr="002A3021">
          <w:rPr>
            <w:rFonts w:eastAsia="Times New Roman"/>
            <w:color w:val="000000"/>
            <w:sz w:val="22"/>
            <w:lang w:eastAsia="en-AU"/>
            <w14:ligatures w14:val="standardContextual"/>
          </w:rPr>
          <w:tab/>
          <w:t>High powered vehicle exemption falsely obtained is void</w:t>
        </w:r>
      </w:hyperlink>
    </w:p>
    <w:p w14:paraId="56C1A83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7" w:history="1">
        <w:r w:rsidRPr="002A3021">
          <w:rPr>
            <w:rFonts w:eastAsia="Times New Roman"/>
            <w:color w:val="000000"/>
            <w:sz w:val="22"/>
            <w:lang w:eastAsia="en-AU"/>
            <w14:ligatures w14:val="standardContextual"/>
          </w:rPr>
          <w:t>78</w:t>
        </w:r>
        <w:r w:rsidRPr="002A3021">
          <w:rPr>
            <w:rFonts w:eastAsia="Times New Roman"/>
            <w:color w:val="000000"/>
            <w:sz w:val="22"/>
            <w:lang w:eastAsia="en-AU"/>
            <w14:ligatures w14:val="standardContextual"/>
          </w:rPr>
          <w:tab/>
          <w:t>Certificate of high powered vehicle exemption unlawfully altered or damaged is void</w:t>
        </w:r>
      </w:hyperlink>
    </w:p>
    <w:p w14:paraId="5E6015B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ebff841_e90e_40f8_961b_00889f024b21_d" w:history="1">
        <w:r w:rsidRPr="002A3021">
          <w:rPr>
            <w:rFonts w:eastAsia="Times New Roman"/>
            <w:color w:val="000000"/>
            <w:sz w:val="22"/>
            <w:lang w:eastAsia="en-AU"/>
            <w14:ligatures w14:val="standardContextual"/>
          </w:rPr>
          <w:t>79</w:t>
        </w:r>
        <w:r w:rsidRPr="002A3021">
          <w:rPr>
            <w:rFonts w:eastAsia="Times New Roman"/>
            <w:color w:val="000000"/>
            <w:sz w:val="22"/>
            <w:lang w:eastAsia="en-AU"/>
            <w14:ligatures w14:val="standardContextual"/>
          </w:rPr>
          <w:tab/>
          <w:t>Attendance at lectures by holder of learner's permit etc who contravenes probationary conditions or incurs 4 or more demerit points</w:t>
        </w:r>
      </w:hyperlink>
    </w:p>
    <w:p w14:paraId="272EA484"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0" w:history="1">
        <w:r w:rsidRPr="002A3021">
          <w:rPr>
            <w:rFonts w:eastAsia="Times New Roman"/>
            <w:color w:val="000000"/>
            <w:sz w:val="22"/>
            <w:lang w:eastAsia="en-AU"/>
            <w14:ligatures w14:val="standardContextual"/>
          </w:rPr>
          <w:t>80</w:t>
        </w:r>
        <w:r w:rsidRPr="002A3021">
          <w:rPr>
            <w:rFonts w:eastAsia="Times New Roman"/>
            <w:color w:val="000000"/>
            <w:sz w:val="22"/>
            <w:lang w:eastAsia="en-AU"/>
            <w14:ligatures w14:val="standardContextual"/>
          </w:rPr>
          <w:tab/>
          <w:t>Manner of giving Registrar notice of decision to enter into Safer Driver Agreement</w:t>
        </w:r>
      </w:hyperlink>
    </w:p>
    <w:p w14:paraId="436A1FE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1" w:history="1">
        <w:r w:rsidRPr="002A3021">
          <w:rPr>
            <w:rFonts w:eastAsia="Times New Roman"/>
            <w:color w:val="000000"/>
            <w:sz w:val="22"/>
            <w:lang w:eastAsia="en-AU"/>
            <w14:ligatures w14:val="standardContextual"/>
          </w:rPr>
          <w:t>81</w:t>
        </w:r>
        <w:r w:rsidRPr="002A3021">
          <w:rPr>
            <w:rFonts w:eastAsia="Times New Roman"/>
            <w:color w:val="000000"/>
            <w:sz w:val="22"/>
            <w:lang w:eastAsia="en-AU"/>
            <w14:ligatures w14:val="standardContextual"/>
          </w:rPr>
          <w:tab/>
          <w:t>Exemption from section 81BB(7)(a) of Act</w:t>
        </w:r>
      </w:hyperlink>
    </w:p>
    <w:p w14:paraId="5957242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2" w:history="1">
        <w:r w:rsidRPr="002A3021">
          <w:rPr>
            <w:rFonts w:eastAsia="Times New Roman"/>
            <w:color w:val="000000"/>
            <w:sz w:val="22"/>
            <w:lang w:eastAsia="en-AU"/>
            <w14:ligatures w14:val="standardContextual"/>
          </w:rPr>
          <w:t>82</w:t>
        </w:r>
        <w:r w:rsidRPr="002A3021">
          <w:rPr>
            <w:rFonts w:eastAsia="Times New Roman"/>
            <w:color w:val="000000"/>
            <w:sz w:val="22"/>
            <w:lang w:eastAsia="en-AU"/>
            <w14:ligatures w14:val="standardContextual"/>
          </w:rPr>
          <w:tab/>
          <w:t>Exemption from duty to carry and produce probationary licence or provisional licence for police officers and police cadets</w:t>
        </w:r>
      </w:hyperlink>
    </w:p>
    <w:p w14:paraId="7F13E02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3" w:history="1">
        <w:r w:rsidRPr="002A3021">
          <w:rPr>
            <w:rFonts w:eastAsia="Times New Roman"/>
            <w:color w:val="000000"/>
            <w:sz w:val="22"/>
            <w:lang w:eastAsia="en-AU"/>
            <w14:ligatures w14:val="standardContextual"/>
          </w:rPr>
          <w:t>83</w:t>
        </w:r>
        <w:r w:rsidRPr="002A3021">
          <w:rPr>
            <w:rFonts w:eastAsia="Times New Roman"/>
            <w:color w:val="000000"/>
            <w:sz w:val="22"/>
            <w:lang w:eastAsia="en-AU"/>
            <w14:ligatures w14:val="standardContextual"/>
          </w:rPr>
          <w:tab/>
          <w:t>Cancellation of motor driving instructor's licence on surrender</w:t>
        </w:r>
      </w:hyperlink>
    </w:p>
    <w:p w14:paraId="388C655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4" w:history="1">
        <w:r w:rsidRPr="002A3021">
          <w:rPr>
            <w:rFonts w:eastAsia="Times New Roman"/>
            <w:color w:val="000000"/>
            <w:sz w:val="22"/>
            <w:lang w:eastAsia="en-AU"/>
            <w14:ligatures w14:val="standardContextual"/>
          </w:rPr>
          <w:t>84</w:t>
        </w:r>
        <w:r w:rsidRPr="002A3021">
          <w:rPr>
            <w:rFonts w:eastAsia="Times New Roman"/>
            <w:color w:val="000000"/>
            <w:sz w:val="22"/>
            <w:lang w:eastAsia="en-AU"/>
            <w14:ligatures w14:val="standardContextual"/>
          </w:rPr>
          <w:tab/>
          <w:t>Endorsement of conditions on driver's licences and learner's permits</w:t>
        </w:r>
      </w:hyperlink>
    </w:p>
    <w:p w14:paraId="7D193EAE"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15" w:history="1">
        <w:r w:rsidRPr="002A3021">
          <w:rPr>
            <w:rFonts w:eastAsia="Times New Roman"/>
            <w:color w:val="000000"/>
            <w:sz w:val="26"/>
            <w:szCs w:val="26"/>
            <w:lang w:eastAsia="en-AU"/>
            <w14:ligatures w14:val="standardContextual"/>
          </w:rPr>
          <w:t>Division 3—Alcohol interlock schemes</w:t>
        </w:r>
      </w:hyperlink>
    </w:p>
    <w:p w14:paraId="4C86854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6" w:history="1">
        <w:r w:rsidRPr="002A3021">
          <w:rPr>
            <w:rFonts w:eastAsia="Times New Roman"/>
            <w:color w:val="000000"/>
            <w:sz w:val="22"/>
            <w:lang w:eastAsia="en-AU"/>
            <w14:ligatures w14:val="standardContextual"/>
          </w:rPr>
          <w:t>85</w:t>
        </w:r>
        <w:r w:rsidRPr="002A3021">
          <w:rPr>
            <w:rFonts w:eastAsia="Times New Roman"/>
            <w:color w:val="000000"/>
            <w:sz w:val="22"/>
            <w:lang w:eastAsia="en-AU"/>
            <w14:ligatures w14:val="standardContextual"/>
          </w:rPr>
          <w:tab/>
          <w:t>Circumstances in which licence not subject to mandatory alcohol interlock scheme conditions</w:t>
        </w:r>
      </w:hyperlink>
    </w:p>
    <w:p w14:paraId="5FB30C1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7" w:history="1">
        <w:r w:rsidRPr="002A3021">
          <w:rPr>
            <w:rFonts w:eastAsia="Times New Roman"/>
            <w:color w:val="000000"/>
            <w:sz w:val="22"/>
            <w:lang w:eastAsia="en-AU"/>
            <w14:ligatures w14:val="standardContextual"/>
          </w:rPr>
          <w:t>86</w:t>
        </w:r>
        <w:r w:rsidRPr="002A3021">
          <w:rPr>
            <w:rFonts w:eastAsia="Times New Roman"/>
            <w:color w:val="000000"/>
            <w:sz w:val="22"/>
            <w:lang w:eastAsia="en-AU"/>
            <w14:ligatures w14:val="standardContextual"/>
          </w:rPr>
          <w:tab/>
          <w:t>Testing of alcohol interlocks</w:t>
        </w:r>
      </w:hyperlink>
    </w:p>
    <w:p w14:paraId="72E4BE40"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18" w:history="1">
        <w:r w:rsidRPr="002A3021">
          <w:rPr>
            <w:rFonts w:eastAsia="Times New Roman"/>
            <w:color w:val="000000"/>
            <w:sz w:val="28"/>
            <w:szCs w:val="28"/>
            <w:lang w:eastAsia="en-AU"/>
            <w14:ligatures w14:val="standardContextual"/>
          </w:rPr>
          <w:t>Part 4—Motor driving instructors' licences</w:t>
        </w:r>
      </w:hyperlink>
    </w:p>
    <w:p w14:paraId="4C6397E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9" w:history="1">
        <w:r w:rsidRPr="002A3021">
          <w:rPr>
            <w:rFonts w:eastAsia="Times New Roman"/>
            <w:color w:val="000000"/>
            <w:sz w:val="22"/>
            <w:lang w:eastAsia="en-AU"/>
            <w14:ligatures w14:val="standardContextual"/>
          </w:rPr>
          <w:t>87</w:t>
        </w:r>
        <w:r w:rsidRPr="002A3021">
          <w:rPr>
            <w:rFonts w:eastAsia="Times New Roman"/>
            <w:color w:val="000000"/>
            <w:sz w:val="22"/>
            <w:lang w:eastAsia="en-AU"/>
            <w14:ligatures w14:val="standardContextual"/>
          </w:rPr>
          <w:tab/>
          <w:t>Applicant for licence to supply photographs to Registrar</w:t>
        </w:r>
      </w:hyperlink>
    </w:p>
    <w:p w14:paraId="23C7867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0" w:history="1">
        <w:r w:rsidRPr="002A3021">
          <w:rPr>
            <w:rFonts w:eastAsia="Times New Roman"/>
            <w:color w:val="000000"/>
            <w:sz w:val="22"/>
            <w:lang w:eastAsia="en-AU"/>
            <w14:ligatures w14:val="standardContextual"/>
          </w:rPr>
          <w:t>88</w:t>
        </w:r>
        <w:r w:rsidRPr="002A3021">
          <w:rPr>
            <w:rFonts w:eastAsia="Times New Roman"/>
            <w:color w:val="000000"/>
            <w:sz w:val="22"/>
            <w:lang w:eastAsia="en-AU"/>
            <w14:ligatures w14:val="standardContextual"/>
          </w:rPr>
          <w:tab/>
          <w:t>Applicant for licence to pay fees before proficiency tests</w:t>
        </w:r>
      </w:hyperlink>
    </w:p>
    <w:p w14:paraId="387E14E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1" w:history="1">
        <w:r w:rsidRPr="002A3021">
          <w:rPr>
            <w:rFonts w:eastAsia="Times New Roman"/>
            <w:color w:val="000000"/>
            <w:sz w:val="22"/>
            <w:lang w:eastAsia="en-AU"/>
            <w14:ligatures w14:val="standardContextual"/>
          </w:rPr>
          <w:t>89</w:t>
        </w:r>
        <w:r w:rsidRPr="002A3021">
          <w:rPr>
            <w:rFonts w:eastAsia="Times New Roman"/>
            <w:color w:val="000000"/>
            <w:sz w:val="22"/>
            <w:lang w:eastAsia="en-AU"/>
            <w14:ligatures w14:val="standardContextual"/>
          </w:rPr>
          <w:tab/>
          <w:t>Exemption from duty to hold motor driving instructor's licence for approved motor bike training courses</w:t>
        </w:r>
      </w:hyperlink>
    </w:p>
    <w:p w14:paraId="57F529C0"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22" w:history="1">
        <w:r w:rsidRPr="002A3021">
          <w:rPr>
            <w:rFonts w:eastAsia="Times New Roman"/>
            <w:color w:val="000000"/>
            <w:sz w:val="28"/>
            <w:szCs w:val="28"/>
            <w:lang w:eastAsia="en-AU"/>
            <w14:ligatures w14:val="standardContextual"/>
          </w:rPr>
          <w:t>Part 5—Demerit points scheme</w:t>
        </w:r>
      </w:hyperlink>
    </w:p>
    <w:p w14:paraId="734F954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3" w:history="1">
        <w:r w:rsidRPr="002A3021">
          <w:rPr>
            <w:rFonts w:eastAsia="Times New Roman"/>
            <w:color w:val="000000"/>
            <w:sz w:val="22"/>
            <w:lang w:eastAsia="en-AU"/>
            <w14:ligatures w14:val="standardContextual"/>
          </w:rPr>
          <w:t>90</w:t>
        </w:r>
        <w:r w:rsidRPr="002A3021">
          <w:rPr>
            <w:rFonts w:eastAsia="Times New Roman"/>
            <w:color w:val="000000"/>
            <w:sz w:val="22"/>
            <w:lang w:eastAsia="en-AU"/>
            <w14:ligatures w14:val="standardContextual"/>
          </w:rPr>
          <w:tab/>
          <w:t>Demerit points for offences</w:t>
        </w:r>
      </w:hyperlink>
    </w:p>
    <w:p w14:paraId="4F1F69B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4" w:history="1">
        <w:r w:rsidRPr="002A3021">
          <w:rPr>
            <w:rFonts w:eastAsia="Times New Roman"/>
            <w:color w:val="000000"/>
            <w:sz w:val="22"/>
            <w:lang w:eastAsia="en-AU"/>
            <w14:ligatures w14:val="standardContextual"/>
          </w:rPr>
          <w:t>91</w:t>
        </w:r>
        <w:r w:rsidRPr="002A3021">
          <w:rPr>
            <w:rFonts w:eastAsia="Times New Roman"/>
            <w:color w:val="000000"/>
            <w:sz w:val="22"/>
            <w:lang w:eastAsia="en-AU"/>
            <w14:ligatures w14:val="standardContextual"/>
          </w:rPr>
          <w:tab/>
          <w:t>Demerit points for offences interstate—corresponding laws</w:t>
        </w:r>
      </w:hyperlink>
    </w:p>
    <w:p w14:paraId="0326602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5" w:history="1">
        <w:r w:rsidRPr="002A3021">
          <w:rPr>
            <w:rFonts w:eastAsia="Times New Roman"/>
            <w:color w:val="000000"/>
            <w:sz w:val="22"/>
            <w:lang w:eastAsia="en-AU"/>
            <w14:ligatures w14:val="standardContextual"/>
          </w:rPr>
          <w:t>92</w:t>
        </w:r>
        <w:r w:rsidRPr="002A3021">
          <w:rPr>
            <w:rFonts w:eastAsia="Times New Roman"/>
            <w:color w:val="000000"/>
            <w:sz w:val="22"/>
            <w:lang w:eastAsia="en-AU"/>
            <w14:ligatures w14:val="standardContextual"/>
          </w:rPr>
          <w:tab/>
          <w:t>Manner of giving Registrar notice of election under section 98BE of Act</w:t>
        </w:r>
      </w:hyperlink>
    </w:p>
    <w:p w14:paraId="724287A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6" w:history="1">
        <w:r w:rsidRPr="002A3021">
          <w:rPr>
            <w:rFonts w:eastAsia="Times New Roman"/>
            <w:color w:val="000000"/>
            <w:sz w:val="22"/>
            <w:lang w:eastAsia="en-AU"/>
            <w14:ligatures w14:val="standardContextual"/>
          </w:rPr>
          <w:t>93</w:t>
        </w:r>
        <w:r w:rsidRPr="002A3021">
          <w:rPr>
            <w:rFonts w:eastAsia="Times New Roman"/>
            <w:color w:val="000000"/>
            <w:sz w:val="22"/>
            <w:lang w:eastAsia="en-AU"/>
            <w14:ligatures w14:val="standardContextual"/>
          </w:rPr>
          <w:tab/>
          <w:t>Notification of demerit points to interstate licensing authorities</w:t>
        </w:r>
      </w:hyperlink>
    </w:p>
    <w:p w14:paraId="7D5A5427"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39e42f03_3d17_4a7a_8c1f_8e2cfdc2035a_a" w:history="1">
        <w:r w:rsidRPr="002A3021">
          <w:rPr>
            <w:rFonts w:eastAsia="Times New Roman"/>
            <w:color w:val="000000"/>
            <w:sz w:val="28"/>
            <w:szCs w:val="28"/>
            <w:lang w:eastAsia="en-AU"/>
            <w14:ligatures w14:val="standardContextual"/>
          </w:rPr>
          <w:t>Part 6—Written-off vehicles</w:t>
        </w:r>
      </w:hyperlink>
    </w:p>
    <w:p w14:paraId="0D5B4825"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9" w:history="1">
        <w:r w:rsidRPr="002A3021">
          <w:rPr>
            <w:rFonts w:eastAsia="Times New Roman"/>
            <w:color w:val="000000"/>
            <w:sz w:val="22"/>
            <w:lang w:eastAsia="en-AU"/>
            <w14:ligatures w14:val="standardContextual"/>
          </w:rPr>
          <w:t>94</w:t>
        </w:r>
        <w:r w:rsidRPr="002A3021">
          <w:rPr>
            <w:rFonts w:eastAsia="Times New Roman"/>
            <w:color w:val="000000"/>
            <w:sz w:val="22"/>
            <w:lang w:eastAsia="en-AU"/>
            <w14:ligatures w14:val="standardContextual"/>
          </w:rPr>
          <w:tab/>
          <w:t>Interpretation</w:t>
        </w:r>
      </w:hyperlink>
    </w:p>
    <w:p w14:paraId="01EB5D2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0" w:history="1">
        <w:r w:rsidRPr="002A3021">
          <w:rPr>
            <w:rFonts w:eastAsia="Times New Roman"/>
            <w:color w:val="000000"/>
            <w:sz w:val="22"/>
            <w:lang w:eastAsia="en-AU"/>
            <w14:ligatures w14:val="standardContextual"/>
          </w:rPr>
          <w:t>95</w:t>
        </w:r>
        <w:r w:rsidRPr="002A3021">
          <w:rPr>
            <w:rFonts w:eastAsia="Times New Roman"/>
            <w:color w:val="000000"/>
            <w:sz w:val="22"/>
            <w:lang w:eastAsia="en-AU"/>
            <w14:ligatures w14:val="standardContextual"/>
          </w:rPr>
          <w:tab/>
          <w:t>Meaning of written</w:t>
        </w:r>
        <w:r w:rsidRPr="002A3021">
          <w:rPr>
            <w:rFonts w:eastAsia="Times New Roman"/>
            <w:color w:val="000000"/>
            <w:sz w:val="22"/>
            <w:lang w:eastAsia="en-AU"/>
            <w14:ligatures w14:val="standardContextual"/>
          </w:rPr>
          <w:noBreakHyphen/>
          <w:t>off motor vehicle for purposes of section 145(8) of Act</w:t>
        </w:r>
      </w:hyperlink>
    </w:p>
    <w:p w14:paraId="3D6267D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1" w:history="1">
        <w:r w:rsidRPr="002A3021">
          <w:rPr>
            <w:rFonts w:eastAsia="Times New Roman"/>
            <w:color w:val="000000"/>
            <w:sz w:val="22"/>
            <w:lang w:eastAsia="en-AU"/>
            <w14:ligatures w14:val="standardContextual"/>
          </w:rPr>
          <w:t>96</w:t>
        </w:r>
        <w:r w:rsidRPr="002A3021">
          <w:rPr>
            <w:rFonts w:eastAsia="Times New Roman"/>
            <w:color w:val="000000"/>
            <w:sz w:val="22"/>
            <w:lang w:eastAsia="en-AU"/>
            <w14:ligatures w14:val="standardContextual"/>
          </w:rPr>
          <w:tab/>
          <w:t>Application of Part</w:t>
        </w:r>
      </w:hyperlink>
    </w:p>
    <w:p w14:paraId="0337149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b6ea04c_850f_41f5_8455_1b6fc0ed8dee_2" w:history="1">
        <w:r w:rsidRPr="002A3021">
          <w:rPr>
            <w:rFonts w:eastAsia="Times New Roman"/>
            <w:color w:val="000000"/>
            <w:sz w:val="22"/>
            <w:lang w:eastAsia="en-AU"/>
            <w14:ligatures w14:val="standardContextual"/>
          </w:rPr>
          <w:t>97</w:t>
        </w:r>
        <w:r w:rsidRPr="002A3021">
          <w:rPr>
            <w:rFonts w:eastAsia="Times New Roman"/>
            <w:color w:val="000000"/>
            <w:sz w:val="22"/>
            <w:lang w:eastAsia="en-AU"/>
            <w14:ligatures w14:val="standardContextual"/>
          </w:rPr>
          <w:tab/>
          <w:t>Registrar to be given notice of, and notices to be affixed to, written</w:t>
        </w:r>
        <w:r w:rsidRPr="002A3021">
          <w:rPr>
            <w:rFonts w:eastAsia="Times New Roman"/>
            <w:color w:val="000000"/>
            <w:sz w:val="22"/>
            <w:lang w:eastAsia="en-AU"/>
            <w14:ligatures w14:val="standardContextual"/>
          </w:rPr>
          <w:noBreakHyphen/>
          <w:t>off vehicles</w:t>
        </w:r>
      </w:hyperlink>
    </w:p>
    <w:p w14:paraId="731E32D5" w14:textId="71EF2D93" w:rsidR="00503368"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4" w:history="1">
        <w:r w:rsidRPr="002A3021">
          <w:rPr>
            <w:rFonts w:eastAsia="Times New Roman"/>
            <w:color w:val="000000"/>
            <w:sz w:val="22"/>
            <w:lang w:eastAsia="en-AU"/>
            <w14:ligatures w14:val="standardContextual"/>
          </w:rPr>
          <w:t>98</w:t>
        </w:r>
        <w:r w:rsidRPr="002A3021">
          <w:rPr>
            <w:rFonts w:eastAsia="Times New Roman"/>
            <w:color w:val="000000"/>
            <w:sz w:val="22"/>
            <w:lang w:eastAsia="en-AU"/>
            <w14:ligatures w14:val="standardContextual"/>
          </w:rPr>
          <w:tab/>
          <w:t>Offence to drive written</w:t>
        </w:r>
        <w:r w:rsidRPr="002A3021">
          <w:rPr>
            <w:rFonts w:eastAsia="Times New Roman"/>
            <w:color w:val="000000"/>
            <w:sz w:val="22"/>
            <w:lang w:eastAsia="en-AU"/>
            <w14:ligatures w14:val="standardContextual"/>
          </w:rPr>
          <w:noBreakHyphen/>
          <w:t>off vehicle on road</w:t>
        </w:r>
      </w:hyperlink>
    </w:p>
    <w:p w14:paraId="7FB4597C" w14:textId="77777777" w:rsidR="00503368" w:rsidRDefault="00503368">
      <w:pPr>
        <w:spacing w:after="0" w:line="240" w:lineRule="auto"/>
        <w:jc w:val="left"/>
        <w:rPr>
          <w:rFonts w:eastAsia="Times New Roman"/>
          <w:color w:val="000000"/>
          <w:sz w:val="22"/>
          <w:lang w:eastAsia="en-AU"/>
          <w14:ligatures w14:val="standardContextual"/>
        </w:rPr>
      </w:pPr>
      <w:r>
        <w:rPr>
          <w:rFonts w:eastAsia="Times New Roman"/>
          <w:color w:val="000000"/>
          <w:sz w:val="22"/>
          <w:lang w:eastAsia="en-AU"/>
          <w14:ligatures w14:val="standardContextual"/>
        </w:rPr>
        <w:br w:type="page"/>
      </w:r>
    </w:p>
    <w:p w14:paraId="6890FBE2"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2fecd66_5f5a_4869_a4f6_c439fb0d99" w:history="1">
        <w:r w:rsidRPr="002A3021">
          <w:rPr>
            <w:rFonts w:eastAsia="Times New Roman"/>
            <w:color w:val="000000"/>
            <w:sz w:val="28"/>
            <w:szCs w:val="28"/>
            <w:lang w:eastAsia="en-AU"/>
            <w14:ligatures w14:val="standardContextual"/>
          </w:rPr>
          <w:t>Part 7—Fees</w:t>
        </w:r>
      </w:hyperlink>
    </w:p>
    <w:p w14:paraId="1D1BEA3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7" w:history="1">
        <w:r w:rsidRPr="002A3021">
          <w:rPr>
            <w:rFonts w:eastAsia="Times New Roman"/>
            <w:color w:val="000000"/>
            <w:sz w:val="22"/>
            <w:lang w:eastAsia="en-AU"/>
            <w14:ligatures w14:val="standardContextual"/>
          </w:rPr>
          <w:t>99</w:t>
        </w:r>
        <w:r w:rsidRPr="002A3021">
          <w:rPr>
            <w:rFonts w:eastAsia="Times New Roman"/>
            <w:color w:val="000000"/>
            <w:sz w:val="22"/>
            <w:lang w:eastAsia="en-AU"/>
            <w14:ligatures w14:val="standardContextual"/>
          </w:rPr>
          <w:tab/>
          <w:t>Fees</w:t>
        </w:r>
      </w:hyperlink>
    </w:p>
    <w:p w14:paraId="52F5F78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8" w:history="1">
        <w:r w:rsidRPr="002A3021">
          <w:rPr>
            <w:rFonts w:eastAsia="Times New Roman"/>
            <w:color w:val="000000"/>
            <w:sz w:val="22"/>
            <w:lang w:eastAsia="en-AU"/>
            <w14:ligatures w14:val="standardContextual"/>
          </w:rPr>
          <w:t>100</w:t>
        </w:r>
        <w:r w:rsidRPr="002A3021">
          <w:rPr>
            <w:rFonts w:eastAsia="Times New Roman"/>
            <w:color w:val="000000"/>
            <w:sz w:val="22"/>
            <w:lang w:eastAsia="en-AU"/>
            <w14:ligatures w14:val="standardContextual"/>
          </w:rPr>
          <w:tab/>
          <w:t>Reduced registration fees—prescribed amounts</w:t>
        </w:r>
      </w:hyperlink>
    </w:p>
    <w:p w14:paraId="4126004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9" w:history="1">
        <w:r w:rsidRPr="002A3021">
          <w:rPr>
            <w:rFonts w:eastAsia="Times New Roman"/>
            <w:color w:val="000000"/>
            <w:sz w:val="22"/>
            <w:lang w:eastAsia="en-AU"/>
            <w14:ligatures w14:val="standardContextual"/>
          </w:rPr>
          <w:t>101</w:t>
        </w:r>
        <w:r w:rsidRPr="002A3021">
          <w:rPr>
            <w:rFonts w:eastAsia="Times New Roman"/>
            <w:color w:val="000000"/>
            <w:sz w:val="22"/>
            <w:lang w:eastAsia="en-AU"/>
            <w14:ligatures w14:val="standardContextual"/>
          </w:rPr>
          <w:tab/>
          <w:t>Exemption from section 41(2) of Act</w:t>
        </w:r>
      </w:hyperlink>
    </w:p>
    <w:p w14:paraId="69E5CF3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0" w:history="1">
        <w:r w:rsidRPr="002A3021">
          <w:rPr>
            <w:rFonts w:eastAsia="Times New Roman"/>
            <w:color w:val="000000"/>
            <w:sz w:val="22"/>
            <w:lang w:eastAsia="en-AU"/>
            <w14:ligatures w14:val="standardContextual"/>
          </w:rPr>
          <w:t>102</w:t>
        </w:r>
        <w:r w:rsidRPr="002A3021">
          <w:rPr>
            <w:rFonts w:eastAsia="Times New Roman"/>
            <w:color w:val="000000"/>
            <w:sz w:val="22"/>
            <w:lang w:eastAsia="en-AU"/>
            <w14:ligatures w14:val="standardContextual"/>
          </w:rPr>
          <w:tab/>
          <w:t>Reduction of fee—temporary configuration certificate</w:t>
        </w:r>
      </w:hyperlink>
    </w:p>
    <w:p w14:paraId="304BD4B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1" w:history="1">
        <w:r w:rsidRPr="002A3021">
          <w:rPr>
            <w:rFonts w:eastAsia="Times New Roman"/>
            <w:color w:val="000000"/>
            <w:sz w:val="22"/>
            <w:lang w:eastAsia="en-AU"/>
            <w14:ligatures w14:val="standardContextual"/>
          </w:rPr>
          <w:t>103</w:t>
        </w:r>
        <w:r w:rsidRPr="002A3021">
          <w:rPr>
            <w:rFonts w:eastAsia="Times New Roman"/>
            <w:color w:val="000000"/>
            <w:sz w:val="22"/>
            <w:lang w:eastAsia="en-AU"/>
            <w14:ligatures w14:val="standardContextual"/>
          </w:rPr>
          <w:tab/>
          <w:t>Additional amount payable where certain vehicles are altered or added to</w:t>
        </w:r>
      </w:hyperlink>
    </w:p>
    <w:p w14:paraId="682B3E0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2" w:history="1">
        <w:r w:rsidRPr="002A3021">
          <w:rPr>
            <w:rFonts w:eastAsia="Times New Roman"/>
            <w:color w:val="000000"/>
            <w:sz w:val="22"/>
            <w:lang w:eastAsia="en-AU"/>
            <w14:ligatures w14:val="standardContextual"/>
          </w:rPr>
          <w:t>104</w:t>
        </w:r>
        <w:r w:rsidRPr="002A3021">
          <w:rPr>
            <w:rFonts w:eastAsia="Times New Roman"/>
            <w:color w:val="000000"/>
            <w:sz w:val="22"/>
            <w:lang w:eastAsia="en-AU"/>
            <w14:ligatures w14:val="standardContextual"/>
          </w:rPr>
          <w:tab/>
          <w:t>Refund on cancellation of registration</w:t>
        </w:r>
      </w:hyperlink>
    </w:p>
    <w:p w14:paraId="5DF66C93"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3" w:history="1">
        <w:r w:rsidRPr="002A3021">
          <w:rPr>
            <w:rFonts w:eastAsia="Times New Roman"/>
            <w:color w:val="000000"/>
            <w:sz w:val="22"/>
            <w:lang w:eastAsia="en-AU"/>
            <w14:ligatures w14:val="standardContextual"/>
          </w:rPr>
          <w:t>105</w:t>
        </w:r>
        <w:r w:rsidRPr="002A3021">
          <w:rPr>
            <w:rFonts w:eastAsia="Times New Roman"/>
            <w:color w:val="000000"/>
            <w:sz w:val="22"/>
            <w:lang w:eastAsia="en-AU"/>
            <w14:ligatures w14:val="standardContextual"/>
          </w:rPr>
          <w:tab/>
          <w:t>Refund on surrender of trade plate</w:t>
        </w:r>
      </w:hyperlink>
    </w:p>
    <w:p w14:paraId="51B036C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4" w:history="1">
        <w:r w:rsidRPr="002A3021">
          <w:rPr>
            <w:rFonts w:eastAsia="Times New Roman"/>
            <w:color w:val="000000"/>
            <w:sz w:val="22"/>
            <w:lang w:eastAsia="en-AU"/>
            <w14:ligatures w14:val="standardContextual"/>
          </w:rPr>
          <w:t>106</w:t>
        </w:r>
        <w:r w:rsidRPr="002A3021">
          <w:rPr>
            <w:rFonts w:eastAsia="Times New Roman"/>
            <w:color w:val="000000"/>
            <w:sz w:val="22"/>
            <w:lang w:eastAsia="en-AU"/>
            <w14:ligatures w14:val="standardContextual"/>
          </w:rPr>
          <w:tab/>
          <w:t>Refund on surrender of licence</w:t>
        </w:r>
      </w:hyperlink>
    </w:p>
    <w:p w14:paraId="7032D91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5" w:history="1">
        <w:r w:rsidRPr="002A3021">
          <w:rPr>
            <w:rFonts w:eastAsia="Times New Roman"/>
            <w:color w:val="000000"/>
            <w:sz w:val="22"/>
            <w:lang w:eastAsia="en-AU"/>
            <w14:ligatures w14:val="standardContextual"/>
          </w:rPr>
          <w:t>107</w:t>
        </w:r>
        <w:r w:rsidRPr="002A3021">
          <w:rPr>
            <w:rFonts w:eastAsia="Times New Roman"/>
            <w:color w:val="000000"/>
            <w:sz w:val="22"/>
            <w:lang w:eastAsia="en-AU"/>
            <w14:ligatures w14:val="standardContextual"/>
          </w:rPr>
          <w:tab/>
          <w:t>Refund of part of licence fee on eligibility for reduced fee</w:t>
        </w:r>
      </w:hyperlink>
    </w:p>
    <w:p w14:paraId="69BF5544"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6" w:history="1">
        <w:r w:rsidRPr="002A3021">
          <w:rPr>
            <w:rFonts w:eastAsia="Times New Roman"/>
            <w:color w:val="000000"/>
            <w:sz w:val="22"/>
            <w:lang w:eastAsia="en-AU"/>
            <w14:ligatures w14:val="standardContextual"/>
          </w:rPr>
          <w:t>108</w:t>
        </w:r>
        <w:r w:rsidRPr="002A3021">
          <w:rPr>
            <w:rFonts w:eastAsia="Times New Roman"/>
            <w:color w:val="000000"/>
            <w:sz w:val="22"/>
            <w:lang w:eastAsia="en-AU"/>
            <w14:ligatures w14:val="standardContextual"/>
          </w:rPr>
          <w:tab/>
          <w:t>No refund of administration fees</w:t>
        </w:r>
      </w:hyperlink>
    </w:p>
    <w:p w14:paraId="6C37131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7" w:history="1">
        <w:r w:rsidRPr="002A3021">
          <w:rPr>
            <w:rFonts w:eastAsia="Times New Roman"/>
            <w:color w:val="000000"/>
            <w:sz w:val="22"/>
            <w:lang w:eastAsia="en-AU"/>
            <w14:ligatures w14:val="standardContextual"/>
          </w:rPr>
          <w:t>109</w:t>
        </w:r>
        <w:r w:rsidRPr="002A3021">
          <w:rPr>
            <w:rFonts w:eastAsia="Times New Roman"/>
            <w:color w:val="000000"/>
            <w:sz w:val="22"/>
            <w:lang w:eastAsia="en-AU"/>
            <w14:ligatures w14:val="standardContextual"/>
          </w:rPr>
          <w:tab/>
          <w:t>Rounding of fees and refunds</w:t>
        </w:r>
      </w:hyperlink>
    </w:p>
    <w:p w14:paraId="17E4C0E3"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8" w:history="1">
        <w:r w:rsidRPr="002A3021">
          <w:rPr>
            <w:rFonts w:eastAsia="Times New Roman"/>
            <w:color w:val="000000"/>
            <w:sz w:val="22"/>
            <w:lang w:eastAsia="en-AU"/>
            <w14:ligatures w14:val="standardContextual"/>
          </w:rPr>
          <w:t>110</w:t>
        </w:r>
        <w:r w:rsidRPr="002A3021">
          <w:rPr>
            <w:rFonts w:eastAsia="Times New Roman"/>
            <w:color w:val="000000"/>
            <w:sz w:val="22"/>
            <w:lang w:eastAsia="en-AU"/>
            <w14:ligatures w14:val="standardContextual"/>
          </w:rPr>
          <w:tab/>
          <w:t>Exemption from practical driving test fees</w:t>
        </w:r>
      </w:hyperlink>
    </w:p>
    <w:p w14:paraId="3DC8826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9" w:history="1">
        <w:r w:rsidRPr="002A3021">
          <w:rPr>
            <w:rFonts w:eastAsia="Times New Roman"/>
            <w:color w:val="000000"/>
            <w:sz w:val="22"/>
            <w:lang w:eastAsia="en-AU"/>
            <w14:ligatures w14:val="standardContextual"/>
          </w:rPr>
          <w:t>111</w:t>
        </w:r>
        <w:r w:rsidRPr="002A3021">
          <w:rPr>
            <w:rFonts w:eastAsia="Times New Roman"/>
            <w:color w:val="000000"/>
            <w:sz w:val="22"/>
            <w:lang w:eastAsia="en-AU"/>
            <w14:ligatures w14:val="standardContextual"/>
          </w:rPr>
          <w:tab/>
          <w:t>Administration fee for licence subject to alcohol interlock scheme conditions</w:t>
        </w:r>
      </w:hyperlink>
    </w:p>
    <w:p w14:paraId="5040981E"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bc836cf_a626_490f_917f_195fbbf50a6f_e" w:history="1">
        <w:r w:rsidRPr="002A3021">
          <w:rPr>
            <w:rFonts w:eastAsia="Times New Roman"/>
            <w:color w:val="000000"/>
            <w:sz w:val="22"/>
            <w:lang w:eastAsia="en-AU"/>
            <w14:ligatures w14:val="standardContextual"/>
          </w:rPr>
          <w:t>112</w:t>
        </w:r>
        <w:r w:rsidRPr="002A3021">
          <w:rPr>
            <w:rFonts w:eastAsia="Times New Roman"/>
            <w:color w:val="000000"/>
            <w:sz w:val="22"/>
            <w:lang w:eastAsia="en-AU"/>
            <w14:ligatures w14:val="standardContextual"/>
          </w:rPr>
          <w:tab/>
          <w:t>Remission and reduction of fees</w:t>
        </w:r>
      </w:hyperlink>
    </w:p>
    <w:p w14:paraId="59188EC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2" w:history="1">
        <w:r w:rsidRPr="002A3021">
          <w:rPr>
            <w:rFonts w:eastAsia="Times New Roman"/>
            <w:color w:val="000000"/>
            <w:sz w:val="22"/>
            <w:lang w:eastAsia="en-AU"/>
            <w14:ligatures w14:val="standardContextual"/>
          </w:rPr>
          <w:t>113</w:t>
        </w:r>
        <w:r w:rsidRPr="002A3021">
          <w:rPr>
            <w:rFonts w:eastAsia="Times New Roman"/>
            <w:color w:val="000000"/>
            <w:sz w:val="22"/>
            <w:lang w:eastAsia="en-AU"/>
            <w14:ligatures w14:val="standardContextual"/>
          </w:rPr>
          <w:tab/>
          <w:t>Exemption from section 42(1) of Act</w:t>
        </w:r>
      </w:hyperlink>
    </w:p>
    <w:p w14:paraId="1E2AB7B2"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53" w:history="1">
        <w:r w:rsidRPr="002A3021">
          <w:rPr>
            <w:rFonts w:eastAsia="Times New Roman"/>
            <w:color w:val="000000"/>
            <w:sz w:val="28"/>
            <w:szCs w:val="28"/>
            <w:lang w:eastAsia="en-AU"/>
            <w14:ligatures w14:val="standardContextual"/>
          </w:rPr>
          <w:t>Part 8—Miscellaneous</w:t>
        </w:r>
      </w:hyperlink>
    </w:p>
    <w:p w14:paraId="67D5F91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4" w:history="1">
        <w:r w:rsidRPr="002A3021">
          <w:rPr>
            <w:rFonts w:eastAsia="Times New Roman"/>
            <w:color w:val="000000"/>
            <w:sz w:val="22"/>
            <w:lang w:eastAsia="en-AU"/>
            <w14:ligatures w14:val="standardContextual"/>
          </w:rPr>
          <w:t>114</w:t>
        </w:r>
        <w:r w:rsidRPr="002A3021">
          <w:rPr>
            <w:rFonts w:eastAsia="Times New Roman"/>
            <w:color w:val="000000"/>
            <w:sz w:val="22"/>
            <w:lang w:eastAsia="en-AU"/>
            <w14:ligatures w14:val="standardContextual"/>
          </w:rPr>
          <w:tab/>
          <w:t>Proof by statutory declaration and prescribed circumstances</w:t>
        </w:r>
      </w:hyperlink>
    </w:p>
    <w:p w14:paraId="16C2920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5" w:history="1">
        <w:r w:rsidRPr="002A3021">
          <w:rPr>
            <w:rFonts w:eastAsia="Times New Roman"/>
            <w:color w:val="000000"/>
            <w:sz w:val="22"/>
            <w:lang w:eastAsia="en-AU"/>
            <w14:ligatures w14:val="standardContextual"/>
          </w:rPr>
          <w:t>115</w:t>
        </w:r>
        <w:r w:rsidRPr="002A3021">
          <w:rPr>
            <w:rFonts w:eastAsia="Times New Roman"/>
            <w:color w:val="000000"/>
            <w:sz w:val="22"/>
            <w:lang w:eastAsia="en-AU"/>
            <w14:ligatures w14:val="standardContextual"/>
          </w:rPr>
          <w:tab/>
          <w:t>Offence to alter, deface etc permits, labels or certificates</w:t>
        </w:r>
      </w:hyperlink>
    </w:p>
    <w:p w14:paraId="4168A46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6" w:history="1">
        <w:r w:rsidRPr="002A3021">
          <w:rPr>
            <w:rFonts w:eastAsia="Times New Roman"/>
            <w:color w:val="000000"/>
            <w:sz w:val="22"/>
            <w:lang w:eastAsia="en-AU"/>
            <w14:ligatures w14:val="standardContextual"/>
          </w:rPr>
          <w:t>116</w:t>
        </w:r>
        <w:r w:rsidRPr="002A3021">
          <w:rPr>
            <w:rFonts w:eastAsia="Times New Roman"/>
            <w:color w:val="000000"/>
            <w:sz w:val="22"/>
            <w:lang w:eastAsia="en-AU"/>
            <w14:ligatures w14:val="standardContextual"/>
          </w:rPr>
          <w:tab/>
          <w:t>Forms determined by the Minister</w:t>
        </w:r>
      </w:hyperlink>
    </w:p>
    <w:p w14:paraId="6677F468"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7" w:history="1">
        <w:r w:rsidRPr="002A3021">
          <w:rPr>
            <w:rFonts w:eastAsia="Times New Roman"/>
            <w:color w:val="000000"/>
            <w:sz w:val="22"/>
            <w:lang w:eastAsia="en-AU"/>
            <w14:ligatures w14:val="standardContextual"/>
          </w:rPr>
          <w:t>117</w:t>
        </w:r>
        <w:r w:rsidRPr="002A3021">
          <w:rPr>
            <w:rFonts w:eastAsia="Times New Roman"/>
            <w:color w:val="000000"/>
            <w:sz w:val="22"/>
            <w:lang w:eastAsia="en-AU"/>
            <w14:ligatures w14:val="standardContextual"/>
          </w:rPr>
          <w:tab/>
          <w:t>Appointment of authorised examiners</w:t>
        </w:r>
      </w:hyperlink>
    </w:p>
    <w:p w14:paraId="22E836B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8" w:history="1">
        <w:r w:rsidRPr="002A3021">
          <w:rPr>
            <w:rFonts w:eastAsia="Times New Roman"/>
            <w:color w:val="000000"/>
            <w:sz w:val="22"/>
            <w:lang w:eastAsia="en-AU"/>
            <w14:ligatures w14:val="standardContextual"/>
          </w:rPr>
          <w:t>118</w:t>
        </w:r>
        <w:r w:rsidRPr="002A3021">
          <w:rPr>
            <w:rFonts w:eastAsia="Times New Roman"/>
            <w:color w:val="000000"/>
            <w:sz w:val="22"/>
            <w:lang w:eastAsia="en-AU"/>
            <w14:ligatures w14:val="standardContextual"/>
          </w:rPr>
          <w:tab/>
          <w:t>Exemption from requirements as to display of disabled person's parking permit</w:t>
        </w:r>
      </w:hyperlink>
    </w:p>
    <w:p w14:paraId="4186CFE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9" w:history="1">
        <w:r w:rsidRPr="002A3021">
          <w:rPr>
            <w:rFonts w:eastAsia="Times New Roman"/>
            <w:color w:val="000000"/>
            <w:sz w:val="22"/>
            <w:lang w:eastAsia="en-AU"/>
            <w14:ligatures w14:val="standardContextual"/>
          </w:rPr>
          <w:t>119</w:t>
        </w:r>
        <w:r w:rsidRPr="002A3021">
          <w:rPr>
            <w:rFonts w:eastAsia="Times New Roman"/>
            <w:color w:val="000000"/>
            <w:sz w:val="22"/>
            <w:lang w:eastAsia="en-AU"/>
            <w14:ligatures w14:val="standardContextual"/>
          </w:rPr>
          <w:tab/>
          <w:t>Application for review under Part 3E of Act</w:t>
        </w:r>
      </w:hyperlink>
    </w:p>
    <w:p w14:paraId="6BE2EC8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0" w:history="1">
        <w:r w:rsidRPr="002A3021">
          <w:rPr>
            <w:rFonts w:eastAsia="Times New Roman"/>
            <w:color w:val="000000"/>
            <w:sz w:val="22"/>
            <w:lang w:eastAsia="en-AU"/>
            <w14:ligatures w14:val="standardContextual"/>
          </w:rPr>
          <w:t>120</w:t>
        </w:r>
        <w:r w:rsidRPr="002A3021">
          <w:rPr>
            <w:rFonts w:eastAsia="Times New Roman"/>
            <w:color w:val="000000"/>
            <w:sz w:val="22"/>
            <w:lang w:eastAsia="en-AU"/>
            <w14:ligatures w14:val="standardContextual"/>
          </w:rPr>
          <w:tab/>
          <w:t>Meaning of uninsured motor vehicle</w:t>
        </w:r>
      </w:hyperlink>
    </w:p>
    <w:p w14:paraId="7B99749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1" w:history="1">
        <w:r w:rsidRPr="002A3021">
          <w:rPr>
            <w:rFonts w:eastAsia="Times New Roman"/>
            <w:color w:val="000000"/>
            <w:sz w:val="22"/>
            <w:lang w:eastAsia="en-AU"/>
            <w14:ligatures w14:val="standardContextual"/>
          </w:rPr>
          <w:t>121</w:t>
        </w:r>
        <w:r w:rsidRPr="002A3021">
          <w:rPr>
            <w:rFonts w:eastAsia="Times New Roman"/>
            <w:color w:val="000000"/>
            <w:sz w:val="22"/>
            <w:lang w:eastAsia="en-AU"/>
            <w14:ligatures w14:val="standardContextual"/>
          </w:rPr>
          <w:tab/>
          <w:t>Prescribed documents</w:t>
        </w:r>
      </w:hyperlink>
    </w:p>
    <w:p w14:paraId="491B053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2" w:history="1">
        <w:r w:rsidRPr="002A3021">
          <w:rPr>
            <w:rFonts w:eastAsia="Times New Roman"/>
            <w:color w:val="000000"/>
            <w:sz w:val="22"/>
            <w:lang w:eastAsia="en-AU"/>
            <w14:ligatures w14:val="standardContextual"/>
          </w:rPr>
          <w:t>122</w:t>
        </w:r>
        <w:r w:rsidRPr="002A3021">
          <w:rPr>
            <w:rFonts w:eastAsia="Times New Roman"/>
            <w:color w:val="000000"/>
            <w:sz w:val="22"/>
            <w:lang w:eastAsia="en-AU"/>
            <w14:ligatures w14:val="standardContextual"/>
          </w:rPr>
          <w:tab/>
          <w:t>Manner of giving Registrar notice of change of name, address etc under section 136 of Act</w:t>
        </w:r>
      </w:hyperlink>
    </w:p>
    <w:p w14:paraId="2CA3337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3" w:history="1">
        <w:r w:rsidRPr="002A3021">
          <w:rPr>
            <w:rFonts w:eastAsia="Times New Roman"/>
            <w:color w:val="000000"/>
            <w:sz w:val="22"/>
            <w:lang w:eastAsia="en-AU"/>
            <w14:ligatures w14:val="standardContextual"/>
          </w:rPr>
          <w:t>123</w:t>
        </w:r>
        <w:r w:rsidRPr="002A3021">
          <w:rPr>
            <w:rFonts w:eastAsia="Times New Roman"/>
            <w:color w:val="000000"/>
            <w:sz w:val="22"/>
            <w:lang w:eastAsia="en-AU"/>
            <w14:ligatures w14:val="standardContextual"/>
          </w:rPr>
          <w:tab/>
          <w:t>Power of Registrar to require destruction of a document or thing issued or renewed in consequence of a void transaction</w:t>
        </w:r>
      </w:hyperlink>
    </w:p>
    <w:p w14:paraId="0BFB4AEF"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4" w:history="1">
        <w:r w:rsidRPr="002A3021">
          <w:rPr>
            <w:rFonts w:eastAsia="Times New Roman"/>
            <w:color w:val="000000"/>
            <w:sz w:val="22"/>
            <w:lang w:eastAsia="en-AU"/>
            <w14:ligatures w14:val="standardContextual"/>
          </w:rPr>
          <w:t>124</w:t>
        </w:r>
        <w:r w:rsidRPr="002A3021">
          <w:rPr>
            <w:rFonts w:eastAsia="Times New Roman"/>
            <w:color w:val="000000"/>
            <w:sz w:val="22"/>
            <w:lang w:eastAsia="en-AU"/>
            <w14:ligatures w14:val="standardContextual"/>
          </w:rPr>
          <w:tab/>
          <w:t>Power of Registrar to issue directions on certain audio visual recordings</w:t>
        </w:r>
      </w:hyperlink>
    </w:p>
    <w:p w14:paraId="4276645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5" w:history="1">
        <w:r w:rsidRPr="002A3021">
          <w:rPr>
            <w:rFonts w:eastAsia="Times New Roman"/>
            <w:color w:val="000000"/>
            <w:sz w:val="22"/>
            <w:lang w:eastAsia="en-AU"/>
            <w14:ligatures w14:val="standardContextual"/>
          </w:rPr>
          <w:t>125</w:t>
        </w:r>
        <w:r w:rsidRPr="002A3021">
          <w:rPr>
            <w:rFonts w:eastAsia="Times New Roman"/>
            <w:color w:val="000000"/>
            <w:sz w:val="22"/>
            <w:lang w:eastAsia="en-AU"/>
            <w14:ligatures w14:val="standardContextual"/>
          </w:rPr>
          <w:tab/>
          <w:t>Places at which receipt of notice of disqualification may be personally acknowledged</w:t>
        </w:r>
      </w:hyperlink>
    </w:p>
    <w:p w14:paraId="52F4AD0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6" w:history="1">
        <w:r w:rsidRPr="002A3021">
          <w:rPr>
            <w:rFonts w:eastAsia="Times New Roman"/>
            <w:color w:val="000000"/>
            <w:sz w:val="22"/>
            <w:lang w:eastAsia="en-AU"/>
            <w14:ligatures w14:val="standardContextual"/>
          </w:rPr>
          <w:t>126</w:t>
        </w:r>
        <w:r w:rsidRPr="002A3021">
          <w:rPr>
            <w:rFonts w:eastAsia="Times New Roman"/>
            <w:color w:val="000000"/>
            <w:sz w:val="22"/>
            <w:lang w:eastAsia="en-AU"/>
            <w14:ligatures w14:val="standardContextual"/>
          </w:rPr>
          <w:tab/>
          <w:t>Exemption from cumulative application of new section 139BD notice of disqualification if existing suspension is under prescribed provision</w:t>
        </w:r>
      </w:hyperlink>
    </w:p>
    <w:p w14:paraId="0F9DF72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7" w:history="1">
        <w:r w:rsidRPr="002A3021">
          <w:rPr>
            <w:rFonts w:eastAsia="Times New Roman"/>
            <w:color w:val="000000"/>
            <w:sz w:val="22"/>
            <w:lang w:eastAsia="en-AU"/>
            <w14:ligatures w14:val="standardContextual"/>
          </w:rPr>
          <w:t>127</w:t>
        </w:r>
        <w:r w:rsidRPr="002A3021">
          <w:rPr>
            <w:rFonts w:eastAsia="Times New Roman"/>
            <w:color w:val="000000"/>
            <w:sz w:val="22"/>
            <w:lang w:eastAsia="en-AU"/>
            <w14:ligatures w14:val="standardContextual"/>
          </w:rPr>
          <w:tab/>
          <w:t>Confidentiality—prescribed public authorities</w:t>
        </w:r>
      </w:hyperlink>
    </w:p>
    <w:p w14:paraId="3A203DD5"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8a1e022_a3c2_48b6_ab97_5d3375069a8f_b" w:history="1">
        <w:r w:rsidRPr="002A3021">
          <w:rPr>
            <w:rFonts w:eastAsia="Times New Roman"/>
            <w:color w:val="000000"/>
            <w:sz w:val="22"/>
            <w:lang w:eastAsia="en-AU"/>
            <w14:ligatures w14:val="standardContextual"/>
          </w:rPr>
          <w:t>128</w:t>
        </w:r>
        <w:r w:rsidRPr="002A3021">
          <w:rPr>
            <w:rFonts w:eastAsia="Times New Roman"/>
            <w:color w:val="000000"/>
            <w:sz w:val="22"/>
            <w:lang w:eastAsia="en-AU"/>
            <w14:ligatures w14:val="standardContextual"/>
          </w:rPr>
          <w:tab/>
          <w:t>Guidelines for disclosure of information</w:t>
        </w:r>
      </w:hyperlink>
    </w:p>
    <w:p w14:paraId="01F0EEF9"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0" w:history="1">
        <w:r w:rsidRPr="002A3021">
          <w:rPr>
            <w:rFonts w:eastAsia="Times New Roman"/>
            <w:color w:val="000000"/>
            <w:sz w:val="22"/>
            <w:lang w:eastAsia="en-AU"/>
            <w14:ligatures w14:val="standardContextual"/>
          </w:rPr>
          <w:t>129</w:t>
        </w:r>
        <w:r w:rsidRPr="002A3021">
          <w:rPr>
            <w:rFonts w:eastAsia="Times New Roman"/>
            <w:color w:val="000000"/>
            <w:sz w:val="22"/>
            <w:lang w:eastAsia="en-AU"/>
            <w14:ligatures w14:val="standardContextual"/>
          </w:rPr>
          <w:tab/>
          <w:t>Corresponding laws declared for purposes of section 141(2) of Act</w:t>
        </w:r>
      </w:hyperlink>
    </w:p>
    <w:p w14:paraId="130C6AB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1" w:history="1">
        <w:r w:rsidRPr="002A3021">
          <w:rPr>
            <w:rFonts w:eastAsia="Times New Roman"/>
            <w:color w:val="000000"/>
            <w:sz w:val="22"/>
            <w:lang w:eastAsia="en-AU"/>
            <w14:ligatures w14:val="standardContextual"/>
          </w:rPr>
          <w:t>130</w:t>
        </w:r>
        <w:r w:rsidRPr="002A3021">
          <w:rPr>
            <w:rFonts w:eastAsia="Times New Roman"/>
            <w:color w:val="000000"/>
            <w:sz w:val="22"/>
            <w:lang w:eastAsia="en-AU"/>
            <w14:ligatures w14:val="standardContextual"/>
          </w:rPr>
          <w:tab/>
          <w:t>Prescribed form of notice for Schedule 1 clause 3</w:t>
        </w:r>
      </w:hyperlink>
    </w:p>
    <w:p w14:paraId="5E6711C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2" w:history="1">
        <w:r w:rsidRPr="002A3021">
          <w:rPr>
            <w:rFonts w:eastAsia="Times New Roman"/>
            <w:color w:val="000000"/>
            <w:sz w:val="22"/>
            <w:lang w:eastAsia="en-AU"/>
            <w14:ligatures w14:val="standardContextual"/>
          </w:rPr>
          <w:t>131</w:t>
        </w:r>
        <w:r w:rsidRPr="002A3021">
          <w:rPr>
            <w:rFonts w:eastAsia="Times New Roman"/>
            <w:color w:val="000000"/>
            <w:sz w:val="22"/>
            <w:lang w:eastAsia="en-AU"/>
            <w14:ligatures w14:val="standardContextual"/>
          </w:rPr>
          <w:tab/>
          <w:t>Definition of emergency worker</w:t>
        </w:r>
      </w:hyperlink>
    </w:p>
    <w:p w14:paraId="3320DBBA"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3" w:history="1">
        <w:r w:rsidRPr="002A3021">
          <w:rPr>
            <w:rFonts w:eastAsia="Times New Roman"/>
            <w:color w:val="000000"/>
            <w:sz w:val="22"/>
            <w:lang w:eastAsia="en-AU"/>
            <w14:ligatures w14:val="standardContextual"/>
          </w:rPr>
          <w:t>132</w:t>
        </w:r>
        <w:r w:rsidRPr="002A3021">
          <w:rPr>
            <w:rFonts w:eastAsia="Times New Roman"/>
            <w:color w:val="000000"/>
            <w:sz w:val="22"/>
            <w:lang w:eastAsia="en-AU"/>
            <w14:ligatures w14:val="standardContextual"/>
          </w:rPr>
          <w:tab/>
          <w:t>Expiation of alleged offences</w:t>
        </w:r>
      </w:hyperlink>
    </w:p>
    <w:p w14:paraId="0E9A3468" w14:textId="77777777" w:rsidR="002A3021" w:rsidRPr="002A3021" w:rsidRDefault="002A3021" w:rsidP="002A302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d8884914_a747_416b_be31_c653f866f897_4" w:history="1">
        <w:r w:rsidRPr="002A3021">
          <w:rPr>
            <w:rFonts w:eastAsia="Times New Roman"/>
            <w:color w:val="000000"/>
            <w:sz w:val="28"/>
            <w:szCs w:val="28"/>
            <w:lang w:eastAsia="en-AU"/>
            <w14:ligatures w14:val="standardContextual"/>
          </w:rPr>
          <w:t>Schedule 1—Fees</w:t>
        </w:r>
      </w:hyperlink>
    </w:p>
    <w:p w14:paraId="4CD93859" w14:textId="77777777" w:rsidR="002A3021" w:rsidRPr="002A3021" w:rsidRDefault="002A3021" w:rsidP="002A302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cf36092_ce1d_4fd0_ae0e_a5bd69d0e404_e" w:history="1">
        <w:r w:rsidRPr="002A3021">
          <w:rPr>
            <w:rFonts w:eastAsia="Times New Roman"/>
            <w:color w:val="000000"/>
            <w:sz w:val="28"/>
            <w:szCs w:val="28"/>
            <w:lang w:eastAsia="en-AU"/>
            <w14:ligatures w14:val="standardContextual"/>
          </w:rPr>
          <w:t>Schedule 2—Classification of driver's licences</w:t>
        </w:r>
      </w:hyperlink>
    </w:p>
    <w:p w14:paraId="44537B8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8" w:history="1">
        <w:r w:rsidRPr="002A3021">
          <w:rPr>
            <w:rFonts w:eastAsia="Times New Roman"/>
            <w:color w:val="000000"/>
            <w:sz w:val="22"/>
            <w:lang w:eastAsia="en-AU"/>
            <w14:ligatures w14:val="standardContextual"/>
          </w:rPr>
          <w:t>1</w:t>
        </w:r>
        <w:r w:rsidRPr="002A3021">
          <w:rPr>
            <w:rFonts w:eastAsia="Times New Roman"/>
            <w:color w:val="000000"/>
            <w:sz w:val="22"/>
            <w:lang w:eastAsia="en-AU"/>
            <w14:ligatures w14:val="standardContextual"/>
          </w:rPr>
          <w:tab/>
          <w:t>Classification of licences</w:t>
        </w:r>
      </w:hyperlink>
    </w:p>
    <w:p w14:paraId="51B60783" w14:textId="77777777" w:rsidR="002A3021" w:rsidRPr="002A3021" w:rsidRDefault="002A3021" w:rsidP="002A302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35f3213d_a88c_4973_96b0_dabbe37e8376_3" w:history="1">
        <w:r w:rsidRPr="002A3021">
          <w:rPr>
            <w:rFonts w:eastAsia="Times New Roman"/>
            <w:color w:val="000000"/>
            <w:sz w:val="28"/>
            <w:szCs w:val="28"/>
            <w:lang w:eastAsia="en-AU"/>
            <w14:ligatures w14:val="standardContextual"/>
          </w:rPr>
          <w:t>Schedule 3—Conditions of driver's licences and learner's permits</w:t>
        </w:r>
      </w:hyperlink>
    </w:p>
    <w:p w14:paraId="4F4B0BE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1" w:history="1">
        <w:r w:rsidRPr="002A3021">
          <w:rPr>
            <w:rFonts w:eastAsia="Times New Roman"/>
            <w:color w:val="000000"/>
            <w:sz w:val="22"/>
            <w:lang w:eastAsia="en-AU"/>
            <w14:ligatures w14:val="standardContextual"/>
          </w:rPr>
          <w:t>1</w:t>
        </w:r>
        <w:r w:rsidRPr="002A3021">
          <w:rPr>
            <w:rFonts w:eastAsia="Times New Roman"/>
            <w:color w:val="000000"/>
            <w:sz w:val="22"/>
            <w:lang w:eastAsia="en-AU"/>
            <w14:ligatures w14:val="standardContextual"/>
          </w:rPr>
          <w:tab/>
          <w:t>Endorsement of conditions of licences and permits</w:t>
        </w:r>
      </w:hyperlink>
    </w:p>
    <w:p w14:paraId="0D145232" w14:textId="77777777" w:rsidR="002A3021" w:rsidRPr="002A3021" w:rsidRDefault="002A3021" w:rsidP="002A302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30c33d1c_ae29_4698_9210_7e6f0c0f4f28_a" w:history="1">
        <w:r w:rsidRPr="002A3021">
          <w:rPr>
            <w:rFonts w:eastAsia="Times New Roman"/>
            <w:color w:val="000000"/>
            <w:sz w:val="28"/>
            <w:szCs w:val="28"/>
            <w:lang w:eastAsia="en-AU"/>
            <w14:ligatures w14:val="standardContextual"/>
          </w:rPr>
          <w:t>Schedule 4—Demerit points</w:t>
        </w:r>
      </w:hyperlink>
    </w:p>
    <w:p w14:paraId="5FA20142"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af84a0d7_6a0f_4aea_bf91_7ace6fb948f5_e" w:history="1">
        <w:r w:rsidRPr="002A3021">
          <w:rPr>
            <w:rFonts w:eastAsia="Times New Roman"/>
            <w:color w:val="000000"/>
            <w:sz w:val="28"/>
            <w:szCs w:val="28"/>
            <w:lang w:eastAsia="en-AU"/>
            <w14:ligatures w14:val="standardContextual"/>
          </w:rPr>
          <w:t>Part 1—Demerit points within the national scheme</w:t>
        </w:r>
      </w:hyperlink>
    </w:p>
    <w:p w14:paraId="65172A8C" w14:textId="38047455" w:rsidR="00503368"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6" w:history="1">
        <w:r w:rsidRPr="002A3021">
          <w:rPr>
            <w:rFonts w:eastAsia="Times New Roman"/>
            <w:color w:val="000000"/>
            <w:sz w:val="22"/>
            <w:lang w:eastAsia="en-AU"/>
            <w14:ligatures w14:val="standardContextual"/>
          </w:rPr>
          <w:t>1</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Road Traffic Act 1961</w:t>
        </w:r>
      </w:hyperlink>
    </w:p>
    <w:p w14:paraId="1DEFC3DD" w14:textId="77777777" w:rsidR="00503368" w:rsidRDefault="00503368" w:rsidP="00503368">
      <w:pPr>
        <w:spacing w:after="0" w:line="80" w:lineRule="exact"/>
        <w:jc w:val="left"/>
        <w:rPr>
          <w:rFonts w:eastAsia="Times New Roman"/>
          <w:color w:val="000000"/>
          <w:sz w:val="22"/>
          <w:lang w:eastAsia="en-AU"/>
          <w14:ligatures w14:val="standardContextual"/>
        </w:rPr>
      </w:pPr>
      <w:r>
        <w:rPr>
          <w:rFonts w:eastAsia="Times New Roman"/>
          <w:color w:val="000000"/>
          <w:sz w:val="22"/>
          <w:lang w:eastAsia="en-AU"/>
          <w14:ligatures w14:val="standardContextual"/>
        </w:rPr>
        <w:br w:type="page"/>
      </w:r>
    </w:p>
    <w:p w14:paraId="44C83A70"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7" w:history="1">
        <w:r w:rsidRPr="002A3021">
          <w:rPr>
            <w:rFonts w:eastAsia="Times New Roman"/>
            <w:color w:val="000000"/>
            <w:sz w:val="22"/>
            <w:lang w:eastAsia="en-AU"/>
            <w14:ligatures w14:val="standardContextual"/>
          </w:rPr>
          <w:t>2</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Australian Road Rules</w:t>
        </w:r>
      </w:hyperlink>
    </w:p>
    <w:p w14:paraId="5076C503"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8" w:history="1">
        <w:r w:rsidRPr="002A3021">
          <w:rPr>
            <w:rFonts w:eastAsia="Times New Roman"/>
            <w:color w:val="000000"/>
            <w:sz w:val="22"/>
            <w:lang w:eastAsia="en-AU"/>
            <w14:ligatures w14:val="standardContextual"/>
          </w:rPr>
          <w:t>3</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Heavy Vehicle National Law (South Australia)</w:t>
        </w:r>
      </w:hyperlink>
    </w:p>
    <w:p w14:paraId="7770D443"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ac91034_35a3_4c0f_babe_ca5bd4a0589e_9" w:history="1">
        <w:r w:rsidRPr="002A3021">
          <w:rPr>
            <w:rFonts w:eastAsia="Times New Roman"/>
            <w:color w:val="000000"/>
            <w:sz w:val="28"/>
            <w:szCs w:val="28"/>
            <w:lang w:eastAsia="en-AU"/>
            <w14:ligatures w14:val="standardContextual"/>
          </w:rPr>
          <w:t>Part 2—Demerit points peculiar to South Australia</w:t>
        </w:r>
      </w:hyperlink>
    </w:p>
    <w:p w14:paraId="3E8BF5D1"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1" w:history="1">
        <w:r w:rsidRPr="002A3021">
          <w:rPr>
            <w:rFonts w:eastAsia="Times New Roman"/>
            <w:color w:val="000000"/>
            <w:sz w:val="22"/>
            <w:lang w:eastAsia="en-AU"/>
            <w14:ligatures w14:val="standardContextual"/>
          </w:rPr>
          <w:t>4</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Road Traffic Act 1961</w:t>
        </w:r>
      </w:hyperlink>
    </w:p>
    <w:p w14:paraId="1A6226EC"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c04ed79_5390_4b02_9177_c2ec71526244_8" w:history="1">
        <w:r w:rsidRPr="002A3021">
          <w:rPr>
            <w:rFonts w:eastAsia="Times New Roman"/>
            <w:color w:val="000000"/>
            <w:sz w:val="22"/>
            <w:lang w:eastAsia="en-AU"/>
            <w14:ligatures w14:val="standardContextual"/>
          </w:rPr>
          <w:t>5</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Australian Road Rules</w:t>
        </w:r>
      </w:hyperlink>
    </w:p>
    <w:p w14:paraId="427BF6F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4" w:history="1">
        <w:r w:rsidRPr="002A3021">
          <w:rPr>
            <w:rFonts w:eastAsia="Times New Roman"/>
            <w:color w:val="000000"/>
            <w:sz w:val="22"/>
            <w:lang w:eastAsia="en-AU"/>
            <w14:ligatures w14:val="standardContextual"/>
          </w:rPr>
          <w:t>6</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Road Traffic (Road Rules—Ancillary and Miscellaneous Provisions) Regulations 2014</w:t>
        </w:r>
      </w:hyperlink>
    </w:p>
    <w:p w14:paraId="28BE234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5" w:history="1">
        <w:r w:rsidRPr="002A3021">
          <w:rPr>
            <w:rFonts w:eastAsia="Times New Roman"/>
            <w:color w:val="000000"/>
            <w:sz w:val="22"/>
            <w:lang w:eastAsia="en-AU"/>
            <w14:ligatures w14:val="standardContextual"/>
          </w:rPr>
          <w:t>7</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Motor Vehicles Act 1959</w:t>
        </w:r>
      </w:hyperlink>
    </w:p>
    <w:p w14:paraId="215CCB9D"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6" w:history="1">
        <w:r w:rsidRPr="002A3021">
          <w:rPr>
            <w:rFonts w:eastAsia="Times New Roman"/>
            <w:color w:val="000000"/>
            <w:sz w:val="22"/>
            <w:lang w:eastAsia="en-AU"/>
            <w14:ligatures w14:val="standardContextual"/>
          </w:rPr>
          <w:t>8</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Heavy Vehicle National Law (South Australia)</w:t>
        </w:r>
      </w:hyperlink>
    </w:p>
    <w:p w14:paraId="7FFC17EE" w14:textId="77777777" w:rsidR="002A3021" w:rsidRPr="002A3021" w:rsidRDefault="002A3021" w:rsidP="002A302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a690f220_5005_4a19_8325_e88a2a9d2dd6_1" w:history="1">
        <w:r w:rsidRPr="002A3021">
          <w:rPr>
            <w:rFonts w:eastAsia="Times New Roman"/>
            <w:color w:val="000000"/>
            <w:sz w:val="28"/>
            <w:szCs w:val="28"/>
            <w:lang w:eastAsia="en-AU"/>
            <w14:ligatures w14:val="standardContextual"/>
          </w:rPr>
          <w:t>Schedule 5—Expiation Fees</w:t>
        </w:r>
      </w:hyperlink>
    </w:p>
    <w:p w14:paraId="052EF3C2"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9" w:history="1">
        <w:r w:rsidRPr="002A3021">
          <w:rPr>
            <w:rFonts w:eastAsia="Times New Roman"/>
            <w:color w:val="000000"/>
            <w:sz w:val="22"/>
            <w:lang w:eastAsia="en-AU"/>
            <w14:ligatures w14:val="standardContextual"/>
          </w:rPr>
          <w:t>1</w:t>
        </w:r>
        <w:r w:rsidRPr="002A3021">
          <w:rPr>
            <w:rFonts w:eastAsia="Times New Roman"/>
            <w:color w:val="000000"/>
            <w:sz w:val="22"/>
            <w:lang w:eastAsia="en-AU"/>
            <w14:ligatures w14:val="standardContextual"/>
          </w:rPr>
          <w:tab/>
          <w:t xml:space="preserve">Offences against </w:t>
        </w:r>
        <w:r w:rsidRPr="002A3021">
          <w:rPr>
            <w:rFonts w:eastAsia="Times New Roman"/>
            <w:i/>
            <w:iCs/>
            <w:color w:val="000000"/>
            <w:sz w:val="22"/>
            <w:lang w:eastAsia="en-AU"/>
            <w14:ligatures w14:val="standardContextual"/>
          </w:rPr>
          <w:t>Motor Vehicles Act 1959</w:t>
        </w:r>
      </w:hyperlink>
    </w:p>
    <w:p w14:paraId="754A1B5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0" w:history="1">
        <w:r w:rsidRPr="002A3021">
          <w:rPr>
            <w:rFonts w:eastAsia="Times New Roman"/>
            <w:color w:val="000000"/>
            <w:sz w:val="22"/>
            <w:lang w:eastAsia="en-AU"/>
            <w14:ligatures w14:val="standardContextual"/>
          </w:rPr>
          <w:t>2</w:t>
        </w:r>
        <w:r w:rsidRPr="002A3021">
          <w:rPr>
            <w:rFonts w:eastAsia="Times New Roman"/>
            <w:color w:val="000000"/>
            <w:sz w:val="22"/>
            <w:lang w:eastAsia="en-AU"/>
            <w14:ligatures w14:val="standardContextual"/>
          </w:rPr>
          <w:tab/>
          <w:t>Offences against these regulations</w:t>
        </w:r>
      </w:hyperlink>
    </w:p>
    <w:p w14:paraId="3707A57C" w14:textId="77777777" w:rsidR="002A3021" w:rsidRPr="002A3021" w:rsidRDefault="002A3021" w:rsidP="002A302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01" w:history="1">
        <w:r w:rsidRPr="002A3021">
          <w:rPr>
            <w:rFonts w:eastAsia="Times New Roman"/>
            <w:color w:val="000000"/>
            <w:sz w:val="28"/>
            <w:szCs w:val="28"/>
            <w:lang w:eastAsia="en-AU"/>
            <w14:ligatures w14:val="standardContextual"/>
          </w:rPr>
          <w:t>Schedule 6—Repeal and transitional provisions</w:t>
        </w:r>
      </w:hyperlink>
    </w:p>
    <w:p w14:paraId="3B64479C"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02" w:history="1">
        <w:r w:rsidRPr="002A3021">
          <w:rPr>
            <w:rFonts w:eastAsia="Times New Roman"/>
            <w:color w:val="000000"/>
            <w:sz w:val="28"/>
            <w:szCs w:val="28"/>
            <w:lang w:eastAsia="en-AU"/>
            <w14:ligatures w14:val="standardContextual"/>
          </w:rPr>
          <w:t xml:space="preserve">Part 1—Repeal of </w:t>
        </w:r>
        <w:r w:rsidRPr="002A3021">
          <w:rPr>
            <w:rFonts w:eastAsia="Times New Roman"/>
            <w:i/>
            <w:iCs/>
            <w:color w:val="000000"/>
            <w:sz w:val="28"/>
            <w:szCs w:val="28"/>
            <w:lang w:eastAsia="en-AU"/>
            <w14:ligatures w14:val="standardContextual"/>
          </w:rPr>
          <w:t>Motor Vehicles Regulations 2010</w:t>
        </w:r>
      </w:hyperlink>
    </w:p>
    <w:p w14:paraId="111C030B"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3" w:history="1">
        <w:r w:rsidRPr="002A3021">
          <w:rPr>
            <w:rFonts w:eastAsia="Times New Roman"/>
            <w:color w:val="000000"/>
            <w:sz w:val="22"/>
            <w:lang w:eastAsia="en-AU"/>
            <w14:ligatures w14:val="standardContextual"/>
          </w:rPr>
          <w:t>1</w:t>
        </w:r>
        <w:r w:rsidRPr="002A3021">
          <w:rPr>
            <w:rFonts w:eastAsia="Times New Roman"/>
            <w:color w:val="000000"/>
            <w:sz w:val="22"/>
            <w:lang w:eastAsia="en-AU"/>
            <w14:ligatures w14:val="standardContextual"/>
          </w:rPr>
          <w:tab/>
          <w:t>Repeal of regulations</w:t>
        </w:r>
      </w:hyperlink>
    </w:p>
    <w:p w14:paraId="7AAD6887" w14:textId="77777777" w:rsidR="002A3021" w:rsidRPr="002A3021" w:rsidRDefault="002A3021" w:rsidP="002A302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04" w:history="1">
        <w:r w:rsidRPr="002A3021">
          <w:rPr>
            <w:rFonts w:eastAsia="Times New Roman"/>
            <w:color w:val="000000"/>
            <w:sz w:val="28"/>
            <w:szCs w:val="28"/>
            <w:lang w:eastAsia="en-AU"/>
            <w14:ligatures w14:val="standardContextual"/>
          </w:rPr>
          <w:t>Part 2—Transitional provisions</w:t>
        </w:r>
      </w:hyperlink>
    </w:p>
    <w:p w14:paraId="698FF156"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5" w:history="1">
        <w:r w:rsidRPr="002A3021">
          <w:rPr>
            <w:rFonts w:eastAsia="Times New Roman"/>
            <w:color w:val="000000"/>
            <w:sz w:val="22"/>
            <w:lang w:eastAsia="en-AU"/>
            <w14:ligatures w14:val="standardContextual"/>
          </w:rPr>
          <w:t>2</w:t>
        </w:r>
        <w:r w:rsidRPr="002A3021">
          <w:rPr>
            <w:rFonts w:eastAsia="Times New Roman"/>
            <w:color w:val="000000"/>
            <w:sz w:val="22"/>
            <w:lang w:eastAsia="en-AU"/>
            <w14:ligatures w14:val="standardContextual"/>
          </w:rPr>
          <w:tab/>
          <w:t>Transitional provisions relating to determinations, etc</w:t>
        </w:r>
      </w:hyperlink>
    </w:p>
    <w:p w14:paraId="522A5877" w14:textId="77777777" w:rsidR="002A3021" w:rsidRPr="002A3021" w:rsidRDefault="002A3021" w:rsidP="002A30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6" w:history="1">
        <w:r w:rsidRPr="002A3021">
          <w:rPr>
            <w:rFonts w:eastAsia="Times New Roman"/>
            <w:color w:val="000000"/>
            <w:sz w:val="22"/>
            <w:lang w:eastAsia="en-AU"/>
            <w14:ligatures w14:val="standardContextual"/>
          </w:rPr>
          <w:t>3</w:t>
        </w:r>
        <w:r w:rsidRPr="002A3021">
          <w:rPr>
            <w:rFonts w:eastAsia="Times New Roman"/>
            <w:color w:val="000000"/>
            <w:sz w:val="22"/>
            <w:lang w:eastAsia="en-AU"/>
            <w14:ligatures w14:val="standardContextual"/>
          </w:rPr>
          <w:tab/>
          <w:t xml:space="preserve">Transitional provision relating to </w:t>
        </w:r>
        <w:r w:rsidRPr="002A3021">
          <w:rPr>
            <w:rFonts w:eastAsia="Times New Roman"/>
            <w:i/>
            <w:iCs/>
            <w:color w:val="000000"/>
            <w:sz w:val="22"/>
            <w:lang w:eastAsia="en-AU"/>
            <w14:ligatures w14:val="standardContextual"/>
          </w:rPr>
          <w:t>Motor Vehicles (Motor Bike Driver Licensing) Amendment Regulations 2024</w:t>
        </w:r>
      </w:hyperlink>
    </w:p>
    <w:p w14:paraId="3D90C078" w14:textId="77777777" w:rsidR="002A3021" w:rsidRPr="002A3021" w:rsidRDefault="002A3021" w:rsidP="002A302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534A35E"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A3021">
        <w:rPr>
          <w:rFonts w:eastAsia="Times New Roman"/>
          <w:b/>
          <w:bCs/>
          <w:color w:val="000000"/>
          <w:sz w:val="32"/>
          <w:szCs w:val="32"/>
          <w:lang w:eastAsia="en-AU"/>
          <w14:ligatures w14:val="standardContextual"/>
        </w:rPr>
        <w:t>Part 1—Preliminary</w:t>
      </w:r>
    </w:p>
    <w:p w14:paraId="7F6C3CF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1—Short title</w:t>
      </w:r>
    </w:p>
    <w:p w14:paraId="766AC3B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These regulations may be cited as the </w:t>
      </w:r>
      <w:r w:rsidRPr="002A3021">
        <w:rPr>
          <w:rFonts w:eastAsia="Times New Roman"/>
          <w:i/>
          <w:iCs/>
          <w:color w:val="000000"/>
          <w:sz w:val="23"/>
          <w:szCs w:val="23"/>
          <w:lang w:eastAsia="en-AU"/>
          <w14:ligatures w14:val="standardContextual"/>
        </w:rPr>
        <w:t>Motor Vehicles Regulations 2025</w:t>
      </w:r>
      <w:r w:rsidRPr="002A3021">
        <w:rPr>
          <w:rFonts w:eastAsia="Times New Roman"/>
          <w:color w:val="000000"/>
          <w:sz w:val="23"/>
          <w:szCs w:val="23"/>
          <w:lang w:eastAsia="en-AU"/>
          <w14:ligatures w14:val="standardContextual"/>
        </w:rPr>
        <w:t>.</w:t>
      </w:r>
    </w:p>
    <w:p w14:paraId="78E2248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2—Commencement</w:t>
      </w:r>
    </w:p>
    <w:p w14:paraId="16A151E7"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These regulations come into operation on 1 September 2025.</w:t>
      </w:r>
    </w:p>
    <w:p w14:paraId="45CFB73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3—Interpretation</w:t>
      </w:r>
    </w:p>
    <w:p w14:paraId="4CB406C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In these regulations—</w:t>
      </w:r>
    </w:p>
    <w:p w14:paraId="3174E5A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Act</w:t>
      </w:r>
      <w:r w:rsidRPr="002A3021">
        <w:rPr>
          <w:rFonts w:eastAsia="Times New Roman"/>
          <w:color w:val="000000"/>
          <w:sz w:val="23"/>
          <w:szCs w:val="23"/>
          <w:lang w:eastAsia="en-AU"/>
          <w14:ligatures w14:val="standardContextual"/>
        </w:rPr>
        <w:t xml:space="preserve"> means the </w:t>
      </w:r>
      <w:hyperlink r:id="rId25" w:history="1">
        <w:r w:rsidRPr="002A3021">
          <w:rPr>
            <w:rFonts w:eastAsia="Times New Roman"/>
            <w:i/>
            <w:iCs/>
            <w:color w:val="000000"/>
            <w:sz w:val="23"/>
            <w:szCs w:val="23"/>
            <w:lang w:eastAsia="en-AU"/>
            <w14:ligatures w14:val="standardContextual"/>
          </w:rPr>
          <w:t>Motor Vehicles Act 1959</w:t>
        </w:r>
      </w:hyperlink>
      <w:r w:rsidRPr="002A3021">
        <w:rPr>
          <w:rFonts w:eastAsia="Times New Roman"/>
          <w:color w:val="000000"/>
          <w:sz w:val="23"/>
          <w:szCs w:val="23"/>
          <w:lang w:eastAsia="en-AU"/>
          <w14:ligatures w14:val="standardContextual"/>
        </w:rPr>
        <w:t>;</w:t>
      </w:r>
    </w:p>
    <w:p w14:paraId="6C9BC81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approved hazard perception test</w:t>
      </w:r>
      <w:r w:rsidRPr="002A3021">
        <w:rPr>
          <w:rFonts w:eastAsia="Times New Roman"/>
          <w:color w:val="000000"/>
          <w:sz w:val="23"/>
          <w:szCs w:val="23"/>
          <w:lang w:eastAsia="en-AU"/>
          <w14:ligatures w14:val="standardContextual"/>
        </w:rPr>
        <w:t xml:space="preserve"> has the same meaning as in section 79A of the Act;</w:t>
      </w:r>
    </w:p>
    <w:p w14:paraId="2F589EB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approved theoretical examination</w:t>
      </w:r>
      <w:r w:rsidRPr="002A3021">
        <w:rPr>
          <w:rFonts w:eastAsia="Times New Roman"/>
          <w:color w:val="000000"/>
          <w:sz w:val="23"/>
          <w:szCs w:val="23"/>
          <w:lang w:eastAsia="en-AU"/>
          <w14:ligatures w14:val="standardContextual"/>
        </w:rPr>
        <w:t xml:space="preserve"> has the same meaning as in section 79 of the Act;</w:t>
      </w:r>
    </w:p>
    <w:p w14:paraId="75CE4D9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articulated bus</w:t>
      </w:r>
      <w:r w:rsidRPr="002A3021">
        <w:rPr>
          <w:rFonts w:eastAsia="Times New Roman"/>
          <w:color w:val="000000"/>
          <w:sz w:val="23"/>
          <w:szCs w:val="23"/>
          <w:lang w:eastAsia="en-AU"/>
          <w14:ligatures w14:val="standardContextual"/>
        </w:rPr>
        <w:t xml:space="preserve"> means a bus consisting of more than 1 rigid section with passenger access between the sections and the sections connected to one another so as to allow rotary movement between the sections;</w:t>
      </w:r>
    </w:p>
    <w:p w14:paraId="0682812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articulated motor vehicle</w:t>
      </w:r>
      <w:r w:rsidRPr="002A3021">
        <w:rPr>
          <w:rFonts w:eastAsia="Times New Roman"/>
          <w:color w:val="000000"/>
          <w:sz w:val="23"/>
          <w:szCs w:val="23"/>
          <w:lang w:eastAsia="en-AU"/>
          <w14:ligatures w14:val="standardContextual"/>
        </w:rPr>
        <w:t xml:space="preserve"> means a motor vehicle consisting of a prime mover and a trailer that is pivoted to and superimposed on the prime mover (a semi</w:t>
      </w:r>
      <w:r w:rsidRPr="002A3021">
        <w:rPr>
          <w:rFonts w:eastAsia="Times New Roman"/>
          <w:color w:val="000000"/>
          <w:sz w:val="23"/>
          <w:szCs w:val="23"/>
          <w:lang w:eastAsia="en-AU"/>
          <w14:ligatures w14:val="standardContextual"/>
        </w:rPr>
        <w:noBreakHyphen/>
        <w:t>trailer);</w:t>
      </w:r>
    </w:p>
    <w:p w14:paraId="57A1881D" w14:textId="4AD50F9C" w:rsidR="00503368"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w:t>
      </w:r>
      <w:r w:rsidRPr="002A3021">
        <w:rPr>
          <w:rFonts w:eastAsia="Times New Roman"/>
          <w:b/>
          <w:bCs/>
          <w:i/>
          <w:iCs/>
          <w:color w:val="000000"/>
          <w:sz w:val="23"/>
          <w:szCs w:val="23"/>
          <w:lang w:eastAsia="en-AU"/>
          <w14:ligatures w14:val="standardContextual"/>
        </w:rPr>
        <w:noBreakHyphen/>
        <w:t>double</w:t>
      </w:r>
      <w:r w:rsidRPr="002A3021">
        <w:rPr>
          <w:rFonts w:eastAsia="Times New Roman"/>
          <w:color w:val="000000"/>
          <w:sz w:val="23"/>
          <w:szCs w:val="23"/>
          <w:lang w:eastAsia="en-AU"/>
          <w14:ligatures w14:val="standardContextual"/>
        </w:rPr>
        <w:t xml:space="preserve"> means an articulated motor vehicle that has a further semi</w:t>
      </w:r>
      <w:r w:rsidRPr="002A3021">
        <w:rPr>
          <w:rFonts w:eastAsia="Times New Roman"/>
          <w:color w:val="000000"/>
          <w:sz w:val="23"/>
          <w:szCs w:val="23"/>
          <w:lang w:eastAsia="en-AU"/>
          <w14:ligatures w14:val="standardContextual"/>
        </w:rPr>
        <w:noBreakHyphen/>
        <w:t>trailer superimposed on the semi</w:t>
      </w:r>
      <w:r w:rsidRPr="002A3021">
        <w:rPr>
          <w:rFonts w:eastAsia="Times New Roman"/>
          <w:color w:val="000000"/>
          <w:sz w:val="23"/>
          <w:szCs w:val="23"/>
          <w:lang w:eastAsia="en-AU"/>
          <w14:ligatures w14:val="standardContextual"/>
        </w:rPr>
        <w:noBreakHyphen/>
        <w:t>trailer that forms part of the articulated motor vehicle;</w:t>
      </w:r>
    </w:p>
    <w:p w14:paraId="6AC4AA36" w14:textId="77777777" w:rsidR="00503368" w:rsidRDefault="00503368">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AEF9D4B"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lastRenderedPageBreak/>
        <w:t>bike rack</w:t>
      </w:r>
      <w:r w:rsidRPr="002A3021">
        <w:rPr>
          <w:rFonts w:eastAsia="Times New Roman"/>
          <w:color w:val="000000"/>
          <w:sz w:val="23"/>
          <w:szCs w:val="23"/>
          <w:lang w:eastAsia="en-AU"/>
          <w14:ligatures w14:val="standardContextual"/>
        </w:rPr>
        <w:t xml:space="preserve"> means a device that—</w:t>
      </w:r>
    </w:p>
    <w:p w14:paraId="0572418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designed or adapted for attachment to the rear of a motor vehicle (other than a motor bike or motor trike); and</w:t>
      </w:r>
    </w:p>
    <w:p w14:paraId="0B47C41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designed or adapted for the carriage of 1 or more pedal cycles, motor bikes, wheelchairs or other similar ride</w:t>
      </w:r>
      <w:r w:rsidRPr="002A3021">
        <w:rPr>
          <w:rFonts w:eastAsia="Times New Roman"/>
          <w:color w:val="000000"/>
          <w:sz w:val="23"/>
          <w:szCs w:val="23"/>
          <w:lang w:eastAsia="en-AU"/>
          <w14:ligatures w14:val="standardContextual"/>
        </w:rPr>
        <w:noBreakHyphen/>
        <w:t>on vehicles (whether self</w:t>
      </w:r>
      <w:r w:rsidRPr="002A3021">
        <w:rPr>
          <w:rFonts w:eastAsia="Times New Roman"/>
          <w:color w:val="000000"/>
          <w:sz w:val="23"/>
          <w:szCs w:val="23"/>
          <w:lang w:eastAsia="en-AU"/>
          <w14:ligatures w14:val="standardContextual"/>
        </w:rPr>
        <w:noBreakHyphen/>
        <w:t>propelled or propelled by the rider);</w:t>
      </w:r>
    </w:p>
    <w:p w14:paraId="5B39574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bus</w:t>
      </w:r>
      <w:r w:rsidRPr="002A3021">
        <w:rPr>
          <w:rFonts w:eastAsia="Times New Roman"/>
          <w:color w:val="000000"/>
          <w:sz w:val="23"/>
          <w:szCs w:val="23"/>
          <w:lang w:eastAsia="en-AU"/>
          <w14:ligatures w14:val="standardContextual"/>
        </w:rPr>
        <w:t xml:space="preserve"> means a motor vehicle—</w:t>
      </w:r>
    </w:p>
    <w:p w14:paraId="41D5305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designed for the principal purpose of carrying passengers; and</w:t>
      </w:r>
    </w:p>
    <w:p w14:paraId="2AACE16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designed to carry more than 12 seated adult persons;</w:t>
      </w:r>
    </w:p>
    <w:p w14:paraId="4551390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Commonwealth Department</w:t>
      </w:r>
      <w:r w:rsidRPr="002A3021">
        <w:rPr>
          <w:rFonts w:eastAsia="Times New Roman"/>
          <w:color w:val="000000"/>
          <w:sz w:val="23"/>
          <w:szCs w:val="23"/>
          <w:lang w:eastAsia="en-AU"/>
          <w14:ligatures w14:val="standardContextual"/>
        </w:rPr>
        <w:t xml:space="preserve"> means the Agency (within the meaning of the </w:t>
      </w:r>
      <w:r w:rsidRPr="002A3021">
        <w:rPr>
          <w:rFonts w:eastAsia="Times New Roman"/>
          <w:i/>
          <w:iCs/>
          <w:color w:val="000000"/>
          <w:sz w:val="23"/>
          <w:szCs w:val="23"/>
          <w:lang w:eastAsia="en-AU"/>
          <w14:ligatures w14:val="standardContextual"/>
        </w:rPr>
        <w:t>Public Service Act 1999</w:t>
      </w:r>
      <w:r w:rsidRPr="002A3021">
        <w:rPr>
          <w:rFonts w:eastAsia="Times New Roman"/>
          <w:color w:val="000000"/>
          <w:sz w:val="23"/>
          <w:szCs w:val="23"/>
          <w:lang w:eastAsia="en-AU"/>
          <w14:ligatures w14:val="standardContextual"/>
        </w:rPr>
        <w:t xml:space="preserve"> of the Commonwealth) that is responsible for assisting a Minister of the Commonwealth in the administration of the </w:t>
      </w:r>
      <w:r w:rsidRPr="002A3021">
        <w:rPr>
          <w:rFonts w:eastAsia="Times New Roman"/>
          <w:i/>
          <w:iCs/>
          <w:color w:val="000000"/>
          <w:sz w:val="23"/>
          <w:szCs w:val="23"/>
          <w:lang w:eastAsia="en-AU"/>
          <w14:ligatures w14:val="standardContextual"/>
        </w:rPr>
        <w:t>Road Vehicle Standards Act 2018</w:t>
      </w:r>
      <w:r w:rsidRPr="002A3021">
        <w:rPr>
          <w:rFonts w:eastAsia="Times New Roman"/>
          <w:color w:val="000000"/>
          <w:sz w:val="23"/>
          <w:szCs w:val="23"/>
          <w:lang w:eastAsia="en-AU"/>
          <w14:ligatures w14:val="standardContextual"/>
        </w:rPr>
        <w:t xml:space="preserve"> of the Commonwealth;</w:t>
      </w:r>
    </w:p>
    <w:p w14:paraId="5805123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converter dolly</w:t>
      </w:r>
      <w:r w:rsidRPr="002A3021">
        <w:rPr>
          <w:rFonts w:eastAsia="Times New Roman"/>
          <w:color w:val="000000"/>
          <w:sz w:val="23"/>
          <w:szCs w:val="23"/>
          <w:lang w:eastAsia="en-AU"/>
          <w14:ligatures w14:val="standardContextual"/>
        </w:rPr>
        <w:t xml:space="preserve"> means a trailer with 1 axle group or single axle and a fifth wheel coupling designed to convert a semi</w:t>
      </w:r>
      <w:r w:rsidRPr="002A3021">
        <w:rPr>
          <w:rFonts w:eastAsia="Times New Roman"/>
          <w:color w:val="000000"/>
          <w:sz w:val="23"/>
          <w:szCs w:val="23"/>
          <w:lang w:eastAsia="en-AU"/>
          <w14:ligatures w14:val="standardContextual"/>
        </w:rPr>
        <w:noBreakHyphen/>
        <w:t>trailer into a dog trailer;</w:t>
      </w:r>
    </w:p>
    <w:p w14:paraId="55979D1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current registration details certificate</w:t>
      </w:r>
      <w:r w:rsidRPr="002A3021">
        <w:rPr>
          <w:rFonts w:eastAsia="Times New Roman"/>
          <w:color w:val="000000"/>
          <w:sz w:val="23"/>
          <w:szCs w:val="23"/>
          <w:lang w:eastAsia="en-AU"/>
          <w14:ligatures w14:val="standardContextual"/>
        </w:rPr>
        <w:t>, in relation to a motor vehicle, means—</w:t>
      </w:r>
    </w:p>
    <w:p w14:paraId="3471890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most recent registration details certificate issued on the Registrar's own initiative in relation to the motor vehicle; or</w:t>
      </w:r>
    </w:p>
    <w:p w14:paraId="02A2314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registration details certificate issued on application by the owner of the motor vehicle since the registration of the vehicle was last renewed;</w:t>
      </w:r>
    </w:p>
    <w:p w14:paraId="23483314"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dog trailer</w:t>
      </w:r>
      <w:r w:rsidRPr="002A3021">
        <w:rPr>
          <w:rFonts w:eastAsia="Times New Roman"/>
          <w:color w:val="000000"/>
          <w:sz w:val="23"/>
          <w:szCs w:val="23"/>
          <w:lang w:eastAsia="en-AU"/>
          <w14:ligatures w14:val="standardContextual"/>
        </w:rPr>
        <w:t xml:space="preserve"> means a trailer (including a trailer consisting of a semi</w:t>
      </w:r>
      <w:r w:rsidRPr="002A3021">
        <w:rPr>
          <w:rFonts w:eastAsia="Times New Roman"/>
          <w:color w:val="000000"/>
          <w:sz w:val="23"/>
          <w:szCs w:val="23"/>
          <w:lang w:eastAsia="en-AU"/>
          <w14:ligatures w14:val="standardContextual"/>
        </w:rPr>
        <w:noBreakHyphen/>
        <w:t>trailer and converter dolly) with—</w:t>
      </w:r>
    </w:p>
    <w:p w14:paraId="23DC3D0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1 axle group or single axle at the front that is steered by connection to the towing vehicle by a drawbar; and</w:t>
      </w:r>
    </w:p>
    <w:p w14:paraId="531E910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1 axle group or single axle at the rear;</w:t>
      </w:r>
    </w:p>
    <w:p w14:paraId="56ADD48A"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electric personal transporter</w:t>
      </w:r>
      <w:r w:rsidRPr="002A3021">
        <w:rPr>
          <w:rFonts w:eastAsia="Times New Roman"/>
          <w:color w:val="000000"/>
          <w:sz w:val="23"/>
          <w:szCs w:val="23"/>
          <w:lang w:eastAsia="en-AU"/>
          <w14:ligatures w14:val="standardContextual"/>
        </w:rPr>
        <w:t xml:space="preserve"> has the same meaning as in the </w:t>
      </w:r>
      <w:hyperlink r:id="rId26" w:history="1">
        <w:r w:rsidRPr="002A3021">
          <w:rPr>
            <w:rFonts w:eastAsia="Times New Roman"/>
            <w:i/>
            <w:iCs/>
            <w:color w:val="000000"/>
            <w:sz w:val="23"/>
            <w:szCs w:val="23"/>
            <w:lang w:eastAsia="en-AU"/>
            <w14:ligatures w14:val="standardContextual"/>
          </w:rPr>
          <w:t>Road Traffic (Miscellaneous) Regulations 2014</w:t>
        </w:r>
      </w:hyperlink>
      <w:r w:rsidRPr="002A3021">
        <w:rPr>
          <w:rFonts w:eastAsia="Times New Roman"/>
          <w:color w:val="000000"/>
          <w:sz w:val="23"/>
          <w:szCs w:val="23"/>
          <w:lang w:eastAsia="en-AU"/>
          <w14:ligatures w14:val="standardContextual"/>
        </w:rPr>
        <w:t>;</w:t>
      </w:r>
    </w:p>
    <w:p w14:paraId="65BF91AA"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fifth wheel coupling</w:t>
      </w:r>
      <w:r w:rsidRPr="002A3021">
        <w:rPr>
          <w:rFonts w:eastAsia="Times New Roman"/>
          <w:color w:val="000000"/>
          <w:sz w:val="23"/>
          <w:szCs w:val="23"/>
          <w:lang w:eastAsia="en-AU"/>
          <w14:ligatures w14:val="standardContextual"/>
        </w:rPr>
        <w:t xml:space="preserve"> means a device, other than the upper rotating element and the kingpin (which are parts of a semi</w:t>
      </w:r>
      <w:r w:rsidRPr="002A3021">
        <w:rPr>
          <w:rFonts w:eastAsia="Times New Roman"/>
          <w:color w:val="000000"/>
          <w:sz w:val="23"/>
          <w:szCs w:val="23"/>
          <w:lang w:eastAsia="en-AU"/>
          <w14:ligatures w14:val="standardContextual"/>
        </w:rPr>
        <w:noBreakHyphen/>
        <w:t>trailer), used with a prime</w:t>
      </w:r>
      <w:r w:rsidRPr="002A3021">
        <w:rPr>
          <w:rFonts w:eastAsia="Times New Roman"/>
          <w:color w:val="000000"/>
          <w:sz w:val="23"/>
          <w:szCs w:val="23"/>
          <w:lang w:eastAsia="en-AU"/>
          <w14:ligatures w14:val="standardContextual"/>
        </w:rPr>
        <w:noBreakHyphen/>
        <w:t>mover, semi</w:t>
      </w:r>
      <w:r w:rsidRPr="002A3021">
        <w:rPr>
          <w:rFonts w:eastAsia="Times New Roman"/>
          <w:color w:val="000000"/>
          <w:sz w:val="23"/>
          <w:szCs w:val="23"/>
          <w:lang w:eastAsia="en-AU"/>
          <w14:ligatures w14:val="standardContextual"/>
        </w:rPr>
        <w:noBreakHyphen/>
        <w:t>trailer or a converter dolly to permit quick coupling and uncoupling and to provide for articulation;</w:t>
      </w:r>
    </w:p>
    <w:p w14:paraId="0144174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golf cart</w:t>
      </w:r>
      <w:r w:rsidRPr="002A3021">
        <w:rPr>
          <w:rFonts w:eastAsia="Times New Roman"/>
          <w:color w:val="000000"/>
          <w:sz w:val="23"/>
          <w:szCs w:val="23"/>
          <w:lang w:eastAsia="en-AU"/>
          <w14:ligatures w14:val="standardContextual"/>
        </w:rPr>
        <w:t xml:space="preserve"> means a motor vehicle designed for the purpose of transporting a person or persons who are playing golf around a golf course;</w:t>
      </w:r>
    </w:p>
    <w:p w14:paraId="2C3EB812"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golf course</w:t>
      </w:r>
      <w:r w:rsidRPr="002A3021">
        <w:rPr>
          <w:rFonts w:eastAsia="Times New Roman"/>
          <w:color w:val="000000"/>
          <w:sz w:val="23"/>
          <w:szCs w:val="23"/>
          <w:lang w:eastAsia="en-AU"/>
          <w14:ligatures w14:val="standardContextual"/>
        </w:rPr>
        <w:t xml:space="preserve"> includes—</w:t>
      </w:r>
    </w:p>
    <w:p w14:paraId="7D284ED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land (including land used for car parking) used for the purposes of, or in conjunction with, a golf course; and</w:t>
      </w:r>
    </w:p>
    <w:p w14:paraId="0E66BF8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2 golf courses that are adjacent to one another and are managed by the same club or authority;</w:t>
      </w:r>
    </w:p>
    <w:p w14:paraId="16CE7FAD" w14:textId="65534B66" w:rsidR="00503368"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government</w:t>
      </w:r>
      <w:r w:rsidRPr="002A3021">
        <w:rPr>
          <w:rFonts w:eastAsia="Times New Roman"/>
          <w:b/>
          <w:bCs/>
          <w:i/>
          <w:iCs/>
          <w:color w:val="000000"/>
          <w:sz w:val="23"/>
          <w:szCs w:val="23"/>
          <w:lang w:eastAsia="en-AU"/>
          <w14:ligatures w14:val="standardContextual"/>
        </w:rPr>
        <w:noBreakHyphen/>
        <w:t>registered motor vehicle</w:t>
      </w:r>
      <w:r w:rsidRPr="002A3021">
        <w:rPr>
          <w:rFonts w:eastAsia="Times New Roman"/>
          <w:color w:val="000000"/>
          <w:sz w:val="23"/>
          <w:szCs w:val="23"/>
          <w:lang w:eastAsia="en-AU"/>
          <w14:ligatures w14:val="standardContextual"/>
        </w:rPr>
        <w:t xml:space="preserve"> means a motor vehicle in respect of which the Registrar has issued number plates of the class established by the Registrar under section 47A of the Act as </w:t>
      </w:r>
      <w:r w:rsidRPr="002A3021">
        <w:rPr>
          <w:rFonts w:eastAsia="Times New Roman"/>
          <w:i/>
          <w:iCs/>
          <w:color w:val="000000"/>
          <w:sz w:val="23"/>
          <w:szCs w:val="23"/>
          <w:lang w:eastAsia="en-AU"/>
          <w14:ligatures w14:val="standardContextual"/>
        </w:rPr>
        <w:t>Class 8—Government Vehicle Number Plates</w:t>
      </w:r>
      <w:r w:rsidRPr="002A3021">
        <w:rPr>
          <w:rFonts w:eastAsia="Times New Roman"/>
          <w:color w:val="000000"/>
          <w:sz w:val="23"/>
          <w:szCs w:val="23"/>
          <w:lang w:eastAsia="en-AU"/>
          <w14:ligatures w14:val="standardContextual"/>
        </w:rPr>
        <w:t>;</w:t>
      </w:r>
    </w:p>
    <w:p w14:paraId="4780633F" w14:textId="77777777" w:rsidR="00503368" w:rsidRDefault="00503368">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B04DD5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lastRenderedPageBreak/>
        <w:t>high powered vehicle exemption</w:t>
      </w:r>
      <w:r w:rsidRPr="002A3021">
        <w:rPr>
          <w:rFonts w:eastAsia="Times New Roman"/>
          <w:color w:val="000000"/>
          <w:sz w:val="23"/>
          <w:szCs w:val="23"/>
          <w:lang w:eastAsia="en-AU"/>
          <w14:ligatures w14:val="standardContextual"/>
        </w:rPr>
        <w:t xml:space="preserve"> means an exemption from section 81A(13) of the Act granted to the holder of a provisional licence under section 81A(14) of the Act;</w:t>
      </w:r>
    </w:p>
    <w:p w14:paraId="54AB8BF2"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low loader</w:t>
      </w:r>
      <w:r w:rsidRPr="002A3021">
        <w:rPr>
          <w:rFonts w:eastAsia="Times New Roman"/>
          <w:color w:val="000000"/>
          <w:sz w:val="23"/>
          <w:szCs w:val="23"/>
          <w:lang w:eastAsia="en-AU"/>
          <w14:ligatures w14:val="standardContextual"/>
        </w:rPr>
        <w:t xml:space="preserve"> means a gooseneck semi</w:t>
      </w:r>
      <w:r w:rsidRPr="002A3021">
        <w:rPr>
          <w:rFonts w:eastAsia="Times New Roman"/>
          <w:color w:val="000000"/>
          <w:sz w:val="23"/>
          <w:szCs w:val="23"/>
          <w:lang w:eastAsia="en-AU"/>
          <w14:ligatures w14:val="standardContextual"/>
        </w:rPr>
        <w:noBreakHyphen/>
        <w:t>trailer with a loading deck no more than 1 metre above the ground;</w:t>
      </w:r>
    </w:p>
    <w:p w14:paraId="5424B81A"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low loader dolly</w:t>
      </w:r>
      <w:r w:rsidRPr="002A3021">
        <w:rPr>
          <w:rFonts w:eastAsia="Times New Roman"/>
          <w:color w:val="000000"/>
          <w:sz w:val="23"/>
          <w:szCs w:val="23"/>
          <w:lang w:eastAsia="en-AU"/>
          <w14:ligatures w14:val="standardContextual"/>
        </w:rPr>
        <w:t xml:space="preserve"> means a mass distributing device that—</w:t>
      </w:r>
    </w:p>
    <w:p w14:paraId="1FB79A9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usually coupled between a prime mover and a low loader; and</w:t>
      </w:r>
    </w:p>
    <w:p w14:paraId="61B2178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consists of a gooseneck rigid frame; and</w:t>
      </w:r>
    </w:p>
    <w:p w14:paraId="083C6D6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does not carry any load directly on itself; and</w:t>
      </w:r>
    </w:p>
    <w:p w14:paraId="113D00F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is equipped with 1 or more axles, a kingpin and a fifth wheel coupling;</w:t>
      </w:r>
    </w:p>
    <w:p w14:paraId="6C5A3487"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L plate</w:t>
      </w:r>
      <w:r w:rsidRPr="002A3021">
        <w:rPr>
          <w:rFonts w:eastAsia="Times New Roman"/>
          <w:color w:val="000000"/>
          <w:sz w:val="23"/>
          <w:szCs w:val="23"/>
          <w:lang w:eastAsia="en-AU"/>
          <w14:ligatures w14:val="standardContextual"/>
        </w:rPr>
        <w:t xml:space="preserve">—see </w:t>
      </w:r>
      <w:hyperlink w:anchor="id6fca778c_a099_4d35_a42e_d431f2f2b65c_2" w:history="1">
        <w:r w:rsidRPr="002A3021">
          <w:rPr>
            <w:rFonts w:eastAsia="Times New Roman"/>
            <w:color w:val="000000"/>
            <w:sz w:val="23"/>
            <w:szCs w:val="23"/>
            <w:lang w:eastAsia="en-AU"/>
            <w14:ligatures w14:val="standardContextual"/>
          </w:rPr>
          <w:t>regulation 64</w:t>
        </w:r>
      </w:hyperlink>
      <w:r w:rsidRPr="002A3021">
        <w:rPr>
          <w:rFonts w:eastAsia="Times New Roman"/>
          <w:color w:val="000000"/>
          <w:sz w:val="23"/>
          <w:szCs w:val="23"/>
          <w:lang w:eastAsia="en-AU"/>
          <w14:ligatures w14:val="standardContextual"/>
        </w:rPr>
        <w:t>;</w:t>
      </w:r>
    </w:p>
    <w:p w14:paraId="5B9E1F7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Metropolitan Adelaide</w:t>
      </w:r>
      <w:r w:rsidRPr="002A3021">
        <w:rPr>
          <w:rFonts w:eastAsia="Times New Roman"/>
          <w:color w:val="000000"/>
          <w:sz w:val="23"/>
          <w:szCs w:val="23"/>
          <w:lang w:eastAsia="en-AU"/>
          <w14:ligatures w14:val="standardContextual"/>
        </w:rPr>
        <w:t xml:space="preserve"> means Metropolitan Adelaide as defined by GRO Plan 639/93;</w:t>
      </w:r>
    </w:p>
    <w:p w14:paraId="5C2A2552"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moped</w:t>
      </w:r>
      <w:r w:rsidRPr="002A3021">
        <w:rPr>
          <w:rFonts w:eastAsia="Times New Roman"/>
          <w:color w:val="000000"/>
          <w:sz w:val="23"/>
          <w:szCs w:val="23"/>
          <w:lang w:eastAsia="en-AU"/>
          <w14:ligatures w14:val="standardContextual"/>
        </w:rPr>
        <w:t xml:space="preserve"> means a 2 or 3 wheeled motor vehicle that—</w:t>
      </w:r>
    </w:p>
    <w:p w14:paraId="57E695C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propelled by—</w:t>
      </w:r>
    </w:p>
    <w:p w14:paraId="440BD43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an internal combustion engine with a capacity not exceeding 50 millilitres; or</w:t>
      </w:r>
    </w:p>
    <w:p w14:paraId="14D950A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a motor other than an internal combustion engine; and</w:t>
      </w:r>
    </w:p>
    <w:p w14:paraId="6FF79DC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capable of a speed not exceeding 50 kilometres per hour;</w:t>
      </w:r>
    </w:p>
    <w:p w14:paraId="096D0BA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motor bike rider knowledge test</w:t>
      </w:r>
      <w:r w:rsidRPr="002A3021">
        <w:rPr>
          <w:rFonts w:eastAsia="Times New Roman"/>
          <w:color w:val="000000"/>
          <w:sz w:val="23"/>
          <w:szCs w:val="23"/>
          <w:lang w:eastAsia="en-AU"/>
          <w14:ligatures w14:val="standardContextual"/>
        </w:rPr>
        <w:t xml:space="preserve"> means a test approved by the Registrar relating to basic motor bike knowledge;</w:t>
      </w:r>
    </w:p>
    <w:p w14:paraId="3765B5C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motor bike specific hazard awareness test</w:t>
      </w:r>
      <w:r w:rsidRPr="002A3021">
        <w:rPr>
          <w:rFonts w:eastAsia="Times New Roman"/>
          <w:color w:val="000000"/>
          <w:sz w:val="23"/>
          <w:szCs w:val="23"/>
          <w:lang w:eastAsia="en-AU"/>
          <w14:ligatures w14:val="standardContextual"/>
        </w:rPr>
        <w:t xml:space="preserve"> means a test approved by the Registrar relating to motor bike specific hazards;</w:t>
      </w:r>
    </w:p>
    <w:p w14:paraId="53FC5E07"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motor trike</w:t>
      </w:r>
      <w:r w:rsidRPr="002A3021">
        <w:rPr>
          <w:rFonts w:eastAsia="Times New Roman"/>
          <w:color w:val="000000"/>
          <w:sz w:val="23"/>
          <w:szCs w:val="23"/>
          <w:lang w:eastAsia="en-AU"/>
          <w14:ligatures w14:val="standardContextual"/>
        </w:rPr>
        <w:t xml:space="preserve"> means a motor vehicle with 3 wheels, but does not include—</w:t>
      </w:r>
    </w:p>
    <w:p w14:paraId="13B0033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2 wheeled motor vehicle with a sidecar attached to it and supported by a third wheel; or</w:t>
      </w:r>
    </w:p>
    <w:p w14:paraId="62792D0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motor vehicle with 3 wheels that has a body type commonly known as, or similar to, a sedan, station wagon, coupe, convertible, roadster, utility, tray top or van;</w:t>
      </w:r>
    </w:p>
    <w:p w14:paraId="5DC2292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notifiable vehicle</w:t>
      </w:r>
      <w:r w:rsidRPr="002A3021">
        <w:rPr>
          <w:rFonts w:eastAsia="Times New Roman"/>
          <w:color w:val="000000"/>
          <w:sz w:val="23"/>
          <w:szCs w:val="23"/>
          <w:lang w:eastAsia="en-AU"/>
          <w14:ligatures w14:val="standardContextual"/>
        </w:rPr>
        <w:t xml:space="preserve">—see </w:t>
      </w:r>
      <w:hyperlink w:anchor="id39e42f03_3d17_4a7a_8c1f_8e2cfdc2035a_a" w:history="1">
        <w:r w:rsidRPr="002A3021">
          <w:rPr>
            <w:rFonts w:eastAsia="Times New Roman"/>
            <w:color w:val="000000"/>
            <w:sz w:val="23"/>
            <w:szCs w:val="23"/>
            <w:lang w:eastAsia="en-AU"/>
            <w14:ligatures w14:val="standardContextual"/>
          </w:rPr>
          <w:t>Part 6</w:t>
        </w:r>
      </w:hyperlink>
      <w:r w:rsidRPr="002A3021">
        <w:rPr>
          <w:rFonts w:eastAsia="Times New Roman"/>
          <w:color w:val="000000"/>
          <w:sz w:val="23"/>
          <w:szCs w:val="23"/>
          <w:lang w:eastAsia="en-AU"/>
          <w14:ligatures w14:val="standardContextual"/>
        </w:rPr>
        <w:t>;</w:t>
      </w:r>
    </w:p>
    <w:p w14:paraId="7CB1D0C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power</w:t>
      </w:r>
      <w:r w:rsidRPr="002A3021">
        <w:rPr>
          <w:rFonts w:eastAsia="Times New Roman"/>
          <w:b/>
          <w:bCs/>
          <w:i/>
          <w:iCs/>
          <w:color w:val="000000"/>
          <w:sz w:val="23"/>
          <w:szCs w:val="23"/>
          <w:lang w:eastAsia="en-AU"/>
          <w14:ligatures w14:val="standardContextual"/>
        </w:rPr>
        <w:noBreakHyphen/>
        <w:t>assisted pedal cycle</w:t>
      </w:r>
      <w:r w:rsidRPr="002A3021">
        <w:rPr>
          <w:rFonts w:eastAsia="Times New Roman"/>
          <w:color w:val="000000"/>
          <w:sz w:val="23"/>
          <w:szCs w:val="23"/>
          <w:lang w:eastAsia="en-AU"/>
          <w14:ligatures w14:val="standardContextual"/>
        </w:rPr>
        <w:t xml:space="preserve"> means a power</w:t>
      </w:r>
      <w:r w:rsidRPr="002A3021">
        <w:rPr>
          <w:rFonts w:eastAsia="Times New Roman"/>
          <w:color w:val="000000"/>
          <w:sz w:val="23"/>
          <w:szCs w:val="23"/>
          <w:lang w:eastAsia="en-AU"/>
          <w14:ligatures w14:val="standardContextual"/>
        </w:rPr>
        <w:noBreakHyphen/>
        <w:t xml:space="preserve">assisted pedal cycle within the meaning of vehicle standards determined under the </w:t>
      </w:r>
      <w:r w:rsidRPr="002A3021">
        <w:rPr>
          <w:rFonts w:eastAsia="Times New Roman"/>
          <w:i/>
          <w:iCs/>
          <w:color w:val="000000"/>
          <w:sz w:val="23"/>
          <w:szCs w:val="23"/>
          <w:lang w:eastAsia="en-AU"/>
          <w14:ligatures w14:val="standardContextual"/>
        </w:rPr>
        <w:t>Road Vehicle Standards Act 2018</w:t>
      </w:r>
      <w:r w:rsidRPr="002A3021">
        <w:rPr>
          <w:rFonts w:eastAsia="Times New Roman"/>
          <w:color w:val="000000"/>
          <w:sz w:val="23"/>
          <w:szCs w:val="23"/>
          <w:lang w:eastAsia="en-AU"/>
          <w14:ligatures w14:val="standardContextual"/>
        </w:rPr>
        <w:t xml:space="preserve"> of the Commonwealth, but does not include such a pedal cycle if it has an auxiliary propulsion motor comprised (in whole or in part) of an internal combustion engine;</w:t>
      </w:r>
    </w:p>
    <w:p w14:paraId="4CA335B0" w14:textId="77777777" w:rsidR="002A3021" w:rsidRPr="002A3021" w:rsidRDefault="002A3021" w:rsidP="002A302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Note—</w:t>
      </w:r>
    </w:p>
    <w:p w14:paraId="2C4F8139"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power</w:t>
      </w:r>
      <w:r w:rsidRPr="002A3021">
        <w:rPr>
          <w:rFonts w:eastAsia="Times New Roman"/>
          <w:b/>
          <w:bCs/>
          <w:i/>
          <w:iCs/>
          <w:color w:val="000000"/>
          <w:sz w:val="20"/>
          <w:szCs w:val="20"/>
          <w:lang w:eastAsia="en-AU"/>
          <w14:ligatures w14:val="standardContextual"/>
        </w:rPr>
        <w:noBreakHyphen/>
        <w:t>assisted pedal cycle</w:t>
      </w:r>
      <w:r w:rsidRPr="002A3021">
        <w:rPr>
          <w:rFonts w:eastAsia="Times New Roman"/>
          <w:color w:val="000000"/>
          <w:sz w:val="20"/>
          <w:szCs w:val="20"/>
          <w:lang w:eastAsia="en-AU"/>
          <w14:ligatures w14:val="standardContextual"/>
        </w:rPr>
        <w:t xml:space="preserve"> is defined in the </w:t>
      </w:r>
      <w:r w:rsidRPr="002A3021">
        <w:rPr>
          <w:rFonts w:eastAsia="Times New Roman"/>
          <w:i/>
          <w:iCs/>
          <w:color w:val="000000"/>
          <w:sz w:val="20"/>
          <w:szCs w:val="20"/>
          <w:lang w:eastAsia="en-AU"/>
          <w14:ligatures w14:val="standardContextual"/>
        </w:rPr>
        <w:t>Vehicle Standard (Australian Design Rule – Definitions and Vehicle Categories) 2005</w:t>
      </w:r>
      <w:r w:rsidRPr="002A3021">
        <w:rPr>
          <w:rFonts w:eastAsia="Times New Roman"/>
          <w:color w:val="000000"/>
          <w:sz w:val="20"/>
          <w:szCs w:val="20"/>
          <w:lang w:eastAsia="en-AU"/>
          <w14:ligatures w14:val="standardContextual"/>
        </w:rPr>
        <w:t xml:space="preserve"> determined under the </w:t>
      </w:r>
      <w:r w:rsidRPr="002A3021">
        <w:rPr>
          <w:rFonts w:eastAsia="Times New Roman"/>
          <w:i/>
          <w:iCs/>
          <w:color w:val="000000"/>
          <w:sz w:val="20"/>
          <w:szCs w:val="20"/>
          <w:lang w:eastAsia="en-AU"/>
          <w14:ligatures w14:val="standardContextual"/>
        </w:rPr>
        <w:t>Road Vehicle Standards Act 2018</w:t>
      </w:r>
      <w:r w:rsidRPr="002A3021">
        <w:rPr>
          <w:rFonts w:eastAsia="Times New Roman"/>
          <w:color w:val="000000"/>
          <w:sz w:val="20"/>
          <w:szCs w:val="20"/>
          <w:lang w:eastAsia="en-AU"/>
          <w14:ligatures w14:val="standardContextual"/>
        </w:rPr>
        <w:t xml:space="preserve"> of the Commonwealth.</w:t>
      </w:r>
    </w:p>
    <w:p w14:paraId="011D2AD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pre</w:t>
      </w:r>
      <w:r w:rsidRPr="002A3021">
        <w:rPr>
          <w:rFonts w:eastAsia="Times New Roman"/>
          <w:b/>
          <w:bCs/>
          <w:i/>
          <w:iCs/>
          <w:color w:val="000000"/>
          <w:sz w:val="23"/>
          <w:szCs w:val="23"/>
          <w:lang w:eastAsia="en-AU"/>
          <w14:ligatures w14:val="standardContextual"/>
        </w:rPr>
        <w:noBreakHyphen/>
        <w:t>learner's permit motor bike training course</w:t>
      </w:r>
      <w:r w:rsidRPr="002A3021">
        <w:rPr>
          <w:rFonts w:eastAsia="Times New Roman"/>
          <w:color w:val="000000"/>
          <w:sz w:val="23"/>
          <w:szCs w:val="23"/>
          <w:lang w:eastAsia="en-AU"/>
          <w14:ligatures w14:val="standardContextual"/>
        </w:rPr>
        <w:t xml:space="preserve"> means the course of that name conducted by the Transport Department (which may consist of multiple components);</w:t>
      </w:r>
    </w:p>
    <w:p w14:paraId="570170B7" w14:textId="0FD3BC9C" w:rsidR="00503368"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pre</w:t>
      </w:r>
      <w:r w:rsidRPr="002A3021">
        <w:rPr>
          <w:rFonts w:eastAsia="Times New Roman"/>
          <w:b/>
          <w:bCs/>
          <w:i/>
          <w:iCs/>
          <w:color w:val="000000"/>
          <w:sz w:val="23"/>
          <w:szCs w:val="23"/>
          <w:lang w:eastAsia="en-AU"/>
          <w14:ligatures w14:val="standardContextual"/>
        </w:rPr>
        <w:noBreakHyphen/>
        <w:t>licence motor bike training course</w:t>
      </w:r>
      <w:r w:rsidRPr="002A3021">
        <w:rPr>
          <w:rFonts w:eastAsia="Times New Roman"/>
          <w:color w:val="000000"/>
          <w:sz w:val="23"/>
          <w:szCs w:val="23"/>
          <w:lang w:eastAsia="en-AU"/>
          <w14:ligatures w14:val="standardContextual"/>
        </w:rPr>
        <w:t xml:space="preserve"> means the course of that name conducted by the Transport Department (which may consist of multiple components);</w:t>
      </w:r>
    </w:p>
    <w:p w14:paraId="48F766AB" w14:textId="77777777" w:rsidR="00503368" w:rsidRDefault="00503368">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D4E0AEC"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lastRenderedPageBreak/>
        <w:t>prescribed event</w:t>
      </w:r>
      <w:r w:rsidRPr="002A3021">
        <w:rPr>
          <w:rFonts w:eastAsia="Times New Roman"/>
          <w:color w:val="000000"/>
          <w:sz w:val="23"/>
          <w:szCs w:val="23"/>
          <w:lang w:eastAsia="en-AU"/>
          <w14:ligatures w14:val="standardContextual"/>
        </w:rPr>
        <w:t xml:space="preserve"> means—</w:t>
      </w:r>
    </w:p>
    <w:p w14:paraId="6606015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annual Royal Adelaide Show; or</w:t>
      </w:r>
    </w:p>
    <w:p w14:paraId="0F6F098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country field day event; or</w:t>
      </w:r>
    </w:p>
    <w:p w14:paraId="31CE4BF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boat or motor show; or</w:t>
      </w:r>
    </w:p>
    <w:p w14:paraId="524582E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any other exhibition, fair or show;</w:t>
      </w:r>
    </w:p>
    <w:p w14:paraId="4FBC6E0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 plate</w:t>
      </w:r>
      <w:r w:rsidRPr="002A3021">
        <w:rPr>
          <w:rFonts w:eastAsia="Times New Roman"/>
          <w:color w:val="000000"/>
          <w:sz w:val="23"/>
          <w:szCs w:val="23"/>
          <w:lang w:eastAsia="en-AU"/>
          <w14:ligatures w14:val="standardContextual"/>
        </w:rPr>
        <w:t xml:space="preserve">—see </w:t>
      </w:r>
      <w:hyperlink w:anchor="id65780fd3_80f1_4a57_b364_b5f9eeb55bc0_4" w:history="1">
        <w:r w:rsidRPr="002A3021">
          <w:rPr>
            <w:rFonts w:eastAsia="Times New Roman"/>
            <w:color w:val="000000"/>
            <w:sz w:val="23"/>
            <w:szCs w:val="23"/>
            <w:lang w:eastAsia="en-AU"/>
            <w14:ligatures w14:val="standardContextual"/>
          </w:rPr>
          <w:t>regulation 65</w:t>
        </w:r>
      </w:hyperlink>
      <w:r w:rsidRPr="002A3021">
        <w:rPr>
          <w:rFonts w:eastAsia="Times New Roman"/>
          <w:color w:val="000000"/>
          <w:sz w:val="23"/>
          <w:szCs w:val="23"/>
          <w:lang w:eastAsia="en-AU"/>
          <w14:ligatures w14:val="standardContextual"/>
        </w:rPr>
        <w:t>;</w:t>
      </w:r>
    </w:p>
    <w:p w14:paraId="0AD6CC2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registered number</w:t>
      </w:r>
      <w:r w:rsidRPr="002A3021">
        <w:rPr>
          <w:rFonts w:eastAsia="Times New Roman"/>
          <w:color w:val="000000"/>
          <w:sz w:val="23"/>
          <w:szCs w:val="23"/>
          <w:lang w:eastAsia="en-AU"/>
          <w14:ligatures w14:val="standardContextual"/>
        </w:rPr>
        <w:t>, in relation to a motor vehicle, means the number allotted to the motor vehicle under section 46 of the Act;</w:t>
      </w:r>
    </w:p>
    <w:p w14:paraId="6D62CF6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registration details certificate</w:t>
      </w:r>
      <w:r w:rsidRPr="002A3021">
        <w:rPr>
          <w:rFonts w:eastAsia="Times New Roman"/>
          <w:color w:val="000000"/>
          <w:sz w:val="23"/>
          <w:szCs w:val="23"/>
          <w:lang w:eastAsia="en-AU"/>
          <w14:ligatures w14:val="standardContextual"/>
        </w:rPr>
        <w:t xml:space="preserve"> means a certificate issued by the Registrar under </w:t>
      </w:r>
      <w:hyperlink w:anchor="idc2f12080_21de_4857_951c_41ff02f0c72d_1" w:history="1">
        <w:r w:rsidRPr="002A3021">
          <w:rPr>
            <w:rFonts w:eastAsia="Times New Roman"/>
            <w:color w:val="000000"/>
            <w:sz w:val="23"/>
            <w:szCs w:val="23"/>
            <w:lang w:eastAsia="en-AU"/>
            <w14:ligatures w14:val="standardContextual"/>
          </w:rPr>
          <w:t>regulation 41</w:t>
        </w:r>
      </w:hyperlink>
      <w:r w:rsidRPr="002A3021">
        <w:rPr>
          <w:rFonts w:eastAsia="Times New Roman"/>
          <w:color w:val="000000"/>
          <w:sz w:val="23"/>
          <w:szCs w:val="23"/>
          <w:lang w:eastAsia="en-AU"/>
          <w14:ligatures w14:val="standardContextual"/>
        </w:rPr>
        <w:t>;</w:t>
      </w:r>
    </w:p>
    <w:p w14:paraId="02BC91F2"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restricted motor bike learner's permit</w:t>
      </w:r>
      <w:r w:rsidRPr="002A3021">
        <w:rPr>
          <w:rFonts w:eastAsia="Times New Roman"/>
          <w:color w:val="000000"/>
          <w:sz w:val="23"/>
          <w:szCs w:val="23"/>
          <w:lang w:eastAsia="en-AU"/>
          <w14:ligatures w14:val="standardContextual"/>
        </w:rPr>
        <w:t xml:space="preserve"> has the same meaning as in section 75B of the Act;</w:t>
      </w:r>
    </w:p>
    <w:p w14:paraId="1737A272"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rigid</w:t>
      </w:r>
      <w:r w:rsidRPr="002A3021">
        <w:rPr>
          <w:rFonts w:eastAsia="Times New Roman"/>
          <w:color w:val="000000"/>
          <w:sz w:val="23"/>
          <w:szCs w:val="23"/>
          <w:lang w:eastAsia="en-AU"/>
          <w14:ligatures w14:val="standardContextual"/>
        </w:rPr>
        <w:t xml:space="preserve"> means not articulated, other than in respect of an articulated bus;</w:t>
      </w:r>
    </w:p>
    <w:p w14:paraId="4C5FA55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road train</w:t>
      </w:r>
      <w:r w:rsidRPr="002A3021">
        <w:rPr>
          <w:rFonts w:eastAsia="Times New Roman"/>
          <w:color w:val="000000"/>
          <w:sz w:val="23"/>
          <w:szCs w:val="23"/>
          <w:lang w:eastAsia="en-AU"/>
          <w14:ligatures w14:val="standardContextual"/>
        </w:rPr>
        <w:t xml:space="preserve"> means a combination of vehicles, other than a B</w:t>
      </w:r>
      <w:r w:rsidRPr="002A3021">
        <w:rPr>
          <w:rFonts w:eastAsia="Times New Roman"/>
          <w:color w:val="000000"/>
          <w:sz w:val="23"/>
          <w:szCs w:val="23"/>
          <w:lang w:eastAsia="en-AU"/>
          <w14:ligatures w14:val="standardContextual"/>
        </w:rPr>
        <w:noBreakHyphen/>
        <w:t>double, consisting of a motor vehicle towing at least 2 trailers (counting as 1 trailer a converter dolly supporting a semi</w:t>
      </w:r>
      <w:r w:rsidRPr="002A3021">
        <w:rPr>
          <w:rFonts w:eastAsia="Times New Roman"/>
          <w:color w:val="000000"/>
          <w:sz w:val="23"/>
          <w:szCs w:val="23"/>
          <w:lang w:eastAsia="en-AU"/>
          <w14:ligatures w14:val="standardContextual"/>
        </w:rPr>
        <w:noBreakHyphen/>
        <w:t>trailer);</w:t>
      </w:r>
    </w:p>
    <w:p w14:paraId="0C57C93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South Australian Police Department</w:t>
      </w:r>
      <w:r w:rsidRPr="002A3021">
        <w:rPr>
          <w:rFonts w:eastAsia="Times New Roman"/>
          <w:color w:val="000000"/>
          <w:sz w:val="23"/>
          <w:szCs w:val="23"/>
          <w:lang w:eastAsia="en-AU"/>
          <w14:ligatures w14:val="standardContextual"/>
        </w:rPr>
        <w:t xml:space="preserve"> means the administrative unit of the Public Service that is responsible for assisting a Minister in the administration of the </w:t>
      </w:r>
      <w:hyperlink r:id="rId27" w:history="1">
        <w:r w:rsidRPr="002A3021">
          <w:rPr>
            <w:rFonts w:eastAsia="Times New Roman"/>
            <w:i/>
            <w:iCs/>
            <w:color w:val="000000"/>
            <w:sz w:val="23"/>
            <w:szCs w:val="23"/>
            <w:lang w:eastAsia="en-AU"/>
            <w14:ligatures w14:val="standardContextual"/>
          </w:rPr>
          <w:t>Police Act 1998</w:t>
        </w:r>
      </w:hyperlink>
      <w:r w:rsidRPr="002A3021">
        <w:rPr>
          <w:rFonts w:eastAsia="Times New Roman"/>
          <w:color w:val="000000"/>
          <w:sz w:val="23"/>
          <w:szCs w:val="23"/>
          <w:lang w:eastAsia="en-AU"/>
          <w14:ligatures w14:val="standardContextual"/>
        </w:rPr>
        <w:t>;</w:t>
      </w:r>
    </w:p>
    <w:p w14:paraId="1ECFE49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special purpose vehicle</w:t>
      </w:r>
      <w:r w:rsidRPr="002A3021">
        <w:rPr>
          <w:rFonts w:eastAsia="Times New Roman"/>
          <w:color w:val="000000"/>
          <w:sz w:val="23"/>
          <w:szCs w:val="23"/>
          <w:lang w:eastAsia="en-AU"/>
          <w14:ligatures w14:val="standardContextual"/>
        </w:rPr>
        <w:t xml:space="preserve"> has the same meaning as in the </w:t>
      </w:r>
      <w:hyperlink r:id="rId28" w:history="1">
        <w:r w:rsidRPr="002A3021">
          <w:rPr>
            <w:rFonts w:eastAsia="Times New Roman"/>
            <w:i/>
            <w:iCs/>
            <w:color w:val="000000"/>
            <w:sz w:val="23"/>
            <w:szCs w:val="23"/>
            <w:lang w:eastAsia="en-AU"/>
            <w14:ligatures w14:val="standardContextual"/>
          </w:rPr>
          <w:t>Motor Vehicles (National Heavy Vehicles Registration Fees) Regulations 2008</w:t>
        </w:r>
      </w:hyperlink>
      <w:r w:rsidRPr="002A3021">
        <w:rPr>
          <w:rFonts w:eastAsia="Times New Roman"/>
          <w:color w:val="000000"/>
          <w:sz w:val="23"/>
          <w:szCs w:val="23"/>
          <w:lang w:eastAsia="en-AU"/>
          <w14:ligatures w14:val="standardContextual"/>
        </w:rPr>
        <w:t>;</w:t>
      </w:r>
    </w:p>
    <w:p w14:paraId="2880DD2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Transport Department</w:t>
      </w:r>
      <w:r w:rsidRPr="002A3021">
        <w:rPr>
          <w:rFonts w:eastAsia="Times New Roman"/>
          <w:color w:val="000000"/>
          <w:sz w:val="23"/>
          <w:szCs w:val="23"/>
          <w:lang w:eastAsia="en-AU"/>
          <w14:ligatures w14:val="standardContextual"/>
        </w:rPr>
        <w:t xml:space="preserve"> means the administrative unit of the Public Service that is responsible for assisting a Minister in the administration of the Act;</w:t>
      </w:r>
    </w:p>
    <w:p w14:paraId="72B1F843"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ultra high powered vehicle</w:t>
      </w:r>
      <w:r w:rsidRPr="002A3021">
        <w:rPr>
          <w:rFonts w:eastAsia="Times New Roman"/>
          <w:color w:val="000000"/>
          <w:sz w:val="23"/>
          <w:szCs w:val="23"/>
          <w:lang w:eastAsia="en-AU"/>
          <w14:ligatures w14:val="standardContextual"/>
        </w:rPr>
        <w:t xml:space="preserve"> means a motor vehicle—</w:t>
      </w:r>
    </w:p>
    <w:p w14:paraId="308E184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with a GVM not greater than 4.5 tonnes, but not including a bus or a motor bike or motor trike; and</w:t>
      </w:r>
    </w:p>
    <w:p w14:paraId="5646320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with a power to weight ratio equal to or greater than 276 kilowatts per tonne;</w:t>
      </w:r>
    </w:p>
    <w:p w14:paraId="5DFA5FB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unladen mass</w:t>
      </w:r>
      <w:r w:rsidRPr="002A3021">
        <w:rPr>
          <w:rFonts w:eastAsia="Times New Roman"/>
          <w:color w:val="000000"/>
          <w:sz w:val="23"/>
          <w:szCs w:val="23"/>
          <w:lang w:eastAsia="en-AU"/>
          <w14:ligatures w14:val="standardContextual"/>
        </w:rPr>
        <w:t xml:space="preserve"> has the same meaning as in the </w:t>
      </w:r>
      <w:hyperlink r:id="rId29"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w:t>
      </w:r>
    </w:p>
    <w:p w14:paraId="69376851"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Vehicle on Road Test</w:t>
      </w:r>
      <w:r w:rsidRPr="002A3021">
        <w:rPr>
          <w:rFonts w:eastAsia="Times New Roman"/>
          <w:color w:val="000000"/>
          <w:sz w:val="23"/>
          <w:szCs w:val="23"/>
          <w:lang w:eastAsia="en-AU"/>
          <w14:ligatures w14:val="standardContextual"/>
        </w:rPr>
        <w:t xml:space="preserve"> means a practical driving test consisting of a single test during which the person taking the test drives a motor vehicle on roads in the company of an authorised examiner who assesses the person's ability to drive safely and according to the rules required by law to be observed by drivers of motor vehicles.</w:t>
      </w:r>
    </w:p>
    <w:p w14:paraId="0DA9CE0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In these regulations, </w:t>
      </w:r>
      <w:r w:rsidRPr="002A3021">
        <w:rPr>
          <w:rFonts w:eastAsia="Times New Roman"/>
          <w:b/>
          <w:bCs/>
          <w:i/>
          <w:iCs/>
          <w:color w:val="000000"/>
          <w:sz w:val="23"/>
          <w:szCs w:val="23"/>
          <w:lang w:eastAsia="en-AU"/>
          <w14:ligatures w14:val="standardContextual"/>
        </w:rPr>
        <w:t>recognised secondary education or training</w:t>
      </w:r>
      <w:r w:rsidRPr="002A3021">
        <w:rPr>
          <w:rFonts w:eastAsia="Times New Roman"/>
          <w:color w:val="000000"/>
          <w:sz w:val="23"/>
          <w:szCs w:val="23"/>
          <w:lang w:eastAsia="en-AU"/>
          <w14:ligatures w14:val="standardContextual"/>
        </w:rPr>
        <w:t xml:space="preserve">, </w:t>
      </w:r>
      <w:r w:rsidRPr="002A3021">
        <w:rPr>
          <w:rFonts w:eastAsia="Times New Roman"/>
          <w:b/>
          <w:bCs/>
          <w:i/>
          <w:iCs/>
          <w:color w:val="000000"/>
          <w:sz w:val="23"/>
          <w:szCs w:val="23"/>
          <w:lang w:eastAsia="en-AU"/>
          <w14:ligatures w14:val="standardContextual"/>
        </w:rPr>
        <w:t>recognised tertiary education or training</w:t>
      </w:r>
      <w:r w:rsidRPr="002A3021">
        <w:rPr>
          <w:rFonts w:eastAsia="Times New Roman"/>
          <w:color w:val="000000"/>
          <w:sz w:val="23"/>
          <w:szCs w:val="23"/>
          <w:lang w:eastAsia="en-AU"/>
          <w14:ligatures w14:val="standardContextual"/>
        </w:rPr>
        <w:t xml:space="preserve"> and </w:t>
      </w:r>
      <w:r w:rsidRPr="002A3021">
        <w:rPr>
          <w:rFonts w:eastAsia="Times New Roman"/>
          <w:b/>
          <w:bCs/>
          <w:i/>
          <w:iCs/>
          <w:color w:val="000000"/>
          <w:sz w:val="23"/>
          <w:szCs w:val="23"/>
          <w:lang w:eastAsia="en-AU"/>
          <w14:ligatures w14:val="standardContextual"/>
        </w:rPr>
        <w:t>recognised vocational education and training</w:t>
      </w:r>
      <w:r w:rsidRPr="002A3021">
        <w:rPr>
          <w:rFonts w:eastAsia="Times New Roman"/>
          <w:color w:val="000000"/>
          <w:sz w:val="23"/>
          <w:szCs w:val="23"/>
          <w:lang w:eastAsia="en-AU"/>
          <w14:ligatures w14:val="standardContextual"/>
        </w:rPr>
        <w:t xml:space="preserve"> have the same respective meanings as in Schedule 2 clause 3 of the Act.</w:t>
      </w:r>
    </w:p>
    <w:p w14:paraId="4651E43E" w14:textId="447F301A"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In these regulations, </w:t>
      </w:r>
      <w:r w:rsidRPr="002A3021">
        <w:rPr>
          <w:rFonts w:eastAsia="Times New Roman"/>
          <w:b/>
          <w:bCs/>
          <w:i/>
          <w:iCs/>
          <w:color w:val="000000"/>
          <w:sz w:val="23"/>
          <w:szCs w:val="23"/>
          <w:lang w:eastAsia="en-AU"/>
          <w14:ligatures w14:val="standardContextual"/>
        </w:rPr>
        <w:t>engine number</w:t>
      </w:r>
      <w:r w:rsidRPr="002A3021">
        <w:rPr>
          <w:rFonts w:eastAsia="Times New Roman"/>
          <w:color w:val="000000"/>
          <w:sz w:val="23"/>
          <w:szCs w:val="23"/>
          <w:lang w:eastAsia="en-AU"/>
          <w14:ligatures w14:val="standardContextual"/>
        </w:rPr>
        <w:t xml:space="preserve">, </w:t>
      </w:r>
      <w:r w:rsidRPr="002A3021">
        <w:rPr>
          <w:rFonts w:eastAsia="Times New Roman"/>
          <w:b/>
          <w:bCs/>
          <w:i/>
          <w:iCs/>
          <w:color w:val="000000"/>
          <w:sz w:val="23"/>
          <w:szCs w:val="23"/>
          <w:lang w:eastAsia="en-AU"/>
          <w14:ligatures w14:val="standardContextual"/>
        </w:rPr>
        <w:t>vehicle identification number</w:t>
      </w:r>
      <w:r w:rsidRPr="002A3021">
        <w:rPr>
          <w:rFonts w:eastAsia="Times New Roman"/>
          <w:color w:val="000000"/>
          <w:sz w:val="23"/>
          <w:szCs w:val="23"/>
          <w:lang w:eastAsia="en-AU"/>
          <w14:ligatures w14:val="standardContextual"/>
        </w:rPr>
        <w:t xml:space="preserve"> and </w:t>
      </w:r>
      <w:r w:rsidRPr="002A3021">
        <w:rPr>
          <w:rFonts w:eastAsia="Times New Roman"/>
          <w:b/>
          <w:bCs/>
          <w:i/>
          <w:iCs/>
          <w:color w:val="000000"/>
          <w:sz w:val="23"/>
          <w:szCs w:val="23"/>
          <w:lang w:eastAsia="en-AU"/>
          <w14:ligatures w14:val="standardContextual"/>
        </w:rPr>
        <w:t>vehicle identification plate</w:t>
      </w:r>
      <w:r w:rsidRPr="002A3021">
        <w:rPr>
          <w:rFonts w:eastAsia="Times New Roman"/>
          <w:color w:val="000000"/>
          <w:sz w:val="23"/>
          <w:szCs w:val="23"/>
          <w:lang w:eastAsia="en-AU"/>
          <w14:ligatures w14:val="standardContextual"/>
        </w:rPr>
        <w:t xml:space="preserve"> have the same respective meanings as in Part 3A of the </w:t>
      </w:r>
      <w:hyperlink r:id="rId30"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w:t>
      </w:r>
    </w:p>
    <w:p w14:paraId="5E653307"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EAE087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(4)</w:t>
      </w:r>
      <w:r w:rsidRPr="002A3021">
        <w:rPr>
          <w:rFonts w:eastAsia="Times New Roman"/>
          <w:color w:val="000000"/>
          <w:sz w:val="23"/>
          <w:szCs w:val="23"/>
          <w:lang w:eastAsia="en-AU"/>
          <w14:ligatures w14:val="standardContextual"/>
        </w:rPr>
        <w:tab/>
        <w:t>For the purposes of these regulations—</w:t>
      </w:r>
    </w:p>
    <w:p w14:paraId="0587DDA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w:t>
      </w:r>
      <w:r w:rsidRPr="002A3021">
        <w:rPr>
          <w:rFonts w:eastAsia="Times New Roman"/>
          <w:b/>
          <w:bCs/>
          <w:i/>
          <w:iCs/>
          <w:color w:val="000000"/>
          <w:sz w:val="23"/>
          <w:szCs w:val="23"/>
          <w:lang w:eastAsia="en-AU"/>
          <w14:ligatures w14:val="standardContextual"/>
        </w:rPr>
        <w:t>power to weight ratio</w:t>
      </w:r>
      <w:r w:rsidRPr="002A3021">
        <w:rPr>
          <w:rFonts w:eastAsia="Times New Roman"/>
          <w:color w:val="000000"/>
          <w:sz w:val="23"/>
          <w:szCs w:val="23"/>
          <w:lang w:eastAsia="en-AU"/>
          <w14:ligatures w14:val="standardContextual"/>
        </w:rPr>
        <w:t>—</w:t>
      </w:r>
    </w:p>
    <w:p w14:paraId="484F256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of a motor bike or motor trike is to be calculated by dividing its engine power (in kilowatts) by the sum of its tare mass (in kilograms) and 90 kilograms, and multiplying the product of that division by 1 000;</w:t>
      </w:r>
    </w:p>
    <w:p w14:paraId="1F5A190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of a motor vehicle other than a motor bike or motor trike is to be calculated by dividing the vehicle's engine power (in kilowatts) by its tare mass (in kilograms), and multiplying the product of that division by 1 000;</w:t>
      </w:r>
    </w:p>
    <w:p w14:paraId="5E7E5DF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w:t>
      </w:r>
      <w:r w:rsidRPr="002A3021">
        <w:rPr>
          <w:rFonts w:eastAsia="Times New Roman"/>
          <w:b/>
          <w:bCs/>
          <w:i/>
          <w:iCs/>
          <w:color w:val="000000"/>
          <w:sz w:val="23"/>
          <w:szCs w:val="23"/>
          <w:lang w:eastAsia="en-AU"/>
          <w14:ligatures w14:val="standardContextual"/>
        </w:rPr>
        <w:t>engine power</w:t>
      </w:r>
      <w:r w:rsidRPr="002A3021">
        <w:rPr>
          <w:rFonts w:eastAsia="Times New Roman"/>
          <w:color w:val="000000"/>
          <w:sz w:val="23"/>
          <w:szCs w:val="23"/>
          <w:lang w:eastAsia="en-AU"/>
          <w14:ligatures w14:val="standardContextual"/>
        </w:rPr>
        <w:t xml:space="preserve"> of a motor vehicle is the engine power stated in the Road Vehicle Descriptor for that vehicle's make and model published by the Commonwealth Department;</w:t>
      </w:r>
    </w:p>
    <w:p w14:paraId="30E75FF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the </w:t>
      </w:r>
      <w:r w:rsidRPr="002A3021">
        <w:rPr>
          <w:rFonts w:eastAsia="Times New Roman"/>
          <w:b/>
          <w:bCs/>
          <w:i/>
          <w:iCs/>
          <w:color w:val="000000"/>
          <w:sz w:val="23"/>
          <w:szCs w:val="23"/>
          <w:lang w:eastAsia="en-AU"/>
          <w14:ligatures w14:val="standardContextual"/>
        </w:rPr>
        <w:t>tare mass</w:t>
      </w:r>
      <w:r w:rsidRPr="002A3021">
        <w:rPr>
          <w:rFonts w:eastAsia="Times New Roman"/>
          <w:color w:val="000000"/>
          <w:sz w:val="23"/>
          <w:szCs w:val="23"/>
          <w:lang w:eastAsia="en-AU"/>
          <w14:ligatures w14:val="standardContextual"/>
        </w:rPr>
        <w:t xml:space="preserve"> of a motor vehicle is—</w:t>
      </w:r>
    </w:p>
    <w:p w14:paraId="375A3A8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tare mass as stated in the Road Vehicle Descriptor for that vehicle's make and model published by the Commonwealth Department; or</w:t>
      </w:r>
    </w:p>
    <w:p w14:paraId="1B847A8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if the tare mass is not stated in the Road Vehicle Descriptor—the tare mass for that vehicle's make and model as stated in the manufacturer's specifications; or</w:t>
      </w:r>
    </w:p>
    <w:p w14:paraId="445C6D7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if the tare mass is not stated in the Road Vehicle Descriptor or the manufacturer's specifications—the tare mass for that vehicle as determined by the Registrar.</w:t>
      </w:r>
    </w:p>
    <w:p w14:paraId="28DF8C4D"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4—Meaning of high powered vehicle</w:t>
      </w:r>
    </w:p>
    <w:p w14:paraId="2316304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The following classes of motor vehicles are prescribed as high powered vehicles for the purposes of the Act (see the definition of </w:t>
      </w:r>
      <w:r w:rsidRPr="002A3021">
        <w:rPr>
          <w:rFonts w:eastAsia="Times New Roman"/>
          <w:b/>
          <w:bCs/>
          <w:i/>
          <w:iCs/>
          <w:color w:val="000000"/>
          <w:sz w:val="23"/>
          <w:szCs w:val="23"/>
          <w:lang w:eastAsia="en-AU"/>
          <w14:ligatures w14:val="standardContextual"/>
        </w:rPr>
        <w:t>high powered vehicle</w:t>
      </w:r>
      <w:r w:rsidRPr="002A3021">
        <w:rPr>
          <w:rFonts w:eastAsia="Times New Roman"/>
          <w:color w:val="000000"/>
          <w:sz w:val="23"/>
          <w:szCs w:val="23"/>
          <w:lang w:eastAsia="en-AU"/>
          <w14:ligatures w14:val="standardContextual"/>
        </w:rPr>
        <w:t xml:space="preserve"> in section 5(1) of the Act):</w:t>
      </w:r>
    </w:p>
    <w:p w14:paraId="2547DB0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light vehicles manufactured before 1 January 2010 that have been modified to increase engine performance (other than vehicles that have been so modified by the manufacturer in the course of the manufacture of the vehicle);</w:t>
      </w:r>
    </w:p>
    <w:p w14:paraId="50A997D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light vehicles manufactured before 1 January 2010 that have engines with 8 or more cylinders;</w:t>
      </w:r>
    </w:p>
    <w:p w14:paraId="153220B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light vehicles manufactured before 1 January 2010 that are turbocharged or supercharged (other than such light vehicles that have engines with less than 8 cylinders and are diesel powered);</w:t>
      </w:r>
    </w:p>
    <w:p w14:paraId="3F1CF22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light vehicles manufactured on or after 1 January 2010 that have been modified to vary engine performance (other than vehicles that have been so modified by the manufacturer in the course of the manufacture of the vehicle);</w:t>
      </w:r>
    </w:p>
    <w:p w14:paraId="5481AEE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light vehicles (other than motor bikes and motor trikes) manufactured on or after 1 January 2010 that have a power to weight ratio greater than 130 kilowatts per tonne in tare mass.</w:t>
      </w:r>
    </w:p>
    <w:p w14:paraId="0E20E39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In this regulation—</w:t>
      </w:r>
    </w:p>
    <w:p w14:paraId="1EC7C663" w14:textId="4E9FD2CC"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light vehicle</w:t>
      </w:r>
      <w:r w:rsidRPr="002A3021">
        <w:rPr>
          <w:rFonts w:eastAsia="Times New Roman"/>
          <w:color w:val="000000"/>
          <w:sz w:val="23"/>
          <w:szCs w:val="23"/>
          <w:lang w:eastAsia="en-AU"/>
          <w14:ligatures w14:val="standardContextual"/>
        </w:rPr>
        <w:t xml:space="preserve"> means a motor vehicle that is not a heavy vehicle.</w:t>
      </w:r>
    </w:p>
    <w:p w14:paraId="6466CE4C"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112961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lastRenderedPageBreak/>
        <w:t>5—Meaning of motor vehicle</w:t>
      </w:r>
    </w:p>
    <w:p w14:paraId="7114A6D3"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The following kinds of devices and vehicles are excluded from the definition of </w:t>
      </w:r>
      <w:r w:rsidRPr="002A3021">
        <w:rPr>
          <w:rFonts w:eastAsia="Times New Roman"/>
          <w:b/>
          <w:bCs/>
          <w:i/>
          <w:iCs/>
          <w:color w:val="000000"/>
          <w:sz w:val="23"/>
          <w:szCs w:val="23"/>
          <w:lang w:eastAsia="en-AU"/>
          <w14:ligatures w14:val="standardContextual"/>
        </w:rPr>
        <w:t>motor vehicle</w:t>
      </w:r>
      <w:r w:rsidRPr="002A3021">
        <w:rPr>
          <w:rFonts w:eastAsia="Times New Roman"/>
          <w:color w:val="000000"/>
          <w:sz w:val="23"/>
          <w:szCs w:val="23"/>
          <w:lang w:eastAsia="en-AU"/>
          <w14:ligatures w14:val="standardContextual"/>
        </w:rPr>
        <w:t xml:space="preserve"> in section 5(1) of the Act:</w:t>
      </w:r>
    </w:p>
    <w:p w14:paraId="4050EEF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personal mobility devices;</w:t>
      </w:r>
    </w:p>
    <w:p w14:paraId="7BEBDBA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power</w:t>
      </w:r>
      <w:r w:rsidRPr="002A3021">
        <w:rPr>
          <w:rFonts w:eastAsia="Times New Roman"/>
          <w:color w:val="000000"/>
          <w:sz w:val="23"/>
          <w:szCs w:val="23"/>
          <w:lang w:eastAsia="en-AU"/>
          <w14:ligatures w14:val="standardContextual"/>
        </w:rPr>
        <w:noBreakHyphen/>
        <w:t>assisted pedal cycles.</w:t>
      </w:r>
    </w:p>
    <w:p w14:paraId="2257A8A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In this regulation—</w:t>
      </w:r>
    </w:p>
    <w:p w14:paraId="17ED239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personal mobility device</w:t>
      </w:r>
      <w:r w:rsidRPr="002A3021">
        <w:rPr>
          <w:rFonts w:eastAsia="Times New Roman"/>
          <w:color w:val="000000"/>
          <w:sz w:val="23"/>
          <w:szCs w:val="23"/>
          <w:lang w:eastAsia="en-AU"/>
          <w14:ligatures w14:val="standardContextual"/>
        </w:rPr>
        <w:t xml:space="preserve"> has the same meaning as in the </w:t>
      </w:r>
      <w:hyperlink r:id="rId31"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w:t>
      </w:r>
    </w:p>
    <w:p w14:paraId="7F7B68C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6—Meaning of interstate non</w:t>
      </w:r>
      <w:r w:rsidRPr="002A3021">
        <w:rPr>
          <w:rFonts w:eastAsia="Times New Roman"/>
          <w:b/>
          <w:bCs/>
          <w:color w:val="000000"/>
          <w:sz w:val="26"/>
          <w:szCs w:val="26"/>
          <w:lang w:eastAsia="en-AU"/>
          <w14:ligatures w14:val="standardContextual"/>
        </w:rPr>
        <w:noBreakHyphen/>
        <w:t>provisional licence, interstate provisional licence and unconditional licence</w:t>
      </w:r>
    </w:p>
    <w:p w14:paraId="3C6F0C4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 w:name="id57063173_df0f_4216_bec4_48b26f62ae26_9"/>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For the purposes of the definition of </w:t>
      </w:r>
      <w:r w:rsidRPr="002A3021">
        <w:rPr>
          <w:rFonts w:eastAsia="Times New Roman"/>
          <w:b/>
          <w:bCs/>
          <w:i/>
          <w:iCs/>
          <w:color w:val="000000"/>
          <w:sz w:val="23"/>
          <w:szCs w:val="23"/>
          <w:lang w:eastAsia="en-AU"/>
          <w14:ligatures w14:val="standardContextual"/>
        </w:rPr>
        <w:t>interstate non</w:t>
      </w:r>
      <w:r w:rsidRPr="002A3021">
        <w:rPr>
          <w:rFonts w:eastAsia="Times New Roman"/>
          <w:b/>
          <w:bCs/>
          <w:i/>
          <w:iCs/>
          <w:color w:val="000000"/>
          <w:sz w:val="23"/>
          <w:szCs w:val="23"/>
          <w:lang w:eastAsia="en-AU"/>
          <w14:ligatures w14:val="standardContextual"/>
        </w:rPr>
        <w:noBreakHyphen/>
        <w:t>provisional licence</w:t>
      </w:r>
      <w:r w:rsidRPr="002A3021">
        <w:rPr>
          <w:rFonts w:eastAsia="Times New Roman"/>
          <w:color w:val="000000"/>
          <w:sz w:val="23"/>
          <w:szCs w:val="23"/>
          <w:lang w:eastAsia="en-AU"/>
          <w14:ligatures w14:val="standardContextual"/>
        </w:rPr>
        <w:t xml:space="preserve"> in section 5(1) of the Act, the following types of licences are prescribed:</w:t>
      </w:r>
      <w:bookmarkEnd w:id="32"/>
    </w:p>
    <w:p w14:paraId="0B37015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licence to drive a motor vehicle (other than a permit licence or a provisional licence) issued under the </w:t>
      </w:r>
      <w:r w:rsidRPr="002A3021">
        <w:rPr>
          <w:rFonts w:eastAsia="Times New Roman"/>
          <w:i/>
          <w:iCs/>
          <w:color w:val="000000"/>
          <w:sz w:val="23"/>
          <w:szCs w:val="23"/>
          <w:lang w:eastAsia="en-AU"/>
          <w14:ligatures w14:val="standardContextual"/>
        </w:rPr>
        <w:t>Motor Vehicles Act 1949</w:t>
      </w:r>
      <w:r w:rsidRPr="002A3021">
        <w:rPr>
          <w:rFonts w:eastAsia="Times New Roman"/>
          <w:color w:val="000000"/>
          <w:sz w:val="23"/>
          <w:szCs w:val="23"/>
          <w:lang w:eastAsia="en-AU"/>
          <w14:ligatures w14:val="standardContextual"/>
        </w:rPr>
        <w:t xml:space="preserve"> of the Northern Territory;</w:t>
      </w:r>
    </w:p>
    <w:p w14:paraId="583B68F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driver licence (other than a learner permit or probationary licence) issued under the </w:t>
      </w:r>
      <w:r w:rsidRPr="002A3021">
        <w:rPr>
          <w:rFonts w:eastAsia="Times New Roman"/>
          <w:i/>
          <w:iCs/>
          <w:color w:val="000000"/>
          <w:sz w:val="23"/>
          <w:szCs w:val="23"/>
          <w:lang w:eastAsia="en-AU"/>
          <w14:ligatures w14:val="standardContextual"/>
        </w:rPr>
        <w:t>Road Safety Act 1986</w:t>
      </w:r>
      <w:r w:rsidRPr="002A3021">
        <w:rPr>
          <w:rFonts w:eastAsia="Times New Roman"/>
          <w:color w:val="000000"/>
          <w:sz w:val="23"/>
          <w:szCs w:val="23"/>
          <w:lang w:eastAsia="en-AU"/>
          <w14:ligatures w14:val="standardContextual"/>
        </w:rPr>
        <w:t xml:space="preserve"> of Victoria;</w:t>
      </w:r>
    </w:p>
    <w:p w14:paraId="7A37411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a driver's licence (other than a learner's permit or provisional licence) issued under the </w:t>
      </w:r>
      <w:r w:rsidRPr="002A3021">
        <w:rPr>
          <w:rFonts w:eastAsia="Times New Roman"/>
          <w:i/>
          <w:iCs/>
          <w:color w:val="000000"/>
          <w:sz w:val="23"/>
          <w:szCs w:val="23"/>
          <w:lang w:eastAsia="en-AU"/>
          <w14:ligatures w14:val="standardContextual"/>
        </w:rPr>
        <w:t>Road Traffic (Authorisation to Drive) Act 2008</w:t>
      </w:r>
      <w:r w:rsidRPr="002A3021">
        <w:rPr>
          <w:rFonts w:eastAsia="Times New Roman"/>
          <w:color w:val="000000"/>
          <w:sz w:val="23"/>
          <w:szCs w:val="23"/>
          <w:lang w:eastAsia="en-AU"/>
          <w14:ligatures w14:val="standardContextual"/>
        </w:rPr>
        <w:t xml:space="preserve"> of Western Australia;</w:t>
      </w:r>
    </w:p>
    <w:p w14:paraId="34CA173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 xml:space="preserve">a driver licence (other than a learner licence or a provisional licence) issued under the </w:t>
      </w:r>
      <w:r w:rsidRPr="002A3021">
        <w:rPr>
          <w:rFonts w:eastAsia="Times New Roman"/>
          <w:i/>
          <w:iCs/>
          <w:color w:val="000000"/>
          <w:sz w:val="23"/>
          <w:szCs w:val="23"/>
          <w:lang w:eastAsia="en-AU"/>
          <w14:ligatures w14:val="standardContextual"/>
        </w:rPr>
        <w:t>Road Transport Act 2013</w:t>
      </w:r>
      <w:r w:rsidRPr="002A3021">
        <w:rPr>
          <w:rFonts w:eastAsia="Times New Roman"/>
          <w:color w:val="000000"/>
          <w:sz w:val="23"/>
          <w:szCs w:val="23"/>
          <w:lang w:eastAsia="en-AU"/>
          <w14:ligatures w14:val="standardContextual"/>
        </w:rPr>
        <w:t xml:space="preserve"> of New South Wales;</w:t>
      </w:r>
    </w:p>
    <w:p w14:paraId="47EA0BA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a driver licence (other than a learner licence or a provisional licence) issued under the </w:t>
      </w:r>
      <w:r w:rsidRPr="002A3021">
        <w:rPr>
          <w:rFonts w:eastAsia="Times New Roman"/>
          <w:i/>
          <w:iCs/>
          <w:color w:val="000000"/>
          <w:sz w:val="23"/>
          <w:szCs w:val="23"/>
          <w:lang w:eastAsia="en-AU"/>
          <w14:ligatures w14:val="standardContextual"/>
        </w:rPr>
        <w:t>Road Transport (Driver Licensing) Act 1999</w:t>
      </w:r>
      <w:r w:rsidRPr="002A3021">
        <w:rPr>
          <w:rFonts w:eastAsia="Times New Roman"/>
          <w:color w:val="000000"/>
          <w:sz w:val="23"/>
          <w:szCs w:val="23"/>
          <w:lang w:eastAsia="en-AU"/>
          <w14:ligatures w14:val="standardContextual"/>
        </w:rPr>
        <w:t xml:space="preserve"> of the Australian Capital Territory;</w:t>
      </w:r>
    </w:p>
    <w:p w14:paraId="78CEAC2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 xml:space="preserve">a driver licence (other than a learner licence or a provisional licence) issued under the </w:t>
      </w:r>
      <w:r w:rsidRPr="002A3021">
        <w:rPr>
          <w:rFonts w:eastAsia="Times New Roman"/>
          <w:i/>
          <w:iCs/>
          <w:color w:val="000000"/>
          <w:sz w:val="23"/>
          <w:szCs w:val="23"/>
          <w:lang w:eastAsia="en-AU"/>
          <w14:ligatures w14:val="standardContextual"/>
        </w:rPr>
        <w:t>Transport Operations (Road Use Management) Act 1995</w:t>
      </w:r>
      <w:r w:rsidRPr="002A3021">
        <w:rPr>
          <w:rFonts w:eastAsia="Times New Roman"/>
          <w:color w:val="000000"/>
          <w:sz w:val="23"/>
          <w:szCs w:val="23"/>
          <w:lang w:eastAsia="en-AU"/>
          <w14:ligatures w14:val="standardContextual"/>
        </w:rPr>
        <w:t xml:space="preserve"> of Queensland;</w:t>
      </w:r>
    </w:p>
    <w:p w14:paraId="2BAE8EB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 xml:space="preserve">a driver licence (other than a learner licence or a provisional licence) issued under the </w:t>
      </w:r>
      <w:r w:rsidRPr="002A3021">
        <w:rPr>
          <w:rFonts w:eastAsia="Times New Roman"/>
          <w:i/>
          <w:iCs/>
          <w:color w:val="000000"/>
          <w:sz w:val="23"/>
          <w:szCs w:val="23"/>
          <w:lang w:eastAsia="en-AU"/>
          <w14:ligatures w14:val="standardContextual"/>
        </w:rPr>
        <w:t>Vehicle and Traffic Act 1999</w:t>
      </w:r>
      <w:r w:rsidRPr="002A3021">
        <w:rPr>
          <w:rFonts w:eastAsia="Times New Roman"/>
          <w:color w:val="000000"/>
          <w:sz w:val="23"/>
          <w:szCs w:val="23"/>
          <w:lang w:eastAsia="en-AU"/>
          <w14:ligatures w14:val="standardContextual"/>
        </w:rPr>
        <w:t xml:space="preserve"> of Tasmania.</w:t>
      </w:r>
    </w:p>
    <w:p w14:paraId="62A5A76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 w:name="id51c5ffc3_7e4b_4ffa_b993_f0cba8e8eee7_4"/>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For the purposes of the definition of </w:t>
      </w:r>
      <w:r w:rsidRPr="002A3021">
        <w:rPr>
          <w:rFonts w:eastAsia="Times New Roman"/>
          <w:b/>
          <w:bCs/>
          <w:i/>
          <w:iCs/>
          <w:color w:val="000000"/>
          <w:sz w:val="23"/>
          <w:szCs w:val="23"/>
          <w:lang w:eastAsia="en-AU"/>
          <w14:ligatures w14:val="standardContextual"/>
        </w:rPr>
        <w:t>interstate provisional licence</w:t>
      </w:r>
      <w:r w:rsidRPr="002A3021">
        <w:rPr>
          <w:rFonts w:eastAsia="Times New Roman"/>
          <w:color w:val="000000"/>
          <w:sz w:val="23"/>
          <w:szCs w:val="23"/>
          <w:lang w:eastAsia="en-AU"/>
          <w14:ligatures w14:val="standardContextual"/>
        </w:rPr>
        <w:t xml:space="preserve"> in section 5(1) of the Act, the following types of licences are prescribed:</w:t>
      </w:r>
      <w:bookmarkEnd w:id="33"/>
    </w:p>
    <w:p w14:paraId="0814A2C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provisional licence issued under the </w:t>
      </w:r>
      <w:r w:rsidRPr="002A3021">
        <w:rPr>
          <w:rFonts w:eastAsia="Times New Roman"/>
          <w:i/>
          <w:iCs/>
          <w:color w:val="000000"/>
          <w:sz w:val="23"/>
          <w:szCs w:val="23"/>
          <w:lang w:eastAsia="en-AU"/>
          <w14:ligatures w14:val="standardContextual"/>
        </w:rPr>
        <w:t>Motor Vehicles Act 1949</w:t>
      </w:r>
      <w:r w:rsidRPr="002A3021">
        <w:rPr>
          <w:rFonts w:eastAsia="Times New Roman"/>
          <w:color w:val="000000"/>
          <w:sz w:val="23"/>
          <w:szCs w:val="23"/>
          <w:lang w:eastAsia="en-AU"/>
          <w14:ligatures w14:val="standardContextual"/>
        </w:rPr>
        <w:t xml:space="preserve"> of the Northern Territory;</w:t>
      </w:r>
    </w:p>
    <w:p w14:paraId="1AB50C7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probationary licence issued under the </w:t>
      </w:r>
      <w:r w:rsidRPr="002A3021">
        <w:rPr>
          <w:rFonts w:eastAsia="Times New Roman"/>
          <w:i/>
          <w:iCs/>
          <w:color w:val="000000"/>
          <w:sz w:val="23"/>
          <w:szCs w:val="23"/>
          <w:lang w:eastAsia="en-AU"/>
          <w14:ligatures w14:val="standardContextual"/>
        </w:rPr>
        <w:t>Road Safety Act 1986</w:t>
      </w:r>
      <w:r w:rsidRPr="002A3021">
        <w:rPr>
          <w:rFonts w:eastAsia="Times New Roman"/>
          <w:color w:val="000000"/>
          <w:sz w:val="23"/>
          <w:szCs w:val="23"/>
          <w:lang w:eastAsia="en-AU"/>
          <w14:ligatures w14:val="standardContextual"/>
        </w:rPr>
        <w:t xml:space="preserve"> of Victoria;</w:t>
      </w:r>
    </w:p>
    <w:p w14:paraId="2EAB6A0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a provisional licence issued under the </w:t>
      </w:r>
      <w:r w:rsidRPr="002A3021">
        <w:rPr>
          <w:rFonts w:eastAsia="Times New Roman"/>
          <w:i/>
          <w:iCs/>
          <w:color w:val="000000"/>
          <w:sz w:val="23"/>
          <w:szCs w:val="23"/>
          <w:lang w:eastAsia="en-AU"/>
          <w14:ligatures w14:val="standardContextual"/>
        </w:rPr>
        <w:t>Road Traffic (Authorisation to Drive) Act 2008</w:t>
      </w:r>
      <w:r w:rsidRPr="002A3021">
        <w:rPr>
          <w:rFonts w:eastAsia="Times New Roman"/>
          <w:color w:val="000000"/>
          <w:sz w:val="23"/>
          <w:szCs w:val="23"/>
          <w:lang w:eastAsia="en-AU"/>
          <w14:ligatures w14:val="standardContextual"/>
        </w:rPr>
        <w:t xml:space="preserve"> of Western Australia;</w:t>
      </w:r>
    </w:p>
    <w:p w14:paraId="0110392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 xml:space="preserve">a provisional licence issued under the </w:t>
      </w:r>
      <w:r w:rsidRPr="002A3021">
        <w:rPr>
          <w:rFonts w:eastAsia="Times New Roman"/>
          <w:i/>
          <w:iCs/>
          <w:color w:val="000000"/>
          <w:sz w:val="23"/>
          <w:szCs w:val="23"/>
          <w:lang w:eastAsia="en-AU"/>
          <w14:ligatures w14:val="standardContextual"/>
        </w:rPr>
        <w:t>Road Transport Act 2013</w:t>
      </w:r>
      <w:r w:rsidRPr="002A3021">
        <w:rPr>
          <w:rFonts w:eastAsia="Times New Roman"/>
          <w:color w:val="000000"/>
          <w:sz w:val="23"/>
          <w:szCs w:val="23"/>
          <w:lang w:eastAsia="en-AU"/>
          <w14:ligatures w14:val="standardContextual"/>
        </w:rPr>
        <w:t xml:space="preserve"> of New South Wales;</w:t>
      </w:r>
    </w:p>
    <w:p w14:paraId="666CA0F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a provisional licence issued under the </w:t>
      </w:r>
      <w:r w:rsidRPr="002A3021">
        <w:rPr>
          <w:rFonts w:eastAsia="Times New Roman"/>
          <w:i/>
          <w:iCs/>
          <w:color w:val="000000"/>
          <w:sz w:val="23"/>
          <w:szCs w:val="23"/>
          <w:lang w:eastAsia="en-AU"/>
          <w14:ligatures w14:val="standardContextual"/>
        </w:rPr>
        <w:t>Road Transport (Driver Licensing) Act 1999</w:t>
      </w:r>
      <w:r w:rsidRPr="002A3021">
        <w:rPr>
          <w:rFonts w:eastAsia="Times New Roman"/>
          <w:color w:val="000000"/>
          <w:sz w:val="23"/>
          <w:szCs w:val="23"/>
          <w:lang w:eastAsia="en-AU"/>
          <w14:ligatures w14:val="standardContextual"/>
        </w:rPr>
        <w:t xml:space="preserve"> of the Australian Capital Territory;</w:t>
      </w:r>
    </w:p>
    <w:p w14:paraId="70683F3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 xml:space="preserve">a provisional licence issued under the </w:t>
      </w:r>
      <w:r w:rsidRPr="002A3021">
        <w:rPr>
          <w:rFonts w:eastAsia="Times New Roman"/>
          <w:i/>
          <w:iCs/>
          <w:color w:val="000000"/>
          <w:sz w:val="23"/>
          <w:szCs w:val="23"/>
          <w:lang w:eastAsia="en-AU"/>
          <w14:ligatures w14:val="standardContextual"/>
        </w:rPr>
        <w:t>Transport Operations (Road Use Management) Act 1995</w:t>
      </w:r>
      <w:r w:rsidRPr="002A3021">
        <w:rPr>
          <w:rFonts w:eastAsia="Times New Roman"/>
          <w:color w:val="000000"/>
          <w:sz w:val="23"/>
          <w:szCs w:val="23"/>
          <w:lang w:eastAsia="en-AU"/>
          <w14:ligatures w14:val="standardContextual"/>
        </w:rPr>
        <w:t xml:space="preserve"> of Queensland;</w:t>
      </w:r>
    </w:p>
    <w:p w14:paraId="6A4DB5E2" w14:textId="0610AB70"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 xml:space="preserve">a provisional licence issued under the </w:t>
      </w:r>
      <w:r w:rsidRPr="002A3021">
        <w:rPr>
          <w:rFonts w:eastAsia="Times New Roman"/>
          <w:i/>
          <w:iCs/>
          <w:color w:val="000000"/>
          <w:sz w:val="23"/>
          <w:szCs w:val="23"/>
          <w:lang w:eastAsia="en-AU"/>
          <w14:ligatures w14:val="standardContextual"/>
        </w:rPr>
        <w:t>Vehicle and Traffic Act 1999</w:t>
      </w:r>
      <w:r w:rsidRPr="002A3021">
        <w:rPr>
          <w:rFonts w:eastAsia="Times New Roman"/>
          <w:color w:val="000000"/>
          <w:sz w:val="23"/>
          <w:szCs w:val="23"/>
          <w:lang w:eastAsia="en-AU"/>
          <w14:ligatures w14:val="standardContextual"/>
        </w:rPr>
        <w:t xml:space="preserve"> of Tasmania.</w:t>
      </w:r>
    </w:p>
    <w:p w14:paraId="488D9911"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247930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4" w:name="idb7d68c14_f986_4e58_91b9_6dbbbb8b2c01_7"/>
      <w:r w:rsidRPr="002A3021">
        <w:rPr>
          <w:rFonts w:eastAsia="Times New Roman"/>
          <w:color w:val="000000"/>
          <w:sz w:val="23"/>
          <w:szCs w:val="23"/>
          <w:lang w:eastAsia="en-AU"/>
          <w14:ligatures w14:val="standardContextual"/>
        </w:rPr>
        <w:lastRenderedPageBreak/>
        <w:tab/>
        <w:t>(3)</w:t>
      </w:r>
      <w:r w:rsidRPr="002A3021">
        <w:rPr>
          <w:rFonts w:eastAsia="Times New Roman"/>
          <w:color w:val="000000"/>
          <w:sz w:val="23"/>
          <w:szCs w:val="23"/>
          <w:lang w:eastAsia="en-AU"/>
          <w14:ligatures w14:val="standardContextual"/>
        </w:rPr>
        <w:tab/>
        <w:t xml:space="preserve">For the purposes of paragraph (b) of the definition of </w:t>
      </w:r>
      <w:r w:rsidRPr="002A3021">
        <w:rPr>
          <w:rFonts w:eastAsia="Times New Roman"/>
          <w:b/>
          <w:bCs/>
          <w:i/>
          <w:iCs/>
          <w:color w:val="000000"/>
          <w:sz w:val="23"/>
          <w:szCs w:val="23"/>
          <w:lang w:eastAsia="en-AU"/>
          <w14:ligatures w14:val="standardContextual"/>
        </w:rPr>
        <w:t>unconditional licence</w:t>
      </w:r>
      <w:r w:rsidRPr="002A3021">
        <w:rPr>
          <w:rFonts w:eastAsia="Times New Roman"/>
          <w:color w:val="000000"/>
          <w:sz w:val="23"/>
          <w:szCs w:val="23"/>
          <w:lang w:eastAsia="en-AU"/>
          <w14:ligatures w14:val="standardContextual"/>
        </w:rPr>
        <w:t xml:space="preserve"> in section 5(1) of the Act, an interstate non</w:t>
      </w:r>
      <w:r w:rsidRPr="002A3021">
        <w:rPr>
          <w:rFonts w:eastAsia="Times New Roman"/>
          <w:color w:val="000000"/>
          <w:sz w:val="23"/>
          <w:szCs w:val="23"/>
          <w:lang w:eastAsia="en-AU"/>
          <w14:ligatures w14:val="standardContextual"/>
        </w:rPr>
        <w:noBreakHyphen/>
        <w:t>provisional licence that is not subject to 1 or more conditions the same as or similar to prescribed conditions is prescribed.</w:t>
      </w:r>
      <w:bookmarkEnd w:id="34"/>
    </w:p>
    <w:p w14:paraId="4EDFDA3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 xml:space="preserve">A reference in this regulation to a </w:t>
      </w:r>
      <w:r w:rsidRPr="002A3021">
        <w:rPr>
          <w:rFonts w:eastAsia="Times New Roman"/>
          <w:b/>
          <w:bCs/>
          <w:i/>
          <w:iCs/>
          <w:color w:val="000000"/>
          <w:sz w:val="23"/>
          <w:szCs w:val="23"/>
          <w:lang w:eastAsia="en-AU"/>
          <w14:ligatures w14:val="standardContextual"/>
        </w:rPr>
        <w:t>licence</w:t>
      </w:r>
      <w:r w:rsidRPr="002A3021">
        <w:rPr>
          <w:rFonts w:eastAsia="Times New Roman"/>
          <w:color w:val="000000"/>
          <w:sz w:val="23"/>
          <w:szCs w:val="23"/>
          <w:lang w:eastAsia="en-AU"/>
          <w14:ligatures w14:val="standardContextual"/>
        </w:rPr>
        <w:t xml:space="preserve"> or </w:t>
      </w:r>
      <w:r w:rsidRPr="002A3021">
        <w:rPr>
          <w:rFonts w:eastAsia="Times New Roman"/>
          <w:b/>
          <w:bCs/>
          <w:i/>
          <w:iCs/>
          <w:color w:val="000000"/>
          <w:sz w:val="23"/>
          <w:szCs w:val="23"/>
          <w:lang w:eastAsia="en-AU"/>
          <w14:ligatures w14:val="standardContextual"/>
        </w:rPr>
        <w:t>permit</w:t>
      </w:r>
      <w:r w:rsidRPr="002A3021">
        <w:rPr>
          <w:rFonts w:eastAsia="Times New Roman"/>
          <w:color w:val="000000"/>
          <w:sz w:val="23"/>
          <w:szCs w:val="23"/>
          <w:lang w:eastAsia="en-AU"/>
          <w14:ligatures w14:val="standardContextual"/>
        </w:rPr>
        <w:t xml:space="preserve"> of a particular type issued by a specified State or Territory includes a reference to a licence or permit of a type issued by that State or Territory that is the same in substance as that licence or permit.</w:t>
      </w:r>
    </w:p>
    <w:p w14:paraId="7CC3610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8"/>
      <w:bookmarkStart w:id="36" w:name="Elkera_Print_BK8"/>
      <w:r w:rsidRPr="002A3021">
        <w:rPr>
          <w:rFonts w:eastAsia="Times New Roman"/>
          <w:b/>
          <w:bCs/>
          <w:color w:val="000000"/>
          <w:sz w:val="26"/>
          <w:szCs w:val="26"/>
          <w:lang w:eastAsia="en-AU"/>
          <w14:ligatures w14:val="standardContextual"/>
        </w:rPr>
        <w:t>7—Modification of Act</w:t>
      </w:r>
      <w:bookmarkEnd w:id="35"/>
      <w:bookmarkEnd w:id="36"/>
    </w:p>
    <w:p w14:paraId="6E6EE6DE"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In accordance with section 5(6a) of the Act, the following modifications are prescribed:</w:t>
      </w:r>
    </w:p>
    <w:p w14:paraId="2F9BC6D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section 75 of the Act is modified to provide that subsection (2) does not apply to a licence issued in electronic form;</w:t>
      </w:r>
    </w:p>
    <w:p w14:paraId="0628DBA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section 75AAA of the Act is modified to provide (in addition to its present contents)—</w:t>
      </w:r>
    </w:p>
    <w:p w14:paraId="687EBD6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that if any licence issued in the form of a physical document or item is subsequently also issued in electronic form, the fact that the licence has been issued in electronic form will not affect the term of the licence; and</w:t>
      </w:r>
    </w:p>
    <w:p w14:paraId="6134F34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that the reference to the grant of a licence in subsection (2)(a) is a reference to the licence when issued in the form of a physical document or item;</w:t>
      </w:r>
    </w:p>
    <w:p w14:paraId="4766DDD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section 75AAA(11)(a) of the Act is modified by inserting after "the licence" the following words:</w:t>
      </w:r>
    </w:p>
    <w:p w14:paraId="5059472A" w14:textId="77777777" w:rsidR="002A3021" w:rsidRPr="002A3021" w:rsidRDefault="002A3021" w:rsidP="002A302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(including, if the licence has also been issued in electronic form, cancelling that electronic form of the licence)</w:t>
      </w:r>
    </w:p>
    <w:p w14:paraId="0C0BE9B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section 75A of the Act is modified to provide that subsection (9)(a) does not apply in relation to a learner's permit issued in electronic form.</w:t>
      </w:r>
    </w:p>
    <w:p w14:paraId="40126BBF"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7" w:name="Elkera_Print_TOC9"/>
      <w:bookmarkStart w:id="38" w:name="Elkera_Print_BK9"/>
      <w:r w:rsidRPr="002A3021">
        <w:rPr>
          <w:rFonts w:eastAsia="Times New Roman"/>
          <w:b/>
          <w:bCs/>
          <w:color w:val="000000"/>
          <w:sz w:val="32"/>
          <w:szCs w:val="32"/>
          <w:lang w:eastAsia="en-AU"/>
          <w14:ligatures w14:val="standardContextual"/>
        </w:rPr>
        <w:t>Part 2—Registration of motor vehicles</w:t>
      </w:r>
      <w:bookmarkEnd w:id="37"/>
      <w:bookmarkEnd w:id="38"/>
    </w:p>
    <w:p w14:paraId="1DBC5CCC"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9" w:name="Elkera_Print_TOC10"/>
      <w:bookmarkStart w:id="40" w:name="Elkera_Print_BK10"/>
      <w:r w:rsidRPr="002A3021">
        <w:rPr>
          <w:rFonts w:eastAsia="Times New Roman"/>
          <w:b/>
          <w:bCs/>
          <w:color w:val="000000"/>
          <w:sz w:val="28"/>
          <w:szCs w:val="28"/>
          <w:lang w:eastAsia="en-AU"/>
          <w14:ligatures w14:val="standardContextual"/>
        </w:rPr>
        <w:t>Division 1—Exemptions and permits</w:t>
      </w:r>
      <w:bookmarkEnd w:id="39"/>
      <w:bookmarkEnd w:id="40"/>
    </w:p>
    <w:p w14:paraId="5E40D2D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 w:name="Elkera_Print_TOC12"/>
      <w:bookmarkStart w:id="42" w:name="id3e11f0a1_98d2_4e5d_b868_3c875283cbe8_6"/>
      <w:r w:rsidRPr="002A3021">
        <w:rPr>
          <w:rFonts w:eastAsia="Times New Roman"/>
          <w:b/>
          <w:bCs/>
          <w:color w:val="000000"/>
          <w:sz w:val="26"/>
          <w:szCs w:val="26"/>
          <w:lang w:eastAsia="en-AU"/>
          <w14:ligatures w14:val="standardContextual"/>
        </w:rPr>
        <w:t>8—Exemption from registration and insurance for certain vehicles used by disabled persons</w:t>
      </w:r>
      <w:bookmarkEnd w:id="41"/>
      <w:bookmarkEnd w:id="42"/>
    </w:p>
    <w:p w14:paraId="77E5DFBE"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motor vehicle (other than a motor car) is prescribed for the purposes of section 12A(1) of the Act if—</w:t>
      </w:r>
    </w:p>
    <w:p w14:paraId="48C5611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vehicle is specially designed and constructed (and not merely adapted) for the transport of a person suffering from some physical defect or disability; and</w:t>
      </w:r>
    </w:p>
    <w:p w14:paraId="572AFDA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has seating for 1 person only; and</w:t>
      </w:r>
    </w:p>
    <w:p w14:paraId="27510BD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unladen mass of the vehicle does not exceed 250 kilograms; and</w:t>
      </w:r>
    </w:p>
    <w:p w14:paraId="6B40F938" w14:textId="2A0A8B66"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vehicle is capable only of short low speed journeys.</w:t>
      </w:r>
    </w:p>
    <w:p w14:paraId="71929B39"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6A5D4AD"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 w:name="Elkera_Print_TOC13"/>
      <w:bookmarkStart w:id="44" w:name="Elkera_Print_BK13"/>
      <w:r w:rsidRPr="002A3021">
        <w:rPr>
          <w:rFonts w:eastAsia="Times New Roman"/>
          <w:b/>
          <w:bCs/>
          <w:color w:val="000000"/>
          <w:sz w:val="26"/>
          <w:szCs w:val="26"/>
          <w:lang w:eastAsia="en-AU"/>
          <w14:ligatures w14:val="standardContextual"/>
        </w:rPr>
        <w:lastRenderedPageBreak/>
        <w:t>9—Exemption from registration and insurance for certain vehicles driven by or at direction of police officer etc</w:t>
      </w:r>
      <w:bookmarkEnd w:id="43"/>
      <w:bookmarkEnd w:id="44"/>
    </w:p>
    <w:p w14:paraId="12DCCA1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 w:name="id3b8fd916_c160_4418_b9fb_d5471ef00fbe_3"/>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A motor vehicle may be driven on roads without registration or insurance if the vehicle is being driven by, or at the direction of, a person of a class prescribed by </w:t>
      </w:r>
      <w:hyperlink w:anchor="idc6560a5b_a4e8_4c2f_9f7d_25fd75e6b206_9"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xml:space="preserve"> acting pursuant to powers conferred on the person, or in the discharge of duties imposed on the person, in relation to the vehicle (whether under the Act or any other Act or law).</w:t>
      </w:r>
      <w:bookmarkEnd w:id="45"/>
    </w:p>
    <w:p w14:paraId="3B4194A5"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 w:name="idc6560a5b_a4e8_4c2f_9f7d_25fd75e6b206_9"/>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For the purposes of </w:t>
      </w:r>
      <w:hyperlink w:anchor="id3b8fd916_c160_4418_b9fb_d5471ef00fbe_3"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the following classes of persons are prescribed:</w:t>
      </w:r>
      <w:bookmarkEnd w:id="46"/>
    </w:p>
    <w:p w14:paraId="5DF051E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police officers;</w:t>
      </w:r>
    </w:p>
    <w:p w14:paraId="67842F6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authorised officers;</w:t>
      </w:r>
    </w:p>
    <w:p w14:paraId="551BDD6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persons authorised to examine motor vehicles under section 139 of the Act.</w:t>
      </w:r>
    </w:p>
    <w:p w14:paraId="290AC2B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 w:name="Elkera_Print_TOC14"/>
      <w:bookmarkStart w:id="48" w:name="Elkera_Print_BK14"/>
      <w:r w:rsidRPr="002A3021">
        <w:rPr>
          <w:rFonts w:eastAsia="Times New Roman"/>
          <w:b/>
          <w:bCs/>
          <w:color w:val="000000"/>
          <w:sz w:val="26"/>
          <w:szCs w:val="26"/>
          <w:lang w:eastAsia="en-AU"/>
          <w14:ligatures w14:val="standardContextual"/>
        </w:rPr>
        <w:t>10—Exemptions from registration and insurance for certain motor vehicles being towed or on display at prescribed events</w:t>
      </w:r>
      <w:bookmarkEnd w:id="47"/>
      <w:bookmarkEnd w:id="48"/>
    </w:p>
    <w:p w14:paraId="1CDBD233"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9" w:name="ida0b200d3_72e3_4e34_9b8e_b8111c7ec682_9"/>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The following motor vehicles may be used on roads without registration and insurance:</w:t>
      </w:r>
      <w:bookmarkEnd w:id="49"/>
    </w:p>
    <w:p w14:paraId="381BB67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motor vehicle (other than a trailer) that is being towed by a towtruck;</w:t>
      </w:r>
    </w:p>
    <w:p w14:paraId="1A338EB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0" w:name="idd06adf42_e7ac_4f2b_8f19_fa15688e4887_0"/>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subject to </w:t>
      </w:r>
      <w:hyperlink w:anchor="idf638c9af_afca_45fe_829a_e5dc9d8c1130_a"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—an agricultural implement, agricultural machine or any other motor vehicle that is on static display at a prescribed event.</w:t>
      </w:r>
      <w:bookmarkEnd w:id="50"/>
    </w:p>
    <w:p w14:paraId="46F768C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1" w:name="idf638c9af_afca_45fe_829a_e5dc9d8c1130_a"/>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The exemption set out in </w:t>
      </w:r>
      <w:hyperlink w:anchor="idd06adf42_e7ac_4f2b_8f19_fa15688e4887_0" w:history="1">
        <w:r w:rsidRPr="002A3021">
          <w:rPr>
            <w:rFonts w:eastAsia="Times New Roman"/>
            <w:color w:val="000000"/>
            <w:sz w:val="23"/>
            <w:szCs w:val="23"/>
            <w:lang w:eastAsia="en-AU"/>
            <w14:ligatures w14:val="standardContextual"/>
          </w:rPr>
          <w:t>subregulation (1)(b)</w:t>
        </w:r>
      </w:hyperlink>
      <w:r w:rsidRPr="002A3021">
        <w:rPr>
          <w:rFonts w:eastAsia="Times New Roman"/>
          <w:color w:val="000000"/>
          <w:sz w:val="23"/>
          <w:szCs w:val="23"/>
          <w:lang w:eastAsia="en-AU"/>
          <w14:ligatures w14:val="standardContextual"/>
        </w:rPr>
        <w:t xml:space="preserve"> is subject to the condition that there must be in force a policy of insurance indemnifying the owner of the agricultural implement, agricultural machine or other motor vehicle (as the case may be) in the amount of at least $20 000 000 in relation to death or bodily injury caused by, or arising out of, the static display of the agricultural implement, agricultural machine or other motor vehicle at the prescribed event.</w:t>
      </w:r>
      <w:bookmarkEnd w:id="51"/>
    </w:p>
    <w:p w14:paraId="1C7CB4F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15"/>
      <w:bookmarkStart w:id="53" w:name="Elkera_Print_BK15"/>
      <w:r w:rsidRPr="002A3021">
        <w:rPr>
          <w:rFonts w:eastAsia="Times New Roman"/>
          <w:b/>
          <w:bCs/>
          <w:color w:val="000000"/>
          <w:sz w:val="26"/>
          <w:szCs w:val="26"/>
          <w:lang w:eastAsia="en-AU"/>
          <w14:ligatures w14:val="standardContextual"/>
        </w:rPr>
        <w:t>11—Exemption from registration and insurance for golf carts and mopeds</w:t>
      </w:r>
      <w:bookmarkEnd w:id="52"/>
      <w:bookmarkEnd w:id="53"/>
    </w:p>
    <w:p w14:paraId="7737A43F"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golf cart or moped may be driven on roads without registration or insurance subject to the following conditions:</w:t>
      </w:r>
    </w:p>
    <w:p w14:paraId="2CA5056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vehicle must not be driven on a road that does not form part of a golf course except to travel by the shortest available route from one part of a golf course to another part of the golf course;</w:t>
      </w:r>
    </w:p>
    <w:p w14:paraId="51CC949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must not be used, either wholly or partly, for the purpose of hiring it to another person for fee or reward;</w:t>
      </w:r>
    </w:p>
    <w:p w14:paraId="306D0E5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vehicle must not be driven except by the owner of the vehicle or a person authorised by the owner of the vehicle;</w:t>
      </w:r>
    </w:p>
    <w:p w14:paraId="62CCF7C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policy of public liability insurance indemnifying the owner and any authorised driver of the vehicle in an amount of at least $10 000 000 in relation to death or bodily injury caused by, or arising out of, the use of the vehicle must be in force.</w:t>
      </w:r>
    </w:p>
    <w:p w14:paraId="6C49652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 w:name="Elkera_Print_TOC16"/>
      <w:bookmarkStart w:id="55" w:name="Elkera_Print_BK16"/>
      <w:r w:rsidRPr="002A3021">
        <w:rPr>
          <w:rFonts w:eastAsia="Times New Roman"/>
          <w:b/>
          <w:bCs/>
          <w:color w:val="000000"/>
          <w:sz w:val="26"/>
          <w:szCs w:val="26"/>
          <w:lang w:eastAsia="en-AU"/>
          <w14:ligatures w14:val="standardContextual"/>
        </w:rPr>
        <w:t>12—Exemption from registration and insurance for certain electric personal transporters</w:t>
      </w:r>
      <w:bookmarkEnd w:id="54"/>
      <w:bookmarkEnd w:id="55"/>
    </w:p>
    <w:p w14:paraId="56BA724B" w14:textId="6413F01A"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An electric personal transporter in respect of which an approval under section 161A of the </w:t>
      </w:r>
      <w:hyperlink r:id="rId32"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is in force may, subject to the conditions (if any) of the approval, be driven on roads without registration or insurance.</w:t>
      </w:r>
    </w:p>
    <w:p w14:paraId="6BEF0503"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9BF7B1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6" w:name="Elkera_Print_TOC17"/>
      <w:bookmarkStart w:id="57" w:name="Elkera_Print_BK17"/>
      <w:r w:rsidRPr="002A3021">
        <w:rPr>
          <w:rFonts w:eastAsia="Times New Roman"/>
          <w:b/>
          <w:bCs/>
          <w:color w:val="000000"/>
          <w:sz w:val="26"/>
          <w:szCs w:val="26"/>
          <w:lang w:eastAsia="en-AU"/>
          <w14:ligatures w14:val="standardContextual"/>
        </w:rPr>
        <w:lastRenderedPageBreak/>
        <w:t>13—Exemption from registration and insurance for self</w:t>
      </w:r>
      <w:r w:rsidRPr="002A3021">
        <w:rPr>
          <w:rFonts w:eastAsia="Times New Roman"/>
          <w:b/>
          <w:bCs/>
          <w:color w:val="000000"/>
          <w:sz w:val="26"/>
          <w:szCs w:val="26"/>
          <w:lang w:eastAsia="en-AU"/>
          <w14:ligatures w14:val="standardContextual"/>
        </w:rPr>
        <w:noBreakHyphen/>
        <w:t>propelled elevating work platforms</w:t>
      </w:r>
      <w:bookmarkEnd w:id="56"/>
      <w:bookmarkEnd w:id="57"/>
    </w:p>
    <w:p w14:paraId="51E2050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8" w:name="id82e1852c_4d91_4ae4_a02a_bcd5485ddcc5_9"/>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self</w:t>
      </w:r>
      <w:r w:rsidRPr="002A3021">
        <w:rPr>
          <w:rFonts w:eastAsia="Times New Roman"/>
          <w:color w:val="000000"/>
          <w:sz w:val="23"/>
          <w:szCs w:val="23"/>
          <w:lang w:eastAsia="en-AU"/>
          <w14:ligatures w14:val="standardContextual"/>
        </w:rPr>
        <w:noBreakHyphen/>
        <w:t>propelled elevating work platform may be driven on roads without registration or insurance subject to the following conditions:</w:t>
      </w:r>
      <w:bookmarkEnd w:id="58"/>
    </w:p>
    <w:p w14:paraId="66E70DE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vehicle must not be driven on roads for a distance exceeding 500 metres;</w:t>
      </w:r>
    </w:p>
    <w:p w14:paraId="490CE0C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must not be driven on roads except—</w:t>
      </w:r>
    </w:p>
    <w:p w14:paraId="0E193E2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to use it for a purpose for which it was manufactured; or</w:t>
      </w:r>
    </w:p>
    <w:p w14:paraId="7971B5D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to do any of the following:</w:t>
      </w:r>
    </w:p>
    <w:p w14:paraId="1A5A770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load the vehicle onto another vehicle;</w:t>
      </w:r>
    </w:p>
    <w:p w14:paraId="1B958471"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unload the vehicle from another vehicle;</w:t>
      </w:r>
    </w:p>
    <w:p w14:paraId="5206934E"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reposition the vehicle at a work site;</w:t>
      </w:r>
    </w:p>
    <w:p w14:paraId="614DF04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vehicle must not be driven on roads except by the owner of the vehicle or a person authorised by the owner of the vehicle;</w:t>
      </w:r>
    </w:p>
    <w:p w14:paraId="06079E9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policy of public liability insurance indemnifying the owner and any authorised driver of the vehicle in an amount of at least $20 000 000 in relation to death or bodily injury caused by, or arising out of, the use of the vehicle must be in force.</w:t>
      </w:r>
    </w:p>
    <w:p w14:paraId="6D5B2B8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who drives a self</w:t>
      </w:r>
      <w:r w:rsidRPr="002A3021">
        <w:rPr>
          <w:rFonts w:eastAsia="Times New Roman"/>
          <w:color w:val="000000"/>
          <w:sz w:val="23"/>
          <w:szCs w:val="23"/>
          <w:lang w:eastAsia="en-AU"/>
          <w14:ligatures w14:val="standardContextual"/>
        </w:rPr>
        <w:noBreakHyphen/>
        <w:t>propelled elevating work platform on a road without registration or insurance as authorised by this regulation must, at the request of a police officer, produce evidence of the person's public liability insurance either—</w:t>
      </w:r>
    </w:p>
    <w:p w14:paraId="5DA1570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immediately to the police officer who made the request; or</w:t>
      </w:r>
    </w:p>
    <w:p w14:paraId="11953703" w14:textId="77777777" w:rsidR="002A3021" w:rsidRPr="002A3021" w:rsidRDefault="002A3021" w:rsidP="002A302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within 48 hours after the making of the request, at a police station conveniently located for the driver, specified by the police officer at the time of making the request.</w:t>
      </w:r>
    </w:p>
    <w:p w14:paraId="246C24CA"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$750.</w:t>
      </w:r>
    </w:p>
    <w:p w14:paraId="63CC23C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In this regulation—</w:t>
      </w:r>
    </w:p>
    <w:p w14:paraId="2985BE0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self</w:t>
      </w:r>
      <w:r w:rsidRPr="002A3021">
        <w:rPr>
          <w:rFonts w:eastAsia="Times New Roman"/>
          <w:b/>
          <w:bCs/>
          <w:i/>
          <w:iCs/>
          <w:color w:val="000000"/>
          <w:sz w:val="23"/>
          <w:szCs w:val="23"/>
          <w:lang w:eastAsia="en-AU"/>
          <w14:ligatures w14:val="standardContextual"/>
        </w:rPr>
        <w:noBreakHyphen/>
        <w:t>propelled elevating work platform</w:t>
      </w:r>
      <w:r w:rsidRPr="002A3021">
        <w:rPr>
          <w:rFonts w:eastAsia="Times New Roman"/>
          <w:color w:val="000000"/>
          <w:sz w:val="23"/>
          <w:szCs w:val="23"/>
          <w:lang w:eastAsia="en-AU"/>
          <w14:ligatures w14:val="standardContextual"/>
        </w:rPr>
        <w:t xml:space="preserve"> means a self</w:t>
      </w:r>
      <w:r w:rsidRPr="002A3021">
        <w:rPr>
          <w:rFonts w:eastAsia="Times New Roman"/>
          <w:color w:val="000000"/>
          <w:sz w:val="23"/>
          <w:szCs w:val="23"/>
          <w:lang w:eastAsia="en-AU"/>
          <w14:ligatures w14:val="standardContextual"/>
        </w:rPr>
        <w:noBreakHyphen/>
        <w:t>propelled motor vehicle that—</w:t>
      </w:r>
    </w:p>
    <w:p w14:paraId="0AD7A42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used for construction, maintenance or warehouse operations; and</w:t>
      </w:r>
    </w:p>
    <w:p w14:paraId="0DC139F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designed mainly for use outside roads; and</w:t>
      </w:r>
    </w:p>
    <w:p w14:paraId="48D8C13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is not capable of travelling at a speed exceeding 10 kilometres per hour.</w:t>
      </w:r>
    </w:p>
    <w:p w14:paraId="3E79660C"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9" w:name="Elkera_Print_TOC18"/>
      <w:bookmarkStart w:id="60" w:name="Elkera_Print_BK18"/>
      <w:r w:rsidRPr="002A3021">
        <w:rPr>
          <w:rFonts w:eastAsia="Times New Roman"/>
          <w:b/>
          <w:bCs/>
          <w:color w:val="000000"/>
          <w:sz w:val="26"/>
          <w:szCs w:val="26"/>
          <w:lang w:eastAsia="en-AU"/>
          <w14:ligatures w14:val="standardContextual"/>
        </w:rPr>
        <w:t>14—Exemption from registration and insurance for motor vehicles returning from extinguishing or controlling a fire</w:t>
      </w:r>
      <w:bookmarkEnd w:id="59"/>
      <w:bookmarkEnd w:id="60"/>
    </w:p>
    <w:p w14:paraId="524CB8F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motor vehicle that has been driven from a location without registration or insurance in accordance with the exemption specified in section 12B(1)(a) of the Act, may be driven on roads without registration or insurance under Part 4 of the Act subject to the following conditions:</w:t>
      </w:r>
    </w:p>
    <w:p w14:paraId="6461D1EC" w14:textId="655DFC8E"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motor vehicle may only be driven, by the shortest practicable route, back to that location or to another location at which the motor vehicle is to be kept;</w:t>
      </w:r>
    </w:p>
    <w:p w14:paraId="61AED177"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7BF28E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a policy of public liability insurance indemnifying the owner and any authorised driver of the motor vehicle in an amount of at least $5 000 000 in relation to death or bodily injury caused by, or arising out of, the use of the motor vehicle on roads must be in force.</w:t>
      </w:r>
    </w:p>
    <w:p w14:paraId="1B91A593"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who drives a motor vehicle on a road without registration or insurance under Part 4 of the Act as authorised by this regulation must, if requested by a police officer to do so, produce evidence of the person's public liability insurance either—</w:t>
      </w:r>
    </w:p>
    <w:p w14:paraId="3D89C8F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immediately to the police officer who made the request; or</w:t>
      </w:r>
    </w:p>
    <w:p w14:paraId="69EEF63B" w14:textId="77777777" w:rsidR="002A3021" w:rsidRPr="002A3021" w:rsidRDefault="002A3021" w:rsidP="002A302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within 48 hours after the making of the request, at a police station conveniently located for the driver, specified by the police officer at the time of making the request.</w:t>
      </w:r>
    </w:p>
    <w:p w14:paraId="0F691B1D"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$750.</w:t>
      </w:r>
    </w:p>
    <w:p w14:paraId="4E41EDA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19"/>
      <w:bookmarkStart w:id="62" w:name="Elkera_Print_BK19"/>
      <w:r w:rsidRPr="002A3021">
        <w:rPr>
          <w:rFonts w:eastAsia="Times New Roman"/>
          <w:b/>
          <w:bCs/>
          <w:color w:val="000000"/>
          <w:sz w:val="26"/>
          <w:szCs w:val="26"/>
          <w:lang w:eastAsia="en-AU"/>
          <w14:ligatures w14:val="standardContextual"/>
        </w:rPr>
        <w:t>15—Permit to drive unregistered vehicle in prescribed circumstances</w:t>
      </w:r>
      <w:bookmarkEnd w:id="61"/>
      <w:bookmarkEnd w:id="62"/>
    </w:p>
    <w:p w14:paraId="5247938F"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permit under section 16(1)(c)(ii) of the Act may authorise a motor vehicle to be driven on roads without registration in the following prescribed circumstances:</w:t>
      </w:r>
    </w:p>
    <w:p w14:paraId="1EF4B80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to enable the vehicle to be driven in a street procession, motor club rally or other similar activity;</w:t>
      </w:r>
    </w:p>
    <w:p w14:paraId="2D43DD2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to enable the vehicle to be moved to another location;</w:t>
      </w:r>
    </w:p>
    <w:p w14:paraId="1F87CC0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to enable the vehicle to be towed by another motor vehicle (other than a towtruck);</w:t>
      </w:r>
    </w:p>
    <w:p w14:paraId="37AAFE7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to enable the vehicle to be driven for a limited number of short journeys;</w:t>
      </w:r>
    </w:p>
    <w:p w14:paraId="35F1C20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to enable the vehicle to be driven to, and from, a place for the purpose of an inspection or examination under the Act, the </w:t>
      </w:r>
      <w:hyperlink r:id="rId33"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the </w:t>
      </w:r>
      <w:hyperlink r:id="rId34" w:history="1">
        <w:r w:rsidRPr="002A3021">
          <w:rPr>
            <w:rFonts w:eastAsia="Times New Roman"/>
            <w:i/>
            <w:iCs/>
            <w:color w:val="000000"/>
            <w:sz w:val="23"/>
            <w:szCs w:val="23"/>
            <w:lang w:eastAsia="en-AU"/>
            <w14:ligatures w14:val="standardContextual"/>
          </w:rPr>
          <w:t>Passenger Transport Act 1994</w:t>
        </w:r>
      </w:hyperlink>
      <w:r w:rsidRPr="002A3021">
        <w:rPr>
          <w:rFonts w:eastAsia="Times New Roman"/>
          <w:color w:val="000000"/>
          <w:sz w:val="23"/>
          <w:szCs w:val="23"/>
          <w:lang w:eastAsia="en-AU"/>
          <w14:ligatures w14:val="standardContextual"/>
        </w:rPr>
        <w:t xml:space="preserve"> or the </w:t>
      </w:r>
      <w:hyperlink r:id="rId35" w:history="1">
        <w:r w:rsidRPr="002A3021">
          <w:rPr>
            <w:rFonts w:eastAsia="Times New Roman"/>
            <w:i/>
            <w:iCs/>
            <w:color w:val="000000"/>
            <w:sz w:val="23"/>
            <w:szCs w:val="23"/>
            <w:lang w:eastAsia="en-AU"/>
            <w14:ligatures w14:val="standardContextual"/>
          </w:rPr>
          <w:t>Heavy Vehicle National Law (South Australia)</w:t>
        </w:r>
      </w:hyperlink>
      <w:r w:rsidRPr="002A3021">
        <w:rPr>
          <w:rFonts w:eastAsia="Times New Roman"/>
          <w:color w:val="000000"/>
          <w:sz w:val="23"/>
          <w:szCs w:val="23"/>
          <w:lang w:eastAsia="en-AU"/>
          <w14:ligatures w14:val="standardContextual"/>
        </w:rPr>
        <w:t>.</w:t>
      </w:r>
    </w:p>
    <w:p w14:paraId="16AC438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TOC20"/>
      <w:bookmarkStart w:id="64" w:name="Elkera_Print_BK20"/>
      <w:r w:rsidRPr="002A3021">
        <w:rPr>
          <w:rFonts w:eastAsia="Times New Roman"/>
          <w:b/>
          <w:bCs/>
          <w:color w:val="000000"/>
          <w:sz w:val="26"/>
          <w:szCs w:val="26"/>
          <w:lang w:eastAsia="en-AU"/>
          <w14:ligatures w14:val="standardContextual"/>
        </w:rPr>
        <w:t>16—Cessation of permit when registration information publicly available</w:t>
      </w:r>
      <w:bookmarkEnd w:id="63"/>
      <w:bookmarkEnd w:id="64"/>
    </w:p>
    <w:p w14:paraId="69A68CF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16(7)(a)(i) and (b)(i) of the Act, the prescribed manner in which information becomes publicly available is by publication of the information on a website maintained by the Registrar for the purpose.</w:t>
      </w:r>
    </w:p>
    <w:p w14:paraId="357AEF8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21"/>
      <w:bookmarkStart w:id="66" w:name="Elkera_Print_BK21"/>
      <w:r w:rsidRPr="002A3021">
        <w:rPr>
          <w:rFonts w:eastAsia="Times New Roman"/>
          <w:b/>
          <w:bCs/>
          <w:color w:val="000000"/>
          <w:sz w:val="26"/>
          <w:szCs w:val="26"/>
          <w:lang w:eastAsia="en-AU"/>
          <w14:ligatures w14:val="standardContextual"/>
        </w:rPr>
        <w:t>17—Cancellation of permit to drive unregistered vehicle</w:t>
      </w:r>
      <w:bookmarkEnd w:id="65"/>
      <w:bookmarkEnd w:id="66"/>
    </w:p>
    <w:p w14:paraId="48438A99"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holder of a permit under section 16 of the Act may at any time apply for cancellation of the permit and if the Registrar is satisfied that—</w:t>
      </w:r>
    </w:p>
    <w:p w14:paraId="6228DBC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permit has been destroyed; or</w:t>
      </w:r>
    </w:p>
    <w:p w14:paraId="54847D7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motor vehicle in respect of which the permit was issued has been stolen or destroyed,</w:t>
      </w:r>
    </w:p>
    <w:p w14:paraId="79CD4691" w14:textId="41CBEB92"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must cancel the permit.</w:t>
      </w:r>
    </w:p>
    <w:p w14:paraId="47191F7F"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31925C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22"/>
      <w:bookmarkStart w:id="68" w:name="Elkera_Print_BK22"/>
      <w:r w:rsidRPr="002A3021">
        <w:rPr>
          <w:rFonts w:eastAsia="Times New Roman"/>
          <w:b/>
          <w:bCs/>
          <w:color w:val="000000"/>
          <w:sz w:val="26"/>
          <w:szCs w:val="26"/>
          <w:lang w:eastAsia="en-AU"/>
          <w14:ligatures w14:val="standardContextual"/>
        </w:rPr>
        <w:lastRenderedPageBreak/>
        <w:t>18—Exemption relating to vehicles registered etc interstate or overseas</w:t>
      </w:r>
      <w:bookmarkEnd w:id="67"/>
      <w:bookmarkEnd w:id="68"/>
    </w:p>
    <w:p w14:paraId="06CC36DE"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person who drives a motor vehicle, or causes a motor vehicle to stand, on a road is exempt from the operation of section 19A(1)(c) of the Act insofar as that paragraph imposes requirements relating to the visibility and legibility of number plates, if the motor vehicle—</w:t>
      </w:r>
    </w:p>
    <w:p w14:paraId="63618CC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is approved by the Minister for Tourism as a motor vehicle that may be driven, or caused to stand, on a road in relation to an event specified in a notice under </w:t>
      </w:r>
      <w:hyperlink w:anchor="id6ef09256_9e76_49d9_a042_55576b6a0ad1_2" w:history="1">
        <w:r w:rsidRPr="002A3021">
          <w:rPr>
            <w:rFonts w:eastAsia="Times New Roman"/>
            <w:color w:val="000000"/>
            <w:sz w:val="23"/>
            <w:szCs w:val="23"/>
            <w:lang w:eastAsia="en-AU"/>
            <w14:ligatures w14:val="standardContextual"/>
          </w:rPr>
          <w:t>regulation 32(4)</w:t>
        </w:r>
      </w:hyperlink>
      <w:r w:rsidRPr="002A3021">
        <w:rPr>
          <w:rFonts w:eastAsia="Times New Roman"/>
          <w:color w:val="000000"/>
          <w:sz w:val="23"/>
          <w:szCs w:val="23"/>
          <w:lang w:eastAsia="en-AU"/>
          <w14:ligatures w14:val="standardContextual"/>
        </w:rPr>
        <w:t>; and</w:t>
      </w:r>
    </w:p>
    <w:p w14:paraId="3061CB7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being so driven or caused to stand during the period, and in accordance with the conditions, specified in the notice.</w:t>
      </w:r>
    </w:p>
    <w:p w14:paraId="32C757A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24"/>
      <w:bookmarkStart w:id="70" w:name="iddea4e26c_6d5f_44ee_952b_9bb36acb71"/>
      <w:r w:rsidRPr="002A3021">
        <w:rPr>
          <w:rFonts w:eastAsia="Times New Roman"/>
          <w:b/>
          <w:bCs/>
          <w:color w:val="000000"/>
          <w:sz w:val="26"/>
          <w:szCs w:val="26"/>
          <w:lang w:eastAsia="en-AU"/>
          <w14:ligatures w14:val="standardContextual"/>
        </w:rPr>
        <w:t>19—Exemptions relating to consular officials etc</w:t>
      </w:r>
      <w:bookmarkEnd w:id="69"/>
      <w:bookmarkEnd w:id="70"/>
    </w:p>
    <w:p w14:paraId="247B00E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1" w:name="id69e05f9c_c3a6_446f_b606_b3195b765db2_5"/>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An eligible person who holds a foreign licence that is in force and that is of a kind that is equivalent to—</w:t>
      </w:r>
      <w:bookmarkEnd w:id="71"/>
    </w:p>
    <w:p w14:paraId="1DDD95B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licence endorsed with the C classification is exempt from the requirements applying in sections 79 and 79A of the Act and any fee payable for the issue of, or a test or examination relating to, a licence endorsed with the C classification (to the extent that the requirements or fee apply to such a licence); and</w:t>
      </w:r>
    </w:p>
    <w:p w14:paraId="58C4C55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licence endorsed with the R classification is exempt from the requirements applying in sections 79 and 79A of the Act and any fee payable for the issue of, or a test or examination relating to, a licence endorsed with the R classification (to the extent that the requirements or fee apply to such a licence); and</w:t>
      </w:r>
    </w:p>
    <w:p w14:paraId="0FD2DE1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licence endorsed with the R-DATE classification is exempt from the requirements applying in sections 79 and 79A of the Act and any fee payable for the issue of, or a test or examination relating to, a licence endorsed with the R-DATE classification (to the extent that the requirements or fee apply to such a licence).</w:t>
      </w:r>
    </w:p>
    <w:p w14:paraId="279DEEA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An eligible person who holds a licence issued under this Act is exempt from a fee payable for the renewal of the licence, or for the issue of any other licence under this Act.</w:t>
      </w:r>
    </w:p>
    <w:p w14:paraId="70D8F9D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In this regulation—</w:t>
      </w:r>
    </w:p>
    <w:p w14:paraId="4EF4CAE0"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consular official</w:t>
      </w:r>
      <w:r w:rsidRPr="002A3021">
        <w:rPr>
          <w:rFonts w:eastAsia="Times New Roman"/>
          <w:color w:val="000000"/>
          <w:sz w:val="23"/>
          <w:szCs w:val="23"/>
          <w:lang w:eastAsia="en-AU"/>
          <w14:ligatures w14:val="standardContextual"/>
        </w:rPr>
        <w:t xml:space="preserve"> means an individual who holds or is acting in any of the following positions or titles:</w:t>
      </w:r>
    </w:p>
    <w:p w14:paraId="2017C84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Consul-General;</w:t>
      </w:r>
    </w:p>
    <w:p w14:paraId="4B6AD13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Deputy Consul-General;</w:t>
      </w:r>
    </w:p>
    <w:p w14:paraId="5BE7FB4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Consul;</w:t>
      </w:r>
    </w:p>
    <w:p w14:paraId="6D9F884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Vice-Consul;</w:t>
      </w:r>
    </w:p>
    <w:p w14:paraId="1C3C734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Diplomatic Officer with diplomatic rank;</w:t>
      </w:r>
    </w:p>
    <w:p w14:paraId="561E152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eligible person</w:t>
      </w:r>
      <w:r w:rsidRPr="002A3021">
        <w:rPr>
          <w:rFonts w:eastAsia="Times New Roman"/>
          <w:color w:val="000000"/>
          <w:sz w:val="23"/>
          <w:szCs w:val="23"/>
          <w:lang w:eastAsia="en-AU"/>
          <w14:ligatures w14:val="standardContextual"/>
        </w:rPr>
        <w:t xml:space="preserve"> means—</w:t>
      </w:r>
    </w:p>
    <w:p w14:paraId="5B1F184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consular official; or</w:t>
      </w:r>
    </w:p>
    <w:p w14:paraId="52F3D0E2" w14:textId="0C7DC04B"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spouse or domestic partner of a consular official who resides with the official.</w:t>
      </w:r>
    </w:p>
    <w:p w14:paraId="4F46AAE0"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EA14D8F"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72" w:name="Elkera_Print_TOC25"/>
      <w:bookmarkStart w:id="73" w:name="Elkera_Print_BK25"/>
      <w:r w:rsidRPr="002A3021">
        <w:rPr>
          <w:rFonts w:eastAsia="Times New Roman"/>
          <w:b/>
          <w:bCs/>
          <w:color w:val="000000"/>
          <w:sz w:val="28"/>
          <w:szCs w:val="28"/>
          <w:lang w:eastAsia="en-AU"/>
          <w14:ligatures w14:val="standardContextual"/>
        </w:rPr>
        <w:lastRenderedPageBreak/>
        <w:t>Division 2—Registration procedure</w:t>
      </w:r>
      <w:bookmarkEnd w:id="72"/>
      <w:bookmarkEnd w:id="73"/>
    </w:p>
    <w:p w14:paraId="3D29508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4" w:name="Elkera_Print_TOC27"/>
      <w:bookmarkStart w:id="75" w:name="id49e47efb_ee08_4a07_b7e3_9b264f38bf40_8"/>
      <w:r w:rsidRPr="002A3021">
        <w:rPr>
          <w:rFonts w:eastAsia="Times New Roman"/>
          <w:b/>
          <w:bCs/>
          <w:color w:val="000000"/>
          <w:sz w:val="26"/>
          <w:szCs w:val="26"/>
          <w:lang w:eastAsia="en-AU"/>
          <w14:ligatures w14:val="standardContextual"/>
        </w:rPr>
        <w:t>20—Report required before registration of new vehicles—prescribed particulars</w:t>
      </w:r>
      <w:bookmarkEnd w:id="74"/>
      <w:bookmarkEnd w:id="75"/>
    </w:p>
    <w:p w14:paraId="7502FBF8"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report required under section 23A of the Act in relation to a new motor vehicle must contain the following particulars:</w:t>
      </w:r>
    </w:p>
    <w:p w14:paraId="0E894A6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name of the person who completed the report;</w:t>
      </w:r>
    </w:p>
    <w:p w14:paraId="43F7840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identification number of the vehicle;</w:t>
      </w:r>
    </w:p>
    <w:p w14:paraId="0990754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month and year of manufacture of the vehicle;</w:t>
      </w:r>
    </w:p>
    <w:p w14:paraId="05F101B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make of the vehicle;</w:t>
      </w:r>
    </w:p>
    <w:p w14:paraId="09DC5F5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in the case of a motor vehicle other than a caravan or trailer—the body type and engine number of the vehicle.</w:t>
      </w:r>
    </w:p>
    <w:p w14:paraId="66416DF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6" w:name="Elkera_Print_TOC28"/>
      <w:bookmarkStart w:id="77" w:name="Elkera_Print_BK28"/>
      <w:r w:rsidRPr="002A3021">
        <w:rPr>
          <w:rFonts w:eastAsia="Times New Roman"/>
          <w:b/>
          <w:bCs/>
          <w:color w:val="000000"/>
          <w:sz w:val="26"/>
          <w:szCs w:val="26"/>
          <w:lang w:eastAsia="en-AU"/>
          <w14:ligatures w14:val="standardContextual"/>
        </w:rPr>
        <w:t>21—Classes of vehicles Registrar may refuse to register</w:t>
      </w:r>
      <w:bookmarkEnd w:id="76"/>
      <w:bookmarkEnd w:id="77"/>
    </w:p>
    <w:p w14:paraId="772521ED"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24(3)(ca) of the Act, the following classes of vehicles are prescribed:</w:t>
      </w:r>
    </w:p>
    <w:p w14:paraId="669388F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written</w:t>
      </w:r>
      <w:r w:rsidRPr="002A3021">
        <w:rPr>
          <w:rFonts w:eastAsia="Times New Roman"/>
          <w:color w:val="000000"/>
          <w:sz w:val="23"/>
          <w:szCs w:val="23"/>
          <w:lang w:eastAsia="en-AU"/>
          <w14:ligatures w14:val="standardContextual"/>
        </w:rPr>
        <w:noBreakHyphen/>
        <w:t xml:space="preserve">off vehicles, within the meaning of </w:t>
      </w:r>
      <w:hyperlink w:anchor="id39e42f03_3d17_4a7a_8c1f_8e2cfdc2035a_a" w:history="1">
        <w:r w:rsidRPr="002A3021">
          <w:rPr>
            <w:rFonts w:eastAsia="Times New Roman"/>
            <w:color w:val="000000"/>
            <w:sz w:val="23"/>
            <w:szCs w:val="23"/>
            <w:lang w:eastAsia="en-AU"/>
            <w14:ligatures w14:val="standardContextual"/>
          </w:rPr>
          <w:t>Part 6</w:t>
        </w:r>
      </w:hyperlink>
      <w:r w:rsidRPr="002A3021">
        <w:rPr>
          <w:rFonts w:eastAsia="Times New Roman"/>
          <w:color w:val="000000"/>
          <w:sz w:val="23"/>
          <w:szCs w:val="23"/>
          <w:lang w:eastAsia="en-AU"/>
          <w14:ligatures w14:val="standardContextual"/>
        </w:rPr>
        <w:t xml:space="preserve"> of these regulations;</w:t>
      </w:r>
    </w:p>
    <w:p w14:paraId="44F96B8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interstate written</w:t>
      </w:r>
      <w:r w:rsidRPr="002A3021">
        <w:rPr>
          <w:rFonts w:eastAsia="Times New Roman"/>
          <w:color w:val="000000"/>
          <w:sz w:val="23"/>
          <w:szCs w:val="23"/>
          <w:lang w:eastAsia="en-AU"/>
          <w14:ligatures w14:val="standardContextual"/>
        </w:rPr>
        <w:noBreakHyphen/>
        <w:t xml:space="preserve">off vehicles, within the meaning of </w:t>
      </w:r>
      <w:hyperlink w:anchor="id39e42f03_3d17_4a7a_8c1f_8e2cfdc2035a_a" w:history="1">
        <w:r w:rsidRPr="002A3021">
          <w:rPr>
            <w:rFonts w:eastAsia="Times New Roman"/>
            <w:color w:val="000000"/>
            <w:sz w:val="23"/>
            <w:szCs w:val="23"/>
            <w:lang w:eastAsia="en-AU"/>
            <w14:ligatures w14:val="standardContextual"/>
          </w:rPr>
          <w:t>Part 6</w:t>
        </w:r>
      </w:hyperlink>
      <w:r w:rsidRPr="002A3021">
        <w:rPr>
          <w:rFonts w:eastAsia="Times New Roman"/>
          <w:color w:val="000000"/>
          <w:sz w:val="23"/>
          <w:szCs w:val="23"/>
          <w:lang w:eastAsia="en-AU"/>
          <w14:ligatures w14:val="standardContextual"/>
        </w:rPr>
        <w:t xml:space="preserve"> of these regulations;</w:t>
      </w:r>
    </w:p>
    <w:p w14:paraId="2F9EFC0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vehicles that are the subject of a recall notice made under section 122 of the </w:t>
      </w:r>
      <w:r w:rsidRPr="002A3021">
        <w:rPr>
          <w:rFonts w:eastAsia="Times New Roman"/>
          <w:i/>
          <w:iCs/>
          <w:color w:val="000000"/>
          <w:sz w:val="23"/>
          <w:szCs w:val="23"/>
          <w:lang w:eastAsia="en-AU"/>
          <w14:ligatures w14:val="standardContextual"/>
        </w:rPr>
        <w:t>Australian Consumer Law</w:t>
      </w:r>
      <w:r w:rsidRPr="002A3021">
        <w:rPr>
          <w:rFonts w:eastAsia="Times New Roman"/>
          <w:color w:val="000000"/>
          <w:sz w:val="23"/>
          <w:szCs w:val="23"/>
          <w:lang w:eastAsia="en-AU"/>
          <w14:ligatures w14:val="standardContextual"/>
        </w:rPr>
        <w:t>.</w:t>
      </w:r>
    </w:p>
    <w:p w14:paraId="013848AE"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78" w:name="Elkera_Print_TOC29"/>
      <w:bookmarkStart w:id="79" w:name="Elkera_Print_BK29"/>
      <w:r w:rsidRPr="002A3021">
        <w:rPr>
          <w:rFonts w:eastAsia="Times New Roman"/>
          <w:b/>
          <w:bCs/>
          <w:color w:val="000000"/>
          <w:sz w:val="28"/>
          <w:szCs w:val="28"/>
          <w:lang w:eastAsia="en-AU"/>
          <w14:ligatures w14:val="standardContextual"/>
        </w:rPr>
        <w:t>Division 3—Conditional registration</w:t>
      </w:r>
      <w:bookmarkEnd w:id="78"/>
      <w:bookmarkEnd w:id="79"/>
    </w:p>
    <w:p w14:paraId="6748F966"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80" w:name="Elkera_Print_TOC30"/>
      <w:bookmarkStart w:id="81" w:name="Elkera_Print_BK30"/>
      <w:r w:rsidRPr="002A3021">
        <w:rPr>
          <w:rFonts w:eastAsia="Times New Roman"/>
          <w:b/>
          <w:bCs/>
          <w:color w:val="000000"/>
          <w:sz w:val="26"/>
          <w:szCs w:val="26"/>
          <w:lang w:eastAsia="en-AU"/>
          <w14:ligatures w14:val="standardContextual"/>
        </w:rPr>
        <w:t>Subdivision 1—Interpretation</w:t>
      </w:r>
      <w:bookmarkEnd w:id="80"/>
      <w:bookmarkEnd w:id="81"/>
    </w:p>
    <w:p w14:paraId="7594B51D"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2" w:name="Elkera_Print_TOC32"/>
      <w:bookmarkStart w:id="83" w:name="iddc0d646f_217c_4dde_9112_8eb8a8e8d86d_7"/>
      <w:r w:rsidRPr="002A3021">
        <w:rPr>
          <w:rFonts w:eastAsia="Times New Roman"/>
          <w:b/>
          <w:bCs/>
          <w:color w:val="000000"/>
          <w:sz w:val="26"/>
          <w:szCs w:val="26"/>
          <w:lang w:eastAsia="en-AU"/>
          <w14:ligatures w14:val="standardContextual"/>
        </w:rPr>
        <w:t>22—Interpretation</w:t>
      </w:r>
      <w:bookmarkEnd w:id="82"/>
      <w:bookmarkEnd w:id="83"/>
    </w:p>
    <w:p w14:paraId="64F516E3"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In this Division—</w:t>
      </w:r>
    </w:p>
    <w:p w14:paraId="297BFE53"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ambulance</w:t>
      </w:r>
      <w:r w:rsidRPr="002A3021">
        <w:rPr>
          <w:rFonts w:eastAsia="Times New Roman"/>
          <w:color w:val="000000"/>
          <w:sz w:val="23"/>
          <w:szCs w:val="23"/>
          <w:lang w:eastAsia="en-AU"/>
          <w14:ligatures w14:val="standardContextual"/>
        </w:rPr>
        <w:t xml:space="preserve"> means a motor vehicle driven by—</w:t>
      </w:r>
    </w:p>
    <w:p w14:paraId="14D8734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person engaged in the provision of emergency ambulance services under section 57(1) of the </w:t>
      </w:r>
      <w:hyperlink r:id="rId36" w:history="1">
        <w:r w:rsidRPr="002A3021">
          <w:rPr>
            <w:rFonts w:eastAsia="Times New Roman"/>
            <w:i/>
            <w:iCs/>
            <w:color w:val="000000"/>
            <w:sz w:val="23"/>
            <w:szCs w:val="23"/>
            <w:lang w:eastAsia="en-AU"/>
            <w14:ligatures w14:val="standardContextual"/>
          </w:rPr>
          <w:t>Health Care Act 2008</w:t>
        </w:r>
      </w:hyperlink>
      <w:r w:rsidRPr="002A3021">
        <w:rPr>
          <w:rFonts w:eastAsia="Times New Roman"/>
          <w:color w:val="000000"/>
          <w:sz w:val="23"/>
          <w:szCs w:val="23"/>
          <w:lang w:eastAsia="en-AU"/>
          <w14:ligatures w14:val="standardContextual"/>
        </w:rPr>
        <w:t xml:space="preserve"> on behalf of SA Ambulance Service Inc or any other person engaged in the provision of emergency ambulance services under section 57(1) of that Act; or</w:t>
      </w:r>
    </w:p>
    <w:p w14:paraId="4ECBE67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person engaged in the provision of emergency ambulance services under section 57(2)(a) of the </w:t>
      </w:r>
      <w:hyperlink r:id="rId37" w:history="1">
        <w:r w:rsidRPr="002A3021">
          <w:rPr>
            <w:rFonts w:eastAsia="Times New Roman"/>
            <w:i/>
            <w:iCs/>
            <w:color w:val="000000"/>
            <w:sz w:val="23"/>
            <w:szCs w:val="23"/>
            <w:lang w:eastAsia="en-AU"/>
            <w14:ligatures w14:val="standardContextual"/>
          </w:rPr>
          <w:t>Health Care Act 2008</w:t>
        </w:r>
      </w:hyperlink>
      <w:r w:rsidRPr="002A3021">
        <w:rPr>
          <w:rFonts w:eastAsia="Times New Roman"/>
          <w:color w:val="000000"/>
          <w:sz w:val="23"/>
          <w:szCs w:val="23"/>
          <w:lang w:eastAsia="en-AU"/>
          <w14:ligatures w14:val="standardContextual"/>
        </w:rPr>
        <w:t>;</w:t>
      </w:r>
    </w:p>
    <w:p w14:paraId="7F55B52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emergency response vehicle</w:t>
      </w:r>
      <w:r w:rsidRPr="002A3021">
        <w:rPr>
          <w:rFonts w:eastAsia="Times New Roman"/>
          <w:color w:val="000000"/>
          <w:sz w:val="23"/>
          <w:szCs w:val="23"/>
          <w:lang w:eastAsia="en-AU"/>
          <w14:ligatures w14:val="standardContextual"/>
        </w:rPr>
        <w:t xml:space="preserve"> means an ambulance, fire fighting vehicle or rescue vehicle;</w:t>
      </w:r>
    </w:p>
    <w:p w14:paraId="16147DE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fire fighting vehicle</w:t>
      </w:r>
      <w:r w:rsidRPr="002A3021">
        <w:rPr>
          <w:rFonts w:eastAsia="Times New Roman"/>
          <w:color w:val="000000"/>
          <w:sz w:val="23"/>
          <w:szCs w:val="23"/>
          <w:lang w:eastAsia="en-AU"/>
          <w14:ligatures w14:val="standardContextual"/>
        </w:rPr>
        <w:t xml:space="preserve"> means a motor vehicle that is used principally for the purpose of fire fighting and is fitted with rotating flashing emergency lights, a siren or repeater horn and fire fighting equipment;</w:t>
      </w:r>
    </w:p>
    <w:p w14:paraId="2B2ED8D1"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individually constructed vehicle</w:t>
      </w:r>
      <w:r w:rsidRPr="002A3021">
        <w:rPr>
          <w:rFonts w:eastAsia="Times New Roman"/>
          <w:color w:val="000000"/>
          <w:sz w:val="23"/>
          <w:szCs w:val="23"/>
          <w:lang w:eastAsia="en-AU"/>
          <w14:ligatures w14:val="standardContextual"/>
        </w:rPr>
        <w:t xml:space="preserve"> means a motor vehicle that is not a production vehicle;</w:t>
      </w:r>
    </w:p>
    <w:p w14:paraId="3F4091DB" w14:textId="49EC014B"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production vehicle</w:t>
      </w:r>
      <w:r w:rsidRPr="002A3021">
        <w:rPr>
          <w:rFonts w:eastAsia="Times New Roman"/>
          <w:color w:val="000000"/>
          <w:sz w:val="23"/>
          <w:szCs w:val="23"/>
          <w:lang w:eastAsia="en-AU"/>
          <w14:ligatures w14:val="standardContextual"/>
        </w:rPr>
        <w:t xml:space="preserve"> means a motor vehicle manufactured and marketed in volume for normal road use;</w:t>
      </w:r>
    </w:p>
    <w:p w14:paraId="7DFA8624"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B2866C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lastRenderedPageBreak/>
        <w:t>rescue vehicle</w:t>
      </w:r>
      <w:r w:rsidRPr="002A3021">
        <w:rPr>
          <w:rFonts w:eastAsia="Times New Roman"/>
          <w:color w:val="000000"/>
          <w:sz w:val="23"/>
          <w:szCs w:val="23"/>
          <w:lang w:eastAsia="en-AU"/>
          <w14:ligatures w14:val="standardContextual"/>
        </w:rPr>
        <w:t xml:space="preserve"> means a motor vehicle that is used principally for the purpose of taking action in connection with emergencies and is fitted with flashing emergency lights, a siren or repeater horn and rescue equipment;</w:t>
      </w:r>
    </w:p>
    <w:p w14:paraId="47FBF9E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street rod vehicle</w:t>
      </w:r>
      <w:r w:rsidRPr="002A3021">
        <w:rPr>
          <w:rFonts w:eastAsia="Times New Roman"/>
          <w:color w:val="000000"/>
          <w:sz w:val="23"/>
          <w:szCs w:val="23"/>
          <w:lang w:eastAsia="en-AU"/>
          <w14:ligatures w14:val="standardContextual"/>
        </w:rPr>
        <w:t xml:space="preserve"> means a motor vehicle that has been modified for safe use on roads and—</w:t>
      </w:r>
    </w:p>
    <w:p w14:paraId="28AEADF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has a body and frame that were built before 1949; or</w:t>
      </w:r>
    </w:p>
    <w:p w14:paraId="5054CC8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a replica of a vehicle the body and frame of which were built before 1949.</w:t>
      </w:r>
    </w:p>
    <w:p w14:paraId="60370AD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this Division—</w:t>
      </w:r>
    </w:p>
    <w:p w14:paraId="3AA6E17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motor vehicle is a </w:t>
      </w:r>
      <w:r w:rsidRPr="002A3021">
        <w:rPr>
          <w:rFonts w:eastAsia="Times New Roman"/>
          <w:b/>
          <w:bCs/>
          <w:i/>
          <w:iCs/>
          <w:color w:val="000000"/>
          <w:sz w:val="23"/>
          <w:szCs w:val="23"/>
          <w:lang w:eastAsia="en-AU"/>
          <w14:ligatures w14:val="standardContextual"/>
        </w:rPr>
        <w:t>historic vehicle</w:t>
      </w:r>
      <w:r w:rsidRPr="002A3021">
        <w:rPr>
          <w:rFonts w:eastAsia="Times New Roman"/>
          <w:color w:val="000000"/>
          <w:sz w:val="23"/>
          <w:szCs w:val="23"/>
          <w:lang w:eastAsia="en-AU"/>
          <w14:ligatures w14:val="standardContextual"/>
        </w:rPr>
        <w:t xml:space="preserve"> if 25 years or more have elapsed since 1 January of the year in which the vehicle was manufactured;</w:t>
      </w:r>
    </w:p>
    <w:p w14:paraId="2F24A7D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motor vehicle is a </w:t>
      </w:r>
      <w:r w:rsidRPr="002A3021">
        <w:rPr>
          <w:rFonts w:eastAsia="Times New Roman"/>
          <w:b/>
          <w:bCs/>
          <w:i/>
          <w:iCs/>
          <w:color w:val="000000"/>
          <w:sz w:val="23"/>
          <w:szCs w:val="23"/>
          <w:lang w:eastAsia="en-AU"/>
          <w14:ligatures w14:val="standardContextual"/>
        </w:rPr>
        <w:t>left hand drive vehicle</w:t>
      </w:r>
      <w:r w:rsidRPr="002A3021">
        <w:rPr>
          <w:rFonts w:eastAsia="Times New Roman"/>
          <w:color w:val="000000"/>
          <w:sz w:val="23"/>
          <w:szCs w:val="23"/>
          <w:lang w:eastAsia="en-AU"/>
          <w14:ligatures w14:val="standardContextual"/>
        </w:rPr>
        <w:t xml:space="preserve"> if—</w:t>
      </w:r>
    </w:p>
    <w:p w14:paraId="2C48990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25 years or more have elapsed since 1 January of the year in which the vehicle was manufactured; and</w:t>
      </w:r>
    </w:p>
    <w:p w14:paraId="7822C5C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vehicle has its steering wheel on the left of the longitudinal axis of the vehicle.</w:t>
      </w:r>
    </w:p>
    <w:p w14:paraId="690969C2"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84" w:name="Elkera_Print_TOC33"/>
      <w:bookmarkStart w:id="85" w:name="Elkera_Print_BK33"/>
      <w:r w:rsidRPr="002A3021">
        <w:rPr>
          <w:rFonts w:eastAsia="Times New Roman"/>
          <w:b/>
          <w:bCs/>
          <w:color w:val="000000"/>
          <w:sz w:val="26"/>
          <w:szCs w:val="26"/>
          <w:lang w:eastAsia="en-AU"/>
          <w14:ligatures w14:val="standardContextual"/>
        </w:rPr>
        <w:t>Subdivision 2—Prescribed classes of vehicles</w:t>
      </w:r>
      <w:bookmarkEnd w:id="84"/>
      <w:bookmarkEnd w:id="85"/>
    </w:p>
    <w:p w14:paraId="292B200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6" w:name="Elkera_Print_TOC34"/>
      <w:bookmarkStart w:id="87" w:name="Elkera_Print_BK34"/>
      <w:r w:rsidRPr="002A3021">
        <w:rPr>
          <w:rFonts w:eastAsia="Times New Roman"/>
          <w:b/>
          <w:bCs/>
          <w:color w:val="000000"/>
          <w:sz w:val="26"/>
          <w:szCs w:val="26"/>
          <w:lang w:eastAsia="en-AU"/>
          <w14:ligatures w14:val="standardContextual"/>
        </w:rPr>
        <w:t>23—Historic, individually constructed, left hand drive and street rod vehicles</w:t>
      </w:r>
      <w:bookmarkEnd w:id="86"/>
      <w:bookmarkEnd w:id="87"/>
    </w:p>
    <w:p w14:paraId="767788BF"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25(1)(a) of the Act, the following classes of motor vehicles are prescribed:</w:t>
      </w:r>
    </w:p>
    <w:p w14:paraId="62C6050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historic vehicle that has been built or modified in accordance with requirements or specifications accepted by the Registrar;</w:t>
      </w:r>
    </w:p>
    <w:p w14:paraId="61BC41F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individually constructed vehicle—</w:t>
      </w:r>
    </w:p>
    <w:p w14:paraId="0E3CCD0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that has been built in accordance with requirements or specifications accepted by the Registrar; and</w:t>
      </w:r>
    </w:p>
    <w:p w14:paraId="4D921C8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 xml:space="preserve">in respect of which there is in force an exemption under section 163AA of the </w:t>
      </w:r>
      <w:hyperlink r:id="rId38"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from compliance with specified Australian Design Rules or other vehicle standards prescribed under that Act;</w:t>
      </w:r>
    </w:p>
    <w:p w14:paraId="795DF7A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left hand drive vehicle that has been built or modified in accordance with requirements or specifications accepted by the Registrar;</w:t>
      </w:r>
    </w:p>
    <w:p w14:paraId="24F1D45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street rod vehicle—</w:t>
      </w:r>
    </w:p>
    <w:p w14:paraId="6C6C33B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that has been built or modified in accordance with requirements or specifications accepted by the Registrar; and</w:t>
      </w:r>
    </w:p>
    <w:p w14:paraId="0E090E6F" w14:textId="59A58532"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 xml:space="preserve">in respect of which there is in force an exemption under section 163AA of the </w:t>
      </w:r>
      <w:hyperlink r:id="rId39"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from compliance with specified Australian Design Rules or other vehicle standards prescribed under that Act.</w:t>
      </w:r>
    </w:p>
    <w:p w14:paraId="3DF3B66A"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C7B8415"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The registration of a historic vehicle, individually constructed vehicle, left hand drive vehicle or street rod vehicle under section 25 of the Act is subject to the following conditions:</w:t>
      </w:r>
    </w:p>
    <w:p w14:paraId="7986BF3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condition that a person must not drive the vehicle, or cause, suffer or permit the vehicle to be driven, on a road unless the owner of the vehicle is a financial member of a motor vehicle club recognised by the Registrar for the purposes of this regulation;</w:t>
      </w:r>
    </w:p>
    <w:p w14:paraId="41638E6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condition that a person who drives the vehicle on a road must—</w:t>
      </w:r>
    </w:p>
    <w:p w14:paraId="235B006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while doing so, carry in the vehicle a log book in a form approved by the Registrar; and</w:t>
      </w:r>
    </w:p>
    <w:p w14:paraId="752A3F7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record in the log book, in accordance with the directions contained in the log book, particulars of each journey undertaken by the person in the vehicle; and</w:t>
      </w:r>
    </w:p>
    <w:p w14:paraId="70D2655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produce the log book for inspection on request made by an authorised officer or police officer;</w:t>
      </w:r>
    </w:p>
    <w:p w14:paraId="5287A19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condition that a person must not drive the vehicle, or cause, suffer or permit the vehicle to be driven, on a road on more than 90 days in each period of 12 months in the period of registration;</w:t>
      </w:r>
    </w:p>
    <w:p w14:paraId="384EDAA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condition that a person must not drive the vehicle, or cause, suffer or permit the vehicle to be driven on a road, for fee, hire or reward;</w:t>
      </w:r>
    </w:p>
    <w:p w14:paraId="4425EB8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a condition that the owner of the vehicle must, at the request of the Registrar or the motor vehicle club to which the owner belongs, make the vehicle available for inspection by the Registrar or the club.</w:t>
      </w:r>
    </w:p>
    <w:p w14:paraId="7DC8F40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The Registrar may by notice in the Gazette—</w:t>
      </w:r>
    </w:p>
    <w:p w14:paraId="2147936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recognise a motor vehicle club for the purposes of this regulation;</w:t>
      </w:r>
    </w:p>
    <w:p w14:paraId="21758C77" w14:textId="5AF6B4FD" w:rsidR="00931FF0" w:rsidRDefault="002A3021" w:rsidP="00B23EB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impose such conditions on the recognition of the motor vehicle club as the Registrar thinks fit;</w:t>
      </w:r>
    </w:p>
    <w:p w14:paraId="4E5C951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if satisfied that—</w:t>
      </w:r>
    </w:p>
    <w:p w14:paraId="50D09CB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 motor vehicle club has contravened or failed to comply with a condition applying to its recognition by the Registrar; or</w:t>
      </w:r>
    </w:p>
    <w:p w14:paraId="6E1856D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there is other good cause to do so,</w:t>
      </w:r>
    </w:p>
    <w:p w14:paraId="36C871D0"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withdraw the recognition of a motor vehicle club with effect from a date specified in the notice (being not less than 28 days from the date of publication of the notice).</w:t>
      </w:r>
    </w:p>
    <w:p w14:paraId="42C30E3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8" w:name="Elkera_Print_TOC35"/>
      <w:bookmarkStart w:id="89" w:name="Elkera_Print_BK35"/>
      <w:r w:rsidRPr="002A3021">
        <w:rPr>
          <w:rFonts w:eastAsia="Times New Roman"/>
          <w:b/>
          <w:bCs/>
          <w:color w:val="000000"/>
          <w:sz w:val="26"/>
          <w:szCs w:val="26"/>
          <w:lang w:eastAsia="en-AU"/>
          <w14:ligatures w14:val="standardContextual"/>
        </w:rPr>
        <w:t>24—Vehicles used between farm blocks</w:t>
      </w:r>
      <w:bookmarkEnd w:id="88"/>
      <w:bookmarkEnd w:id="89"/>
    </w:p>
    <w:p w14:paraId="5004D255"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0" w:name="idf102c004_cf68_4d10_bd4c_8aab010c0590_c"/>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25(1)(a) of the Act, a vehicle (other than a tractor or agricultural machine) that—</w:t>
      </w:r>
      <w:bookmarkEnd w:id="90"/>
    </w:p>
    <w:p w14:paraId="6405E0D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owned by a primary producer; and</w:t>
      </w:r>
    </w:p>
    <w:p w14:paraId="5090844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used in connection with the working of 2 or more separate parcels of land that are worked in conjunction with each other by that primary producer,</w:t>
      </w:r>
    </w:p>
    <w:p w14:paraId="532EA920" w14:textId="69EB6B43"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a prescribed class of vehicle.</w:t>
      </w:r>
    </w:p>
    <w:p w14:paraId="077ECB5A"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01AFF9A"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 xml:space="preserve">The registration of such a vehicle under section 25 of the Act is subject to the condition that a person must not, during the period for which the vehicle is registered under that section, drive the vehicle, or cause, suffer or permit the vehicle to be driven, on a road except to enable the vehicle to be driven between the parcels of land referred to in </w:t>
      </w:r>
      <w:hyperlink w:anchor="idf102c004_cf68_4d10_bd4c_8aab010c0590_c"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w:t>
      </w:r>
    </w:p>
    <w:p w14:paraId="66CC7BA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1" w:name="Elkera_Print_TOC36"/>
      <w:bookmarkStart w:id="92" w:name="Elkera_Print_BK36"/>
      <w:r w:rsidRPr="002A3021">
        <w:rPr>
          <w:rFonts w:eastAsia="Times New Roman"/>
          <w:b/>
          <w:bCs/>
          <w:color w:val="000000"/>
          <w:sz w:val="26"/>
          <w:szCs w:val="26"/>
          <w:lang w:eastAsia="en-AU"/>
          <w14:ligatures w14:val="standardContextual"/>
        </w:rPr>
        <w:t>25—Vehicles used to tow commercial fishing boats</w:t>
      </w:r>
      <w:bookmarkEnd w:id="91"/>
      <w:bookmarkEnd w:id="92"/>
    </w:p>
    <w:p w14:paraId="4DB0A52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3" w:name="id98aaa5a7_2d8c_4d91_8118_be3083bbb499_f"/>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25(1)(a) of the Act, a vehicle that—</w:t>
      </w:r>
      <w:bookmarkEnd w:id="93"/>
    </w:p>
    <w:p w14:paraId="0CBCFA8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is owned by the holder of a fishery authority under the </w:t>
      </w:r>
      <w:hyperlink r:id="rId40" w:history="1">
        <w:r w:rsidRPr="002A3021">
          <w:rPr>
            <w:rFonts w:eastAsia="Times New Roman"/>
            <w:i/>
            <w:iCs/>
            <w:color w:val="000000"/>
            <w:sz w:val="23"/>
            <w:szCs w:val="23"/>
            <w:lang w:eastAsia="en-AU"/>
            <w14:ligatures w14:val="standardContextual"/>
          </w:rPr>
          <w:t>Fisheries Management Act 2007</w:t>
        </w:r>
      </w:hyperlink>
      <w:r w:rsidRPr="002A3021">
        <w:rPr>
          <w:rFonts w:eastAsia="Times New Roman"/>
          <w:color w:val="000000"/>
          <w:sz w:val="23"/>
          <w:szCs w:val="23"/>
          <w:lang w:eastAsia="en-AU"/>
          <w14:ligatures w14:val="standardContextual"/>
        </w:rPr>
        <w:t>; and</w:t>
      </w:r>
    </w:p>
    <w:p w14:paraId="48E3BE5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4" w:name="id0f99eb28_3348_4424_b659_4027f7a5564c_e"/>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used solely for the purpose of towing a registered boat within the meaning of that Act,</w:t>
      </w:r>
      <w:bookmarkEnd w:id="94"/>
    </w:p>
    <w:p w14:paraId="640A23B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a prescribed class of vehicle.</w:t>
      </w:r>
    </w:p>
    <w:p w14:paraId="7409E77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The registration of such a vehicle under section 25 of the Act is subject to the condition that a person must not, during the period for which the vehicle is registered under that section, drive the vehicle, or cause, suffer or permit the vehicle to be driven, on a road except for the purpose of—</w:t>
      </w:r>
    </w:p>
    <w:p w14:paraId="3B01D05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towing a boat referred to in </w:t>
      </w:r>
      <w:hyperlink w:anchor="id0f99eb28_3348_4424_b659_4027f7a5564c_e" w:history="1">
        <w:r w:rsidRPr="002A3021">
          <w:rPr>
            <w:rFonts w:eastAsia="Times New Roman"/>
            <w:color w:val="000000"/>
            <w:sz w:val="23"/>
            <w:szCs w:val="23"/>
            <w:lang w:eastAsia="en-AU"/>
            <w14:ligatures w14:val="standardContextual"/>
          </w:rPr>
          <w:t>subregulation (1)(b)</w:t>
        </w:r>
      </w:hyperlink>
      <w:r w:rsidRPr="002A3021">
        <w:rPr>
          <w:rFonts w:eastAsia="Times New Roman"/>
          <w:color w:val="000000"/>
          <w:sz w:val="23"/>
          <w:szCs w:val="23"/>
          <w:lang w:eastAsia="en-AU"/>
          <w14:ligatures w14:val="standardContextual"/>
        </w:rPr>
        <w:t xml:space="preserve"> to a place at which it is to be launched; or</w:t>
      </w:r>
    </w:p>
    <w:p w14:paraId="4FA198A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retrieving such a boat from a place at which it has been landed.</w:t>
      </w:r>
    </w:p>
    <w:p w14:paraId="056A27B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5" w:name="Elkera_Print_TOC38"/>
      <w:bookmarkStart w:id="96" w:name="id61214290_0cb3_45a7_be4d_e7e0398bc318_7"/>
      <w:r w:rsidRPr="002A3021">
        <w:rPr>
          <w:rFonts w:eastAsia="Times New Roman"/>
          <w:b/>
          <w:bCs/>
          <w:color w:val="000000"/>
          <w:sz w:val="26"/>
          <w:szCs w:val="26"/>
          <w:lang w:eastAsia="en-AU"/>
          <w14:ligatures w14:val="standardContextual"/>
        </w:rPr>
        <w:t>26—Other prescribed classes of vehicles</w:t>
      </w:r>
      <w:bookmarkEnd w:id="95"/>
      <w:bookmarkEnd w:id="96"/>
    </w:p>
    <w:p w14:paraId="54828AA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25(1)(a) of the Act, the following classes of vehicles are prescribed:</w:t>
      </w:r>
    </w:p>
    <w:p w14:paraId="2F0DBCC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emergency response vehicle;</w:t>
      </w:r>
    </w:p>
    <w:p w14:paraId="3D0EDF4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special purpose vehicle;</w:t>
      </w:r>
    </w:p>
    <w:p w14:paraId="7E9966B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vehicle that is to be driven on a road for a limited number of short journeys;</w:t>
      </w:r>
    </w:p>
    <w:p w14:paraId="5E072B5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road train;</w:t>
      </w:r>
    </w:p>
    <w:p w14:paraId="54176C5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a B</w:t>
      </w:r>
      <w:r w:rsidRPr="002A3021">
        <w:rPr>
          <w:rFonts w:eastAsia="Times New Roman"/>
          <w:color w:val="000000"/>
          <w:sz w:val="23"/>
          <w:szCs w:val="23"/>
          <w:lang w:eastAsia="en-AU"/>
          <w14:ligatures w14:val="standardContextual"/>
        </w:rPr>
        <w:noBreakHyphen/>
        <w:t>double;</w:t>
      </w:r>
    </w:p>
    <w:p w14:paraId="21A54D5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7" w:name="idd8f2fae3_1584_4981_8acc_ae25cc636c0c_a"/>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a vehicle in relation to which there is in force—</w:t>
      </w:r>
      <w:bookmarkEnd w:id="97"/>
    </w:p>
    <w:p w14:paraId="5D94810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 xml:space="preserve">an exemption granted by the Minister under section 163AA of the </w:t>
      </w:r>
      <w:hyperlink r:id="rId41"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exempting the vehicle from compliance with a requirement of Part 4 of that Act subject to conditions limiting the use of the vehicle (other than a restriction limiting the use of the vehicle to a particular road or roads or class of roads); or</w:t>
      </w:r>
    </w:p>
    <w:p w14:paraId="2526F0D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 xml:space="preserve">an exemption granted by the Minister under regulation 71 of the </w:t>
      </w:r>
      <w:hyperlink r:id="rId42" w:history="1">
        <w:r w:rsidRPr="002A3021">
          <w:rPr>
            <w:rFonts w:eastAsia="Times New Roman"/>
            <w:i/>
            <w:iCs/>
            <w:color w:val="000000"/>
            <w:sz w:val="23"/>
            <w:szCs w:val="23"/>
            <w:lang w:eastAsia="en-AU"/>
            <w14:ligatures w14:val="standardContextual"/>
          </w:rPr>
          <w:t>Road Traffic (Miscellaneous) Regulations 2014</w:t>
        </w:r>
      </w:hyperlink>
      <w:r w:rsidRPr="002A3021">
        <w:rPr>
          <w:rFonts w:eastAsia="Times New Roman"/>
          <w:color w:val="000000"/>
          <w:sz w:val="23"/>
          <w:szCs w:val="23"/>
          <w:lang w:eastAsia="en-AU"/>
          <w14:ligatures w14:val="standardContextual"/>
        </w:rPr>
        <w:t xml:space="preserve"> exempting the vehicle from compliance with a requirement of the regulations subject to conditions limiting the use of the vehicle (other than a restriction limiting the use of the vehicle to a particular road or roads or class of roads); or</w:t>
      </w:r>
    </w:p>
    <w:p w14:paraId="61F329C5" w14:textId="0FDAEB65"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 xml:space="preserve">a mass or dimension exemption or vehicle standards exemption granted under the </w:t>
      </w:r>
      <w:hyperlink r:id="rId43" w:history="1">
        <w:r w:rsidRPr="002A3021">
          <w:rPr>
            <w:rFonts w:eastAsia="Times New Roman"/>
            <w:i/>
            <w:iCs/>
            <w:color w:val="000000"/>
            <w:sz w:val="23"/>
            <w:szCs w:val="23"/>
            <w:lang w:eastAsia="en-AU"/>
            <w14:ligatures w14:val="standardContextual"/>
          </w:rPr>
          <w:t>Heavy Vehicle National Law (South Australia)</w:t>
        </w:r>
      </w:hyperlink>
      <w:r w:rsidRPr="002A3021">
        <w:rPr>
          <w:rFonts w:eastAsia="Times New Roman"/>
          <w:color w:val="000000"/>
          <w:sz w:val="23"/>
          <w:szCs w:val="23"/>
          <w:lang w:eastAsia="en-AU"/>
          <w14:ligatures w14:val="standardContextual"/>
        </w:rPr>
        <w:t>.</w:t>
      </w:r>
    </w:p>
    <w:p w14:paraId="5C854892"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8966274"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98" w:name="Elkera_Print_TOC39"/>
      <w:bookmarkStart w:id="99" w:name="Elkera_Print_BK39"/>
      <w:r w:rsidRPr="002A3021">
        <w:rPr>
          <w:rFonts w:eastAsia="Times New Roman"/>
          <w:b/>
          <w:bCs/>
          <w:color w:val="000000"/>
          <w:sz w:val="26"/>
          <w:szCs w:val="26"/>
          <w:lang w:eastAsia="en-AU"/>
          <w14:ligatures w14:val="standardContextual"/>
        </w:rPr>
        <w:lastRenderedPageBreak/>
        <w:t>Subdivision 3—Miscellaneous</w:t>
      </w:r>
      <w:bookmarkEnd w:id="98"/>
      <w:bookmarkEnd w:id="99"/>
    </w:p>
    <w:p w14:paraId="4C4BC79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0" w:name="Elkera_Print_TOC40"/>
      <w:bookmarkStart w:id="101" w:name="Elkera_Print_BK40"/>
      <w:r w:rsidRPr="002A3021">
        <w:rPr>
          <w:rFonts w:eastAsia="Times New Roman"/>
          <w:b/>
          <w:bCs/>
          <w:color w:val="000000"/>
          <w:sz w:val="26"/>
          <w:szCs w:val="26"/>
          <w:lang w:eastAsia="en-AU"/>
          <w14:ligatures w14:val="standardContextual"/>
        </w:rPr>
        <w:t>27—Exemption from stamp duty</w:t>
      </w:r>
      <w:bookmarkEnd w:id="100"/>
      <w:bookmarkEnd w:id="101"/>
    </w:p>
    <w:p w14:paraId="1234E8B0"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An application to register a motor vehicle under section 25 of the Act (other than an application to register a road train, B</w:t>
      </w:r>
      <w:r w:rsidRPr="002A3021">
        <w:rPr>
          <w:rFonts w:eastAsia="Times New Roman"/>
          <w:color w:val="000000"/>
          <w:sz w:val="23"/>
          <w:szCs w:val="23"/>
          <w:lang w:eastAsia="en-AU"/>
          <w14:ligatures w14:val="standardContextual"/>
        </w:rPr>
        <w:noBreakHyphen/>
        <w:t xml:space="preserve">double or vehicle of a class referred to in </w:t>
      </w:r>
      <w:hyperlink w:anchor="idd8f2fae3_1584_4981_8acc_ae25cc636c0c_a" w:history="1">
        <w:r w:rsidRPr="002A3021">
          <w:rPr>
            <w:rFonts w:eastAsia="Times New Roman"/>
            <w:color w:val="000000"/>
            <w:sz w:val="23"/>
            <w:szCs w:val="23"/>
            <w:lang w:eastAsia="en-AU"/>
            <w14:ligatures w14:val="standardContextual"/>
          </w:rPr>
          <w:t>regulation 26(f)</w:t>
        </w:r>
      </w:hyperlink>
      <w:r w:rsidRPr="002A3021">
        <w:rPr>
          <w:rFonts w:eastAsia="Times New Roman"/>
          <w:color w:val="000000"/>
          <w:sz w:val="23"/>
          <w:szCs w:val="23"/>
          <w:lang w:eastAsia="en-AU"/>
          <w14:ligatures w14:val="standardContextual"/>
        </w:rPr>
        <w:t>) is declared to be exempt from stamp duty.</w:t>
      </w:r>
    </w:p>
    <w:p w14:paraId="12CF72F2" w14:textId="77777777" w:rsidR="002A3021" w:rsidRPr="002A3021" w:rsidRDefault="002A3021" w:rsidP="002A302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Note—</w:t>
      </w:r>
    </w:p>
    <w:p w14:paraId="3B795A92"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See the </w:t>
      </w:r>
      <w:hyperlink r:id="rId44" w:history="1">
        <w:r w:rsidRPr="002A3021">
          <w:rPr>
            <w:rFonts w:eastAsia="Times New Roman"/>
            <w:i/>
            <w:iCs/>
            <w:color w:val="000000"/>
            <w:sz w:val="20"/>
            <w:szCs w:val="20"/>
            <w:lang w:eastAsia="en-AU"/>
            <w14:ligatures w14:val="standardContextual"/>
          </w:rPr>
          <w:t>Stamp Duties Act 1923</w:t>
        </w:r>
      </w:hyperlink>
      <w:r w:rsidRPr="002A3021">
        <w:rPr>
          <w:rFonts w:eastAsia="Times New Roman"/>
          <w:color w:val="000000"/>
          <w:sz w:val="20"/>
          <w:szCs w:val="20"/>
          <w:lang w:eastAsia="en-AU"/>
          <w14:ligatures w14:val="standardContextual"/>
        </w:rPr>
        <w:t xml:space="preserve"> (Schedule 2 clause 2(2) exemption 10A).</w:t>
      </w:r>
    </w:p>
    <w:p w14:paraId="399476C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2" w:name="Elkera_Print_TOC41"/>
      <w:bookmarkStart w:id="103" w:name="Elkera_Print_BK41"/>
      <w:r w:rsidRPr="002A3021">
        <w:rPr>
          <w:rFonts w:eastAsia="Times New Roman"/>
          <w:b/>
          <w:bCs/>
          <w:color w:val="000000"/>
          <w:sz w:val="26"/>
          <w:szCs w:val="26"/>
          <w:lang w:eastAsia="en-AU"/>
          <w14:ligatures w14:val="standardContextual"/>
        </w:rPr>
        <w:t>28—Duration of registration</w:t>
      </w:r>
      <w:bookmarkEnd w:id="102"/>
      <w:bookmarkEnd w:id="103"/>
    </w:p>
    <w:p w14:paraId="0F9D3458"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period of registration of a motor vehicle registered under section 25 of the Act is—</w:t>
      </w:r>
    </w:p>
    <w:p w14:paraId="1CEDC01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the registration of a historic vehicle, individually constructed vehicle, left hand drive vehicle or street rod vehicle—1, 2 or 3 years, at the option of the applicant; or</w:t>
      </w:r>
    </w:p>
    <w:p w14:paraId="67EF7EC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any other case—any number of quarters, not exceeding 12 quarters, at the option of the applicant.</w:t>
      </w:r>
    </w:p>
    <w:p w14:paraId="69DEC61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4" w:name="Elkera_Print_TOC42"/>
      <w:bookmarkStart w:id="105" w:name="Elkera_Print_BK42"/>
      <w:r w:rsidRPr="002A3021">
        <w:rPr>
          <w:rFonts w:eastAsia="Times New Roman"/>
          <w:b/>
          <w:bCs/>
          <w:color w:val="000000"/>
          <w:sz w:val="26"/>
          <w:szCs w:val="26"/>
          <w:lang w:eastAsia="en-AU"/>
          <w14:ligatures w14:val="standardContextual"/>
        </w:rPr>
        <w:t>29—Transfer of registration</w:t>
      </w:r>
      <w:bookmarkEnd w:id="104"/>
      <w:bookmarkEnd w:id="105"/>
    </w:p>
    <w:p w14:paraId="22627CF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registration of a motor vehicle under section 25 of the Act may be transferred if—</w:t>
      </w:r>
    </w:p>
    <w:p w14:paraId="37608E9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vehicle is a road train or B</w:t>
      </w:r>
      <w:r w:rsidRPr="002A3021">
        <w:rPr>
          <w:rFonts w:eastAsia="Times New Roman"/>
          <w:color w:val="000000"/>
          <w:sz w:val="23"/>
          <w:szCs w:val="23"/>
          <w:lang w:eastAsia="en-AU"/>
          <w14:ligatures w14:val="standardContextual"/>
        </w:rPr>
        <w:noBreakHyphen/>
        <w:t>double; or</w:t>
      </w:r>
    </w:p>
    <w:p w14:paraId="0E4BB4B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is a special purpose vehicle and the transferee undertakes that the conditions of registration of the vehicle under that section will be complied with.</w:t>
      </w:r>
    </w:p>
    <w:p w14:paraId="0960933F"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06" w:name="Elkera_Print_TOC43"/>
      <w:bookmarkStart w:id="107" w:name="Elkera_Print_BK43"/>
      <w:r w:rsidRPr="002A3021">
        <w:rPr>
          <w:rFonts w:eastAsia="Times New Roman"/>
          <w:b/>
          <w:bCs/>
          <w:color w:val="000000"/>
          <w:sz w:val="28"/>
          <w:szCs w:val="28"/>
          <w:lang w:eastAsia="en-AU"/>
          <w14:ligatures w14:val="standardContextual"/>
        </w:rPr>
        <w:t>Division 4—Duty to notify alterations or additions to vehicles</w:t>
      </w:r>
      <w:bookmarkEnd w:id="106"/>
      <w:bookmarkEnd w:id="107"/>
    </w:p>
    <w:p w14:paraId="58FD854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8" w:name="Elkera_Print_TOC45"/>
      <w:bookmarkStart w:id="109" w:name="ideb66b760_6f23_4629_bd87_44fe630c043b_4"/>
      <w:r w:rsidRPr="002A3021">
        <w:rPr>
          <w:rFonts w:eastAsia="Times New Roman"/>
          <w:b/>
          <w:bCs/>
          <w:color w:val="000000"/>
          <w:sz w:val="26"/>
          <w:szCs w:val="26"/>
          <w:lang w:eastAsia="en-AU"/>
          <w14:ligatures w14:val="standardContextual"/>
        </w:rPr>
        <w:t>30—Duty to notify alterations or additions to vehicles</w:t>
      </w:r>
      <w:bookmarkEnd w:id="108"/>
      <w:bookmarkEnd w:id="109"/>
    </w:p>
    <w:p w14:paraId="10EF6AF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44(1) of the Act, the following alterations and additions are prescribed:</w:t>
      </w:r>
    </w:p>
    <w:p w14:paraId="4BE620C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alteration of, or addition to, a motor vehicle by which the vehicle's mass is increased;</w:t>
      </w:r>
    </w:p>
    <w:p w14:paraId="56833BF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alteration of, or addition to, the specifications or tyres of a motor vehicle by which the GCM or GVM of the vehicle is varied;</w:t>
      </w:r>
    </w:p>
    <w:p w14:paraId="03A15BB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an alteration of the configuration of a heavy vehicle by which the configuration becomes an unregistered configuration within the meaning of section 43A of the Act;</w:t>
      </w:r>
    </w:p>
    <w:p w14:paraId="60491AA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an alteration of, or addition to, the engine by which a motor vehicle is driven so as to enable the engine to drive the vehicle by a fuel that would not, but for the alteration or addition, drive the vehicle;</w:t>
      </w:r>
    </w:p>
    <w:p w14:paraId="6F9167D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the removal of the engine by which a motor vehicle is driven and the substitution of another engine;</w:t>
      </w:r>
    </w:p>
    <w:p w14:paraId="3848984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the removal of a pneumatic tyre from a motor vehicle having only pneumatic tyres, and the substitution of a tyre other than a pneumatic tyre;</w:t>
      </w:r>
    </w:p>
    <w:p w14:paraId="54062C5D" w14:textId="1BC2FCFB"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the removal of a tyre from a vehicle having no metal tyres, and the substitution of a metal tyre;</w:t>
      </w:r>
    </w:p>
    <w:p w14:paraId="226FF684"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BE0C67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(h)</w:t>
      </w:r>
      <w:r w:rsidRPr="002A3021">
        <w:rPr>
          <w:rFonts w:eastAsia="Times New Roman"/>
          <w:color w:val="000000"/>
          <w:sz w:val="23"/>
          <w:szCs w:val="23"/>
          <w:lang w:eastAsia="en-AU"/>
          <w14:ligatures w14:val="standardContextual"/>
        </w:rPr>
        <w:tab/>
        <w:t>the attachment of a sidecar to a motor bike not having a sidecar;</w:t>
      </w:r>
    </w:p>
    <w:p w14:paraId="4929FB6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an alteration or addition by which a motor vehicle that is not a commercial motor vehicle is converted into a commercial motor vehicle;</w:t>
      </w:r>
    </w:p>
    <w:p w14:paraId="6A9D644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(j)</w:t>
      </w:r>
      <w:r w:rsidRPr="002A3021">
        <w:rPr>
          <w:rFonts w:eastAsia="Times New Roman"/>
          <w:color w:val="000000"/>
          <w:sz w:val="23"/>
          <w:szCs w:val="23"/>
          <w:lang w:eastAsia="en-AU"/>
          <w14:ligatures w14:val="standardContextual"/>
        </w:rPr>
        <w:tab/>
        <w:t>an alteration or addition by which a commercial motor vehicle ceases to be a commercial motor vehicle;</w:t>
      </w:r>
    </w:p>
    <w:p w14:paraId="331D89F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(k)</w:t>
      </w:r>
      <w:r w:rsidRPr="002A3021">
        <w:rPr>
          <w:rFonts w:eastAsia="Times New Roman"/>
          <w:color w:val="000000"/>
          <w:sz w:val="23"/>
          <w:szCs w:val="23"/>
          <w:lang w:eastAsia="en-AU"/>
          <w14:ligatures w14:val="standardContextual"/>
        </w:rPr>
        <w:tab/>
        <w:t>the wrecking or disassembling of a motor vehicle (other than a notifiable vehicle) where the engine, a part of the engine bearing the engine number or a part of the body bearing a vehicle identification number or vehicle identification plate is removed and not put back into place as part of the vehicle;</w:t>
      </w:r>
    </w:p>
    <w:p w14:paraId="0F42476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(l)</w:t>
      </w:r>
      <w:r w:rsidRPr="002A3021">
        <w:rPr>
          <w:rFonts w:eastAsia="Times New Roman"/>
          <w:color w:val="000000"/>
          <w:sz w:val="23"/>
          <w:szCs w:val="23"/>
          <w:lang w:eastAsia="en-AU"/>
          <w14:ligatures w14:val="standardContextual"/>
        </w:rPr>
        <w:tab/>
        <w:t>the removal, alteration, defacement or obliteration of—</w:t>
      </w:r>
    </w:p>
    <w:p w14:paraId="7CB94A1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 vehicle identification plate or vehicle identification number (other than a plate or number of a notifiable vehicle); or</w:t>
      </w:r>
    </w:p>
    <w:p w14:paraId="6B5C969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an engine number,</w:t>
      </w:r>
    </w:p>
    <w:p w14:paraId="5A0931AF"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except where, in relation to the removal of a vehicle identification plate (or a plate bearing a vehicle identification number or engine number), the plate is put back into place on the vehicle;</w:t>
      </w:r>
    </w:p>
    <w:p w14:paraId="2DC3EDE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(m)</w:t>
      </w:r>
      <w:r w:rsidRPr="002A3021">
        <w:rPr>
          <w:rFonts w:eastAsia="Times New Roman"/>
          <w:color w:val="000000"/>
          <w:sz w:val="23"/>
          <w:szCs w:val="23"/>
          <w:lang w:eastAsia="en-AU"/>
          <w14:ligatures w14:val="standardContextual"/>
        </w:rPr>
        <w:tab/>
        <w:t>the changing of the colour of a motor vehicle such that the vehicle ceases to be of the primary colour recorded as its colour in the register of motor vehicles.</w:t>
      </w:r>
    </w:p>
    <w:p w14:paraId="508A7CE6"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registered owner or registered operator of a motor vehicle who gives written notice to the Registrar under section 44(1) of the Act must include the following particulars in the notice:</w:t>
      </w:r>
    </w:p>
    <w:p w14:paraId="6BE6766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full description of the alteration or addition;</w:t>
      </w:r>
    </w:p>
    <w:p w14:paraId="0359D22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date on which the alteration or addition was made;</w:t>
      </w:r>
    </w:p>
    <w:p w14:paraId="27E099A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if the engine by which the vehicle is driven has been removed and substituted by another engine—</w:t>
      </w:r>
    </w:p>
    <w:p w14:paraId="6E739A4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substituted engine number; or</w:t>
      </w:r>
    </w:p>
    <w:p w14:paraId="63F32E6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the case of the substitution of an engine that does not have identical specifications—the make, the number of pistons, the diameter of the cylinders, the engine number and the type of substituted engine;</w:t>
      </w:r>
    </w:p>
    <w:p w14:paraId="0347E25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if an alteration has been made to the construction of the vehicle—a weighbridge note;</w:t>
      </w:r>
    </w:p>
    <w:p w14:paraId="77C2CA9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if any alteration or addition has been made that may vary the gross combination mass or gross vehicle mass of the vehicle—the size, ply and type of construction of the tyres;</w:t>
      </w:r>
    </w:p>
    <w:p w14:paraId="06E207E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details of any equipment that has been altered or added to the vehicle.</w:t>
      </w:r>
    </w:p>
    <w:p w14:paraId="2855F0A0"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10" w:name="Elkera_Print_TOC46"/>
      <w:bookmarkStart w:id="111" w:name="Elkera_Print_BK46"/>
      <w:r w:rsidRPr="002A3021">
        <w:rPr>
          <w:rFonts w:eastAsia="Times New Roman"/>
          <w:b/>
          <w:bCs/>
          <w:color w:val="000000"/>
          <w:sz w:val="28"/>
          <w:szCs w:val="28"/>
          <w:lang w:eastAsia="en-AU"/>
          <w14:ligatures w14:val="standardContextual"/>
        </w:rPr>
        <w:t>Division 5—Numbers and number plates</w:t>
      </w:r>
      <w:bookmarkEnd w:id="110"/>
      <w:bookmarkEnd w:id="111"/>
    </w:p>
    <w:p w14:paraId="03FCFD7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2" w:name="Elkera_Print_TOC47"/>
      <w:bookmarkStart w:id="113" w:name="Elkera_Print_BK47"/>
      <w:r w:rsidRPr="002A3021">
        <w:rPr>
          <w:rFonts w:eastAsia="Times New Roman"/>
          <w:b/>
          <w:bCs/>
          <w:color w:val="000000"/>
          <w:sz w:val="26"/>
          <w:szCs w:val="26"/>
          <w:lang w:eastAsia="en-AU"/>
          <w14:ligatures w14:val="standardContextual"/>
        </w:rPr>
        <w:t>31—Carriage of number plates</w:t>
      </w:r>
      <w:bookmarkEnd w:id="112"/>
      <w:bookmarkEnd w:id="113"/>
    </w:p>
    <w:p w14:paraId="1B93D7A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47(1) of the Act, the following provisions apply to the carriage of number plates:</w:t>
      </w:r>
    </w:p>
    <w:p w14:paraId="11C50853" w14:textId="4E06E7BE"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motor vehicle must have attached to it—</w:t>
      </w:r>
    </w:p>
    <w:p w14:paraId="79F54D38"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EDD05C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(i)</w:t>
      </w:r>
      <w:r w:rsidRPr="002A3021">
        <w:rPr>
          <w:rFonts w:eastAsia="Times New Roman"/>
          <w:color w:val="000000"/>
          <w:sz w:val="23"/>
          <w:szCs w:val="23"/>
          <w:lang w:eastAsia="en-AU"/>
          <w14:ligatures w14:val="standardContextual"/>
        </w:rPr>
        <w:tab/>
        <w:t>in the case of a motor bike, motor trike or trailer—1 number plate at the rear;</w:t>
      </w:r>
    </w:p>
    <w:p w14:paraId="1033BB40"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the case of a tractor or agricultural machine—1 number plate;</w:t>
      </w:r>
    </w:p>
    <w:p w14:paraId="2BA347D0"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in the case of a prescribed vehicle—1 number plate;</w:t>
      </w:r>
    </w:p>
    <w:p w14:paraId="3206CDE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in any other case—1 number plate at the front and 1 number plate at the rear,</w:t>
      </w:r>
    </w:p>
    <w:p w14:paraId="4A16F55B"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such that—</w:t>
      </w:r>
    </w:p>
    <w:p w14:paraId="6DCF925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w:t>
      </w:r>
      <w:r w:rsidRPr="002A3021">
        <w:rPr>
          <w:rFonts w:eastAsia="Times New Roman"/>
          <w:color w:val="000000"/>
          <w:sz w:val="23"/>
          <w:szCs w:val="23"/>
          <w:lang w:eastAsia="en-AU"/>
          <w14:ligatures w14:val="standardContextual"/>
        </w:rPr>
        <w:tab/>
        <w:t>the bottom edge of the plate is not less than 30 centimetres above the level of the ground and in such a position that every figure and letter of the registered number is upright; and</w:t>
      </w:r>
    </w:p>
    <w:p w14:paraId="4F2E6EE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(vi)</w:t>
      </w:r>
      <w:r w:rsidRPr="002A3021">
        <w:rPr>
          <w:rFonts w:eastAsia="Times New Roman"/>
          <w:color w:val="000000"/>
          <w:sz w:val="23"/>
          <w:szCs w:val="23"/>
          <w:lang w:eastAsia="en-AU"/>
          <w14:ligatures w14:val="standardContextual"/>
        </w:rPr>
        <w:tab/>
        <w:t>—</w:t>
      </w:r>
    </w:p>
    <w:p w14:paraId="436220B0"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a plate placed on the front of the vehicle—the whole of the plate is visible from the front; and</w:t>
      </w:r>
    </w:p>
    <w:p w14:paraId="268CC852"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the case of a plate placed on the rear of a vehicle—the whole of the plate is visible from the rear;</w:t>
      </w:r>
    </w:p>
    <w:p w14:paraId="01EDB71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every letter and figure on a number plate must be—</w:t>
      </w:r>
    </w:p>
    <w:p w14:paraId="1796149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clearly visible in daylight to a person standing on the same plane as the vehicle at any point not less than 3 metres or more than 18 metres from the plate looking at the plate along an imaginary line approximately at right angles to the plate; and</w:t>
      </w:r>
    </w:p>
    <w:p w14:paraId="73A0F53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legible from left to right on a plane level with the ground; and</w:t>
      </w:r>
    </w:p>
    <w:p w14:paraId="00ED3D3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clean and legible at all times;</w:t>
      </w:r>
    </w:p>
    <w:p w14:paraId="2851496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number plate must be rectangular.</w:t>
      </w:r>
    </w:p>
    <w:p w14:paraId="5179F4FF"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In this regulation—</w:t>
      </w:r>
    </w:p>
    <w:p w14:paraId="4EB8B44A"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prescribed vehicle</w:t>
      </w:r>
      <w:r w:rsidRPr="002A3021">
        <w:rPr>
          <w:rFonts w:eastAsia="Times New Roman"/>
          <w:color w:val="000000"/>
          <w:sz w:val="23"/>
          <w:szCs w:val="23"/>
          <w:lang w:eastAsia="en-AU"/>
          <w14:ligatures w14:val="standardContextual"/>
        </w:rPr>
        <w:t xml:space="preserve"> means a vehicle, or vehicle of a class, determined by the Registrar, of a kind prescribed by </w:t>
      </w:r>
      <w:hyperlink w:anchor="id61214290_0cb3_45a7_be4d_e7e0398bc318_7" w:history="1">
        <w:r w:rsidRPr="002A3021">
          <w:rPr>
            <w:rFonts w:eastAsia="Times New Roman"/>
            <w:color w:val="000000"/>
            <w:sz w:val="23"/>
            <w:szCs w:val="23"/>
            <w:lang w:eastAsia="en-AU"/>
            <w14:ligatures w14:val="standardContextual"/>
          </w:rPr>
          <w:t>regulation 26</w:t>
        </w:r>
      </w:hyperlink>
      <w:r w:rsidRPr="002A3021">
        <w:rPr>
          <w:rFonts w:eastAsia="Times New Roman"/>
          <w:color w:val="000000"/>
          <w:sz w:val="23"/>
          <w:szCs w:val="23"/>
          <w:lang w:eastAsia="en-AU"/>
          <w14:ligatures w14:val="standardContextual"/>
        </w:rPr>
        <w:t>.</w:t>
      </w:r>
    </w:p>
    <w:p w14:paraId="1EE94E5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4" w:name="Elkera_Print_TOC49"/>
      <w:bookmarkStart w:id="115" w:name="ide0bcab7b_c497_4af0_bba4_c05926a9cc4e_0"/>
      <w:r w:rsidRPr="002A3021">
        <w:rPr>
          <w:rFonts w:eastAsia="Times New Roman"/>
          <w:b/>
          <w:bCs/>
          <w:color w:val="000000"/>
          <w:sz w:val="26"/>
          <w:szCs w:val="26"/>
          <w:lang w:eastAsia="en-AU"/>
          <w14:ligatures w14:val="standardContextual"/>
        </w:rPr>
        <w:t>32—Exemptions from duty to carry number plates</w:t>
      </w:r>
      <w:bookmarkEnd w:id="114"/>
      <w:bookmarkEnd w:id="115"/>
    </w:p>
    <w:p w14:paraId="776FB9D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person who drives a motor vehicle, the front and rear of which is marked with its registered number, is exempt from the operation of section 47(1) of the Act if—</w:t>
      </w:r>
    </w:p>
    <w:p w14:paraId="143A7E6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registered number was allotted before 1 July 1996; and</w:t>
      </w:r>
    </w:p>
    <w:p w14:paraId="2310C9F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registered number was marked on the vehicle before 1 July 1996; and</w:t>
      </w:r>
    </w:p>
    <w:p w14:paraId="5621665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number plates bearing the registered number and the slogan "SA • The Festival State" have never been obtained for the vehicle; and</w:t>
      </w:r>
    </w:p>
    <w:p w14:paraId="5A61093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vehicle is registered in the name of the person who was, immediately prior to 1 July 1996, recorded on the register of motor vehicles as the owner of the vehicle; and</w:t>
      </w:r>
    </w:p>
    <w:p w14:paraId="57ABD12F" w14:textId="05402A5F"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there is no agreement in force under section 47A of the Act between the Registrar and the registered owner of the vehicle in relation to the registered number; and</w:t>
      </w:r>
    </w:p>
    <w:p w14:paraId="09A62DCC"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584CD1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(f)</w:t>
      </w:r>
      <w:r w:rsidRPr="002A3021">
        <w:rPr>
          <w:rFonts w:eastAsia="Times New Roman"/>
          <w:color w:val="000000"/>
          <w:sz w:val="23"/>
          <w:szCs w:val="23"/>
          <w:lang w:eastAsia="en-AU"/>
          <w14:ligatures w14:val="standardContextual"/>
        </w:rPr>
        <w:tab/>
        <w:t>every letter and figure of the registered number marked on the vehicle is—</w:t>
      </w:r>
    </w:p>
    <w:p w14:paraId="02BDD7F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clearly visible in daylight to a person standing on the same plane as the vehicle at any point not less than 3 metres or more than 18 metres from the portion of the vehicle on which the number is marked looking at the number along an imaginary line approximately at right angles to the number; and</w:t>
      </w:r>
    </w:p>
    <w:p w14:paraId="4812A6B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legible from left to right on a plane level with the ground; and</w:t>
      </w:r>
    </w:p>
    <w:p w14:paraId="0E93D7F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clean and legible at all times.</w:t>
      </w:r>
    </w:p>
    <w:p w14:paraId="58CFE7E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An officer or employee of the South Australian Police Department or the Transport Department who drives a motor vehicle on a road, or causes a motor vehicle to stand on a road, is exempt from the operation of section 47(1) of the Act if—</w:t>
      </w:r>
    </w:p>
    <w:p w14:paraId="3B00815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vehicle is being used for the purpose of testing the legibility of number plates; and</w:t>
      </w:r>
    </w:p>
    <w:p w14:paraId="1D6E496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displays a sign bearing the word "test".</w:t>
      </w:r>
    </w:p>
    <w:p w14:paraId="2B021496"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6" w:name="id8d5adc54_1d3b_456a_b6af_9c49fdc1fa58_e"/>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A person who drives a motor vehicle, or causes a motor vehicle to stand, on a road is exempt from the operation of section 47(1) of the Act insofar as that section imposes requirements relating to the visibility and legibility of number plates, if the motor vehicle—</w:t>
      </w:r>
      <w:bookmarkEnd w:id="116"/>
    </w:p>
    <w:p w14:paraId="09DC8C1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is approved by the Minister for Tourism as a motor vehicle that may be driven, or caused to stand, on a road in relation to an event specified in a notice under </w:t>
      </w:r>
      <w:hyperlink w:anchor="id6ef09256_9e76_49d9_a042_55576b6a0ad1_2" w:history="1">
        <w:r w:rsidRPr="002A3021">
          <w:rPr>
            <w:rFonts w:eastAsia="Times New Roman"/>
            <w:color w:val="000000"/>
            <w:sz w:val="23"/>
            <w:szCs w:val="23"/>
            <w:lang w:eastAsia="en-AU"/>
            <w14:ligatures w14:val="standardContextual"/>
          </w:rPr>
          <w:t>subregulation (4)</w:t>
        </w:r>
      </w:hyperlink>
      <w:r w:rsidRPr="002A3021">
        <w:rPr>
          <w:rFonts w:eastAsia="Times New Roman"/>
          <w:color w:val="000000"/>
          <w:sz w:val="23"/>
          <w:szCs w:val="23"/>
          <w:lang w:eastAsia="en-AU"/>
          <w14:ligatures w14:val="standardContextual"/>
        </w:rPr>
        <w:t>; and</w:t>
      </w:r>
    </w:p>
    <w:p w14:paraId="6CF83BA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being so driven or caused to stand during the period, and in accordance with the conditions, specified in the notice.</w:t>
      </w:r>
    </w:p>
    <w:p w14:paraId="0A147C7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7" w:name="id6ef09256_9e76_49d9_a042_55576b6a0ad1_2"/>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The Minister for Tourism may, with the concurrence of the Minister responsible for the administration of the Act, publish a notice in the Gazette—</w:t>
      </w:r>
      <w:bookmarkEnd w:id="117"/>
    </w:p>
    <w:p w14:paraId="4EF68C5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specifying an event; and</w:t>
      </w:r>
    </w:p>
    <w:p w14:paraId="63737DB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specifying a period during which motor vehicles approved by the Minister for Tourism may be driven, or caused to stand, on a road in relation to the event; and</w:t>
      </w:r>
    </w:p>
    <w:p w14:paraId="60A9A1B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specifying the conditions applicable to driving such a motor vehicle, or causing such a motor vehicle to stand, on a road in relation to the event.</w:t>
      </w:r>
    </w:p>
    <w:p w14:paraId="66AE3FC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 xml:space="preserve">In any proceedings, a document purporting to be a certificate signed by the Minister for Tourism and certifying that, on a specified day, a specified motor vehicle was or was not approved as a motor vehicle that may be driven, or caused to stand, on a road in relation to an event specified in a notice under </w:t>
      </w:r>
      <w:hyperlink w:anchor="id6ef09256_9e76_49d9_a042_55576b6a0ad1_2" w:history="1">
        <w:r w:rsidRPr="002A3021">
          <w:rPr>
            <w:rFonts w:eastAsia="Times New Roman"/>
            <w:color w:val="000000"/>
            <w:sz w:val="23"/>
            <w:szCs w:val="23"/>
            <w:lang w:eastAsia="en-AU"/>
            <w14:ligatures w14:val="standardContextual"/>
          </w:rPr>
          <w:t>subregulation (4)</w:t>
        </w:r>
      </w:hyperlink>
      <w:r w:rsidRPr="002A3021">
        <w:rPr>
          <w:rFonts w:eastAsia="Times New Roman"/>
          <w:color w:val="000000"/>
          <w:sz w:val="23"/>
          <w:szCs w:val="23"/>
          <w:lang w:eastAsia="en-AU"/>
          <w14:ligatures w14:val="standardContextual"/>
        </w:rPr>
        <w:t>, is proof of the matter so certified in the absence of proof to the contrary.</w:t>
      </w:r>
    </w:p>
    <w:p w14:paraId="45D17BA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8" w:name="Elkera_Print_TOC50"/>
      <w:bookmarkStart w:id="119" w:name="Elkera_Print_BK50"/>
      <w:r w:rsidRPr="002A3021">
        <w:rPr>
          <w:rFonts w:eastAsia="Times New Roman"/>
          <w:b/>
          <w:bCs/>
          <w:color w:val="000000"/>
          <w:sz w:val="26"/>
          <w:szCs w:val="26"/>
          <w:lang w:eastAsia="en-AU"/>
          <w14:ligatures w14:val="standardContextual"/>
        </w:rPr>
        <w:t>33—Surrender of number plates—exceptions</w:t>
      </w:r>
      <w:bookmarkEnd w:id="118"/>
      <w:bookmarkEnd w:id="119"/>
    </w:p>
    <w:p w14:paraId="10817EA7"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47C(4) of the Act, the Registrar, a police officer or an authorised officer may only seize a number plate if—</w:t>
      </w:r>
    </w:p>
    <w:p w14:paraId="52E47CF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Registrar has given a direction under section 47C(2) of the Act requiring a person to surrender the number plates; and</w:t>
      </w:r>
    </w:p>
    <w:p w14:paraId="229C228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person has failed to comply with the direction; and</w:t>
      </w:r>
    </w:p>
    <w:p w14:paraId="5AE61B84" w14:textId="39856578"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person has no reasonable excuse for failing to comply.</w:t>
      </w:r>
    </w:p>
    <w:p w14:paraId="4D92714D"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8BA7BC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0" w:name="Elkera_Print_TOC51"/>
      <w:bookmarkStart w:id="121" w:name="Elkera_Print_BK51"/>
      <w:r w:rsidRPr="002A3021">
        <w:rPr>
          <w:rFonts w:eastAsia="Times New Roman"/>
          <w:b/>
          <w:bCs/>
          <w:color w:val="000000"/>
          <w:sz w:val="26"/>
          <w:szCs w:val="26"/>
          <w:lang w:eastAsia="en-AU"/>
          <w14:ligatures w14:val="standardContextual"/>
        </w:rPr>
        <w:lastRenderedPageBreak/>
        <w:t>34—Exemptions from section 47D of Act</w:t>
      </w:r>
      <w:bookmarkEnd w:id="120"/>
      <w:bookmarkEnd w:id="121"/>
    </w:p>
    <w:p w14:paraId="352C7A6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police officer who, in the course of official duties, drives on a road, or causes to stand on a road, a government</w:t>
      </w:r>
      <w:r w:rsidRPr="002A3021">
        <w:rPr>
          <w:rFonts w:eastAsia="Times New Roman"/>
          <w:color w:val="000000"/>
          <w:sz w:val="23"/>
          <w:szCs w:val="23"/>
          <w:lang w:eastAsia="en-AU"/>
          <w14:ligatures w14:val="standardContextual"/>
        </w:rPr>
        <w:noBreakHyphen/>
        <w:t>registered motor bike at the front of which is attached a label or sticker that bears the number allotted to the motor bike under the Act is exempt from the operation of section 47D(1)(c) of the Act if—</w:t>
      </w:r>
    </w:p>
    <w:p w14:paraId="0660C93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label or sticker is made of silver reflective decal material; and</w:t>
      </w:r>
    </w:p>
    <w:p w14:paraId="4A13155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label or sticker is 220 millimetres wide and 93 millimetres high; and</w:t>
      </w:r>
    </w:p>
    <w:p w14:paraId="5927BCA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every letter and figure on the label or sticker is printed in blue on a white background and in upper case; and</w:t>
      </w:r>
    </w:p>
    <w:p w14:paraId="647DE02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label or sticker bears the slogan "SA Government".</w:t>
      </w:r>
    </w:p>
    <w:p w14:paraId="4C0E52C6"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An officer or employee of the South Australian Police Department or the Transport Department who drives a motor vehicle on a road, or causes a motor vehicle to stand on a road, is exempt from the operation of section 47D(1)(a), (b) and (c) of the Act if—</w:t>
      </w:r>
    </w:p>
    <w:p w14:paraId="5C8A5EC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vehicle is being used for the purpose of testing the legibility of number plates; and</w:t>
      </w:r>
    </w:p>
    <w:p w14:paraId="4361F06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displays a sign bearing the word "test".</w:t>
      </w:r>
    </w:p>
    <w:p w14:paraId="1F4F59A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A person who drives a motor vehicle, or causes a motor vehicle to stand, on a road in circumstances referred to in </w:t>
      </w:r>
      <w:hyperlink w:anchor="id8d5adc54_1d3b_456a_b6af_9c49fdc1fa58_e" w:history="1">
        <w:r w:rsidRPr="002A3021">
          <w:rPr>
            <w:rFonts w:eastAsia="Times New Roman"/>
            <w:color w:val="000000"/>
            <w:sz w:val="23"/>
            <w:szCs w:val="23"/>
            <w:lang w:eastAsia="en-AU"/>
            <w14:ligatures w14:val="standardContextual"/>
          </w:rPr>
          <w:t>regulation 32(3)</w:t>
        </w:r>
      </w:hyperlink>
      <w:r w:rsidRPr="002A3021">
        <w:rPr>
          <w:rFonts w:eastAsia="Times New Roman"/>
          <w:color w:val="000000"/>
          <w:sz w:val="23"/>
          <w:szCs w:val="23"/>
          <w:lang w:eastAsia="en-AU"/>
          <w14:ligatures w14:val="standardContextual"/>
        </w:rPr>
        <w:t xml:space="preserve"> is exempt from the operation of section 47D(1)(c) of the Act.</w:t>
      </w:r>
    </w:p>
    <w:p w14:paraId="42305B00"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22" w:name="Elkera_Print_TOC52"/>
      <w:bookmarkStart w:id="123" w:name="Elkera_Print_BK52"/>
      <w:r w:rsidRPr="002A3021">
        <w:rPr>
          <w:rFonts w:eastAsia="Times New Roman"/>
          <w:b/>
          <w:bCs/>
          <w:color w:val="000000"/>
          <w:sz w:val="28"/>
          <w:szCs w:val="28"/>
          <w:lang w:eastAsia="en-AU"/>
          <w14:ligatures w14:val="standardContextual"/>
        </w:rPr>
        <w:t>Division 6—Suspension, cancellation and transfer of registration</w:t>
      </w:r>
      <w:bookmarkEnd w:id="122"/>
      <w:bookmarkEnd w:id="123"/>
    </w:p>
    <w:p w14:paraId="541FF35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4" w:name="Elkera_Print_TOC53"/>
      <w:bookmarkStart w:id="125" w:name="Elkera_Print_BK53"/>
      <w:r w:rsidRPr="002A3021">
        <w:rPr>
          <w:rFonts w:eastAsia="Times New Roman"/>
          <w:b/>
          <w:bCs/>
          <w:color w:val="000000"/>
          <w:sz w:val="26"/>
          <w:szCs w:val="26"/>
          <w:lang w:eastAsia="en-AU"/>
          <w14:ligatures w14:val="standardContextual"/>
        </w:rPr>
        <w:t>35—Exemption from section 56(b)(ii) of Act where motor vehicle dealer etc acting as delegate of Registrar, transfers registration of vehicle sold by dealer</w:t>
      </w:r>
      <w:bookmarkEnd w:id="124"/>
      <w:bookmarkEnd w:id="125"/>
    </w:p>
    <w:p w14:paraId="68C6BFAB"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w:t>
      </w:r>
    </w:p>
    <w:p w14:paraId="2BB4016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motor vehicle dealer or auctioneer sells a motor vehicle in the course of their business; and</w:t>
      </w:r>
    </w:p>
    <w:p w14:paraId="33A59C3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Registrar has delegated to the dealer or auctioneer the Registrar's function under section 58(1) of the Act; and</w:t>
      </w:r>
    </w:p>
    <w:p w14:paraId="7365AEE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dealer or auctioneer, acting under that delegation, registers the vehicle in the name of the purchaser,</w:t>
      </w:r>
    </w:p>
    <w:p w14:paraId="1EF2FEF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dealer or auctioneer is exempt from the operation of section 56(b)(ii) of the Act in respect of the transfer of ownership of that vehicle.</w:t>
      </w:r>
    </w:p>
    <w:p w14:paraId="6B2B8B03"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26" w:name="Elkera_Print_TOC54"/>
      <w:bookmarkStart w:id="127" w:name="Elkera_Print_BK54"/>
      <w:r w:rsidRPr="002A3021">
        <w:rPr>
          <w:rFonts w:eastAsia="Times New Roman"/>
          <w:b/>
          <w:bCs/>
          <w:color w:val="000000"/>
          <w:sz w:val="28"/>
          <w:szCs w:val="28"/>
          <w:lang w:eastAsia="en-AU"/>
          <w14:ligatures w14:val="standardContextual"/>
        </w:rPr>
        <w:t>Division 7—Trade plates</w:t>
      </w:r>
      <w:bookmarkEnd w:id="126"/>
      <w:bookmarkEnd w:id="127"/>
    </w:p>
    <w:p w14:paraId="0080F10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8" w:name="Elkera_Print_TOC55"/>
      <w:bookmarkStart w:id="129" w:name="Elkera_Print_BK55"/>
      <w:r w:rsidRPr="002A3021">
        <w:rPr>
          <w:rFonts w:eastAsia="Times New Roman"/>
          <w:b/>
          <w:bCs/>
          <w:color w:val="000000"/>
          <w:sz w:val="26"/>
          <w:szCs w:val="26"/>
          <w:lang w:eastAsia="en-AU"/>
          <w14:ligatures w14:val="standardContextual"/>
        </w:rPr>
        <w:t>36—Purposes for which trade plates may be issued and used</w:t>
      </w:r>
      <w:bookmarkEnd w:id="128"/>
      <w:bookmarkEnd w:id="129"/>
    </w:p>
    <w:p w14:paraId="6DAB1B4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sections 62(1) and 66 of the Act, the following purposes are prescribed:</w:t>
      </w:r>
    </w:p>
    <w:p w14:paraId="5841E05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delivery of a motor vehicle from premises of the manufacturer or distributor of the vehicle to business premises of a motor vehicle dealer or auctioneer;</w:t>
      </w:r>
    </w:p>
    <w:p w14:paraId="72491AEF" w14:textId="16883A27"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delivery of a motor vehicle from premises of the manufacturer of the vehicle to a place for storage or to business premises of the distributor of the vehicle;</w:t>
      </w:r>
    </w:p>
    <w:p w14:paraId="032BAD88"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99B4A2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(c)</w:t>
      </w:r>
      <w:r w:rsidRPr="002A3021">
        <w:rPr>
          <w:rFonts w:eastAsia="Times New Roman"/>
          <w:color w:val="000000"/>
          <w:sz w:val="23"/>
          <w:szCs w:val="23"/>
          <w:lang w:eastAsia="en-AU"/>
          <w14:ligatures w14:val="standardContextual"/>
        </w:rPr>
        <w:tab/>
        <w:t>relocation of a motor vehicle—</w:t>
      </w:r>
    </w:p>
    <w:p w14:paraId="5578491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between different business premises of a motor vehicle dealer or auctioneer; or</w:t>
      </w:r>
    </w:p>
    <w:p w14:paraId="029863C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between business premises of different motor vehicle dealers or auctioneers;</w:t>
      </w:r>
    </w:p>
    <w:p w14:paraId="2B3979A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demonstration to a prospective purchaser of a motor vehicle of the on</w:t>
      </w:r>
      <w:r w:rsidRPr="002A3021">
        <w:rPr>
          <w:rFonts w:eastAsia="Times New Roman"/>
          <w:color w:val="000000"/>
          <w:sz w:val="23"/>
          <w:szCs w:val="23"/>
          <w:lang w:eastAsia="en-AU"/>
          <w14:ligatures w14:val="standardContextual"/>
        </w:rPr>
        <w:noBreakHyphen/>
        <w:t>road performance of the vehicle—</w:t>
      </w:r>
    </w:p>
    <w:p w14:paraId="56FCCEC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being a demonstration in respect of which the vendor of the vehicle does not receive any monetary consideration; and</w:t>
      </w:r>
    </w:p>
    <w:p w14:paraId="3B95108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the case of a commercial motor vehicle that is to carry a load during a demonstration, provided that—</w:t>
      </w:r>
    </w:p>
    <w:p w14:paraId="60A86814"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demonstration consists of not more than 2 separate journeys by the same prospective purchaser and each journey is completed within 3 days; and</w:t>
      </w:r>
    </w:p>
    <w:p w14:paraId="37ADC153"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during the demonstration the vehicle is used only within the State;</w:t>
      </w:r>
    </w:p>
    <w:p w14:paraId="1FDE62D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demonstration to a prospective purchaser of a bus of the on</w:t>
      </w:r>
      <w:r w:rsidRPr="002A3021">
        <w:rPr>
          <w:rFonts w:eastAsia="Times New Roman"/>
          <w:color w:val="000000"/>
          <w:sz w:val="23"/>
          <w:szCs w:val="23"/>
          <w:lang w:eastAsia="en-AU"/>
          <w14:ligatures w14:val="standardContextual"/>
        </w:rPr>
        <w:noBreakHyphen/>
        <w:t>road performance of the bus, being a demonstration—</w:t>
      </w:r>
    </w:p>
    <w:p w14:paraId="3183D70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in respect of which the vendor of the bus does not receive any monetary consideration; and</w:t>
      </w:r>
    </w:p>
    <w:p w14:paraId="29DE305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during which no passengers other than the prospective purchaser and any person advising the prospective purchaser in relation to the purchase of the bus are carried in the bus;</w:t>
      </w:r>
    </w:p>
    <w:p w14:paraId="4BF0736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on</w:t>
      </w:r>
      <w:r w:rsidRPr="002A3021">
        <w:rPr>
          <w:rFonts w:eastAsia="Times New Roman"/>
          <w:color w:val="000000"/>
          <w:sz w:val="23"/>
          <w:szCs w:val="23"/>
          <w:lang w:eastAsia="en-AU"/>
          <w14:ligatures w14:val="standardContextual"/>
        </w:rPr>
        <w:noBreakHyphen/>
        <w:t>road testing of a motor vehicle prior to delivery of the vehicle to a purchaser of the vehicle;</w:t>
      </w:r>
    </w:p>
    <w:p w14:paraId="628850C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delivery of a motor vehicle sold by a motor vehicle dealer or auctioneer to a place nominated by the purchaser of the vehicle (whether within or outside the State);</w:t>
      </w:r>
    </w:p>
    <w:p w14:paraId="228F764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(h)</w:t>
      </w:r>
      <w:r w:rsidRPr="002A3021">
        <w:rPr>
          <w:rFonts w:eastAsia="Times New Roman"/>
          <w:color w:val="000000"/>
          <w:sz w:val="23"/>
          <w:szCs w:val="23"/>
          <w:lang w:eastAsia="en-AU"/>
          <w14:ligatures w14:val="standardContextual"/>
        </w:rPr>
        <w:tab/>
        <w:t>in the case of a motor vehicle that—</w:t>
      </w:r>
    </w:p>
    <w:p w14:paraId="74BA2E8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is sold by a motor vehicle dealer who is not authorised by a delegation under section 7 of the Act to register vehicles sold by the dealer; and</w:t>
      </w:r>
    </w:p>
    <w:p w14:paraId="2598DB7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is delivered to the purchaser on a day on which, or at a time of day at which, the office of the Registrar is closed for business,</w:t>
      </w:r>
    </w:p>
    <w:p w14:paraId="74287B5C"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to enable the vehicle to be driven by the purchaser or a person authorised by the purchaser without registration for any purpose until the time at which the office of the Registrar closes for business on the next day on which it is open for business;</w:t>
      </w:r>
    </w:p>
    <w:p w14:paraId="5011606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delivery of a motor vehicle to a workshop or other place for repair or servicing of the vehicle or the making of alterations or additions to the vehicle;</w:t>
      </w:r>
    </w:p>
    <w:p w14:paraId="45ACED9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(j)</w:t>
      </w:r>
      <w:r w:rsidRPr="002A3021">
        <w:rPr>
          <w:rFonts w:eastAsia="Times New Roman"/>
          <w:color w:val="000000"/>
          <w:sz w:val="23"/>
          <w:szCs w:val="23"/>
          <w:lang w:eastAsia="en-AU"/>
          <w14:ligatures w14:val="standardContextual"/>
        </w:rPr>
        <w:tab/>
        <w:t>return of a motor vehicle from a workshop or other place at which the vehicle has been repaired or serviced or at which alterations or additions have been made to the vehicle;</w:t>
      </w:r>
    </w:p>
    <w:p w14:paraId="1622C7D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(k)</w:t>
      </w:r>
      <w:r w:rsidRPr="002A3021">
        <w:rPr>
          <w:rFonts w:eastAsia="Times New Roman"/>
          <w:color w:val="000000"/>
          <w:sz w:val="23"/>
          <w:szCs w:val="23"/>
          <w:lang w:eastAsia="en-AU"/>
          <w14:ligatures w14:val="standardContextual"/>
        </w:rPr>
        <w:tab/>
        <w:t>delivery of a motor vehicle to a place for wrecking or disassembling;</w:t>
      </w:r>
    </w:p>
    <w:p w14:paraId="4F58653B" w14:textId="2AC30A99"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(l)</w:t>
      </w:r>
      <w:r w:rsidRPr="002A3021">
        <w:rPr>
          <w:rFonts w:eastAsia="Times New Roman"/>
          <w:color w:val="000000"/>
          <w:sz w:val="23"/>
          <w:szCs w:val="23"/>
          <w:lang w:eastAsia="en-AU"/>
          <w14:ligatures w14:val="standardContextual"/>
        </w:rPr>
        <w:tab/>
        <w:t>on</w:t>
      </w:r>
      <w:r w:rsidRPr="002A3021">
        <w:rPr>
          <w:rFonts w:eastAsia="Times New Roman"/>
          <w:color w:val="000000"/>
          <w:sz w:val="23"/>
          <w:szCs w:val="23"/>
          <w:lang w:eastAsia="en-AU"/>
          <w14:ligatures w14:val="standardContextual"/>
        </w:rPr>
        <w:noBreakHyphen/>
        <w:t>road testing of a motor vehicle in the course of repairs or servicing or the making of alterations or additions to the vehicle;</w:t>
      </w:r>
    </w:p>
    <w:p w14:paraId="177A66F4"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D306D2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(m)</w:t>
      </w:r>
      <w:r w:rsidRPr="002A3021">
        <w:rPr>
          <w:rFonts w:eastAsia="Times New Roman"/>
          <w:color w:val="000000"/>
          <w:sz w:val="23"/>
          <w:szCs w:val="23"/>
          <w:lang w:eastAsia="en-AU"/>
          <w14:ligatures w14:val="standardContextual"/>
        </w:rPr>
        <w:tab/>
        <w:t>in the case of a motor vehicle on loan by a motor vehicle repairer to the owner of a motor vehicle under repair—to enable the loan vehicle to be driven for any purpose by the owner of the vehicle under repair provided that—</w:t>
      </w:r>
    </w:p>
    <w:p w14:paraId="15D7B65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repairer does not receive any separate monetary consideration in respect of the provision of the loan vehicle; and</w:t>
      </w:r>
    </w:p>
    <w:p w14:paraId="0F7B5DF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if the loan vehicle is a commercial motor vehicle—the loan vehicle is not used to carry a load during the loan period except within the State; and</w:t>
      </w:r>
    </w:p>
    <w:p w14:paraId="0AD1445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if the loan vehicle is not a special purpose vehicle—</w:t>
      </w:r>
    </w:p>
    <w:p w14:paraId="1938B05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repairer is licensed as a dealer under the </w:t>
      </w:r>
      <w:hyperlink r:id="rId45" w:history="1">
        <w:r w:rsidRPr="002A3021">
          <w:rPr>
            <w:rFonts w:eastAsia="Times New Roman"/>
            <w:i/>
            <w:iCs/>
            <w:color w:val="000000"/>
            <w:sz w:val="23"/>
            <w:szCs w:val="23"/>
            <w:lang w:eastAsia="en-AU"/>
            <w14:ligatures w14:val="standardContextual"/>
          </w:rPr>
          <w:t>Second-hand Vehicle Dealers Act 1995</w:t>
        </w:r>
      </w:hyperlink>
      <w:r w:rsidRPr="002A3021">
        <w:rPr>
          <w:rFonts w:eastAsia="Times New Roman"/>
          <w:color w:val="000000"/>
          <w:sz w:val="23"/>
          <w:szCs w:val="23"/>
          <w:lang w:eastAsia="en-AU"/>
          <w14:ligatures w14:val="standardContextual"/>
        </w:rPr>
        <w:t>; and</w:t>
      </w:r>
    </w:p>
    <w:p w14:paraId="2ED23D3F"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loan vehicle is a second</w:t>
      </w:r>
      <w:r w:rsidRPr="002A3021">
        <w:rPr>
          <w:rFonts w:eastAsia="Times New Roman"/>
          <w:color w:val="000000"/>
          <w:sz w:val="23"/>
          <w:szCs w:val="23"/>
          <w:lang w:eastAsia="en-AU"/>
          <w14:ligatures w14:val="standardContextual"/>
        </w:rPr>
        <w:noBreakHyphen/>
        <w:t>hand vehicle that is being offered or exposed for sale by the repairer; and</w:t>
      </w:r>
    </w:p>
    <w:p w14:paraId="5284577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a notice that complies with section 16 of the </w:t>
      </w:r>
      <w:hyperlink r:id="rId46" w:history="1">
        <w:r w:rsidRPr="002A3021">
          <w:rPr>
            <w:rFonts w:eastAsia="Times New Roman"/>
            <w:i/>
            <w:iCs/>
            <w:color w:val="000000"/>
            <w:sz w:val="23"/>
            <w:szCs w:val="23"/>
            <w:lang w:eastAsia="en-AU"/>
            <w14:ligatures w14:val="standardContextual"/>
          </w:rPr>
          <w:t>Second-hand Vehicle Dealers Act 1995</w:t>
        </w:r>
      </w:hyperlink>
      <w:r w:rsidRPr="002A3021">
        <w:rPr>
          <w:rFonts w:eastAsia="Times New Roman"/>
          <w:color w:val="000000"/>
          <w:sz w:val="23"/>
          <w:szCs w:val="23"/>
          <w:lang w:eastAsia="en-AU"/>
          <w14:ligatures w14:val="standardContextual"/>
        </w:rPr>
        <w:t xml:space="preserve"> is attached to the loan vehicle;</w:t>
      </w:r>
    </w:p>
    <w:p w14:paraId="3A1CC90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(n)</w:t>
      </w:r>
      <w:r w:rsidRPr="002A3021">
        <w:rPr>
          <w:rFonts w:eastAsia="Times New Roman"/>
          <w:color w:val="000000"/>
          <w:sz w:val="23"/>
          <w:szCs w:val="23"/>
          <w:lang w:eastAsia="en-AU"/>
          <w14:ligatures w14:val="standardContextual"/>
        </w:rPr>
        <w:tab/>
        <w:t>delivery of a motor vehicle to the site of a motor show or other similar event at which the vehicle is to be on display;</w:t>
      </w:r>
    </w:p>
    <w:p w14:paraId="7D57CB2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(o)</w:t>
      </w:r>
      <w:r w:rsidRPr="002A3021">
        <w:rPr>
          <w:rFonts w:eastAsia="Times New Roman"/>
          <w:color w:val="000000"/>
          <w:sz w:val="23"/>
          <w:szCs w:val="23"/>
          <w:lang w:eastAsia="en-AU"/>
          <w14:ligatures w14:val="standardContextual"/>
        </w:rPr>
        <w:tab/>
        <w:t>return of a motor vehicle from the site of a motor show or other similar event at which the vehicle has been on display;</w:t>
      </w:r>
    </w:p>
    <w:p w14:paraId="2C18B1C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(p)</w:t>
      </w:r>
      <w:r w:rsidRPr="002A3021">
        <w:rPr>
          <w:rFonts w:eastAsia="Times New Roman"/>
          <w:color w:val="000000"/>
          <w:sz w:val="23"/>
          <w:szCs w:val="23"/>
          <w:lang w:eastAsia="en-AU"/>
          <w14:ligatures w14:val="standardContextual"/>
        </w:rPr>
        <w:tab/>
        <w:t>demonstration of the on</w:t>
      </w:r>
      <w:r w:rsidRPr="002A3021">
        <w:rPr>
          <w:rFonts w:eastAsia="Times New Roman"/>
          <w:color w:val="000000"/>
          <w:sz w:val="23"/>
          <w:szCs w:val="23"/>
          <w:lang w:eastAsia="en-AU"/>
          <w14:ligatures w14:val="standardContextual"/>
        </w:rPr>
        <w:noBreakHyphen/>
        <w:t>road performance of a motor vehicle while the vehicle is on display at a motor show or other similar event;</w:t>
      </w:r>
    </w:p>
    <w:p w14:paraId="4A69758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(q)</w:t>
      </w:r>
      <w:r w:rsidRPr="002A3021">
        <w:rPr>
          <w:rFonts w:eastAsia="Times New Roman"/>
          <w:color w:val="000000"/>
          <w:sz w:val="23"/>
          <w:szCs w:val="23"/>
          <w:lang w:eastAsia="en-AU"/>
          <w14:ligatures w14:val="standardContextual"/>
        </w:rPr>
        <w:tab/>
        <w:t xml:space="preserve">delivery of a motor vehicle to a place for inspection or examination under the Act, the </w:t>
      </w:r>
      <w:hyperlink r:id="rId47"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or any other Act or law;</w:t>
      </w:r>
    </w:p>
    <w:p w14:paraId="4ACE085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(r)</w:t>
      </w:r>
      <w:r w:rsidRPr="002A3021">
        <w:rPr>
          <w:rFonts w:eastAsia="Times New Roman"/>
          <w:color w:val="000000"/>
          <w:sz w:val="23"/>
          <w:szCs w:val="23"/>
          <w:lang w:eastAsia="en-AU"/>
          <w14:ligatures w14:val="standardContextual"/>
        </w:rPr>
        <w:tab/>
        <w:t xml:space="preserve">return of a motor vehicle from a place to which the vehicle has been taken for inspection or examination under the Act, the </w:t>
      </w:r>
      <w:hyperlink r:id="rId48"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xml:space="preserve"> or any other Act or law.</w:t>
      </w:r>
    </w:p>
    <w:p w14:paraId="5D22E51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sections 62(1) and 66 of the Act, the following purposes are prescribed in relation to a commercial motor vehicle or trailer:</w:t>
      </w:r>
    </w:p>
    <w:p w14:paraId="1EBAB9D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delivery to the site of a prescribed event of—</w:t>
      </w:r>
    </w:p>
    <w:p w14:paraId="7C78E9F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an agricultural implement, agricultural machine or any other motor vehicle that is to be on display at that site during the prescribed event; and</w:t>
      </w:r>
    </w:p>
    <w:p w14:paraId="45B56A2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any equipment to be used for the purposes of, or in conjunction with, the display of the agricultural implement, agricultural machine or other motor vehicle during the prescribed event; and</w:t>
      </w:r>
    </w:p>
    <w:p w14:paraId="5BB6FD1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any equipment, accessories or consumables for or associated with the agricultural implement, agricultural machine or other motor vehicle;</w:t>
      </w:r>
    </w:p>
    <w:p w14:paraId="1619274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return from the site of a prescribed event of—</w:t>
      </w:r>
    </w:p>
    <w:p w14:paraId="5E050EF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an agricultural implement, agricultural machine or any other motor vehicle that has been on display at that site during the prescribed event; and</w:t>
      </w:r>
    </w:p>
    <w:p w14:paraId="031CAFDE" w14:textId="47D8194C"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any equipment used for the purposes of, or in conjunction with, the display of the agricultural implement, agricultural machine or other motor vehicle during the prescribed event; and</w:t>
      </w:r>
    </w:p>
    <w:p w14:paraId="484F5B5D"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E9394B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(iii)</w:t>
      </w:r>
      <w:r w:rsidRPr="002A3021">
        <w:rPr>
          <w:rFonts w:eastAsia="Times New Roman"/>
          <w:color w:val="000000"/>
          <w:sz w:val="23"/>
          <w:szCs w:val="23"/>
          <w:lang w:eastAsia="en-AU"/>
          <w14:ligatures w14:val="standardContextual"/>
        </w:rPr>
        <w:tab/>
        <w:t>any equipment, accessories or consumables for or associated with the agricultural implement, agricultural machine or other motor vehicle.</w:t>
      </w:r>
    </w:p>
    <w:p w14:paraId="7EBD0BB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For the purposes of sections 62(1) and 66 of the Act, the following purposes are prescribed in relation to a trailer designed to carry a boat:</w:t>
      </w:r>
    </w:p>
    <w:p w14:paraId="3578721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delivery of a boat from the premises of the manufacturer of the boat to a place for storage or to business premises of a dealer or distributor of boats;</w:t>
      </w:r>
    </w:p>
    <w:p w14:paraId="68BD656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delivery of a boat from business premises of a distributor of boats to business premises of a dealer of boats;</w:t>
      </w:r>
    </w:p>
    <w:p w14:paraId="44E8B94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delivery of a boat to or from waters for demonstration to a prospective purchaser of the boat of the performance of the boat on waters;</w:t>
      </w:r>
    </w:p>
    <w:p w14:paraId="2F179E0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delivery of a boat sold by a dealer of boats to a place nominated by the purchaser of the boat (whether within or outside the State);</w:t>
      </w:r>
    </w:p>
    <w:p w14:paraId="38151FF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delivery of a boat to a workshop, boat yard or other place for repair or servicing of the boat or the making of alterations or additions to the boat;</w:t>
      </w:r>
    </w:p>
    <w:p w14:paraId="1D7943B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return of a boat from a workshop, boat yard or other place at which the boat has been repaired or serviced or at which alterations or additions have been made to the boat;</w:t>
      </w:r>
    </w:p>
    <w:p w14:paraId="50289C2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delivery of a boat to the site of a prescribed event at which the boat is to be on display;</w:t>
      </w:r>
    </w:p>
    <w:p w14:paraId="40FB4CA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(h)</w:t>
      </w:r>
      <w:r w:rsidRPr="002A3021">
        <w:rPr>
          <w:rFonts w:eastAsia="Times New Roman"/>
          <w:color w:val="000000"/>
          <w:sz w:val="23"/>
          <w:szCs w:val="23"/>
          <w:lang w:eastAsia="en-AU"/>
          <w14:ligatures w14:val="standardContextual"/>
        </w:rPr>
        <w:tab/>
        <w:t>return of a boat from the site of a prescribed event at which the boat has been on display.</w:t>
      </w:r>
    </w:p>
    <w:p w14:paraId="03B7626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0" w:name="Elkera_Print_TOC56"/>
      <w:bookmarkStart w:id="131" w:name="Elkera_Print_BK56"/>
      <w:r w:rsidRPr="002A3021">
        <w:rPr>
          <w:rFonts w:eastAsia="Times New Roman"/>
          <w:b/>
          <w:bCs/>
          <w:color w:val="000000"/>
          <w:sz w:val="26"/>
          <w:szCs w:val="26"/>
          <w:lang w:eastAsia="en-AU"/>
          <w14:ligatures w14:val="standardContextual"/>
        </w:rPr>
        <w:t>37—Trade plate label and certificate of issue of trade plate</w:t>
      </w:r>
      <w:bookmarkEnd w:id="130"/>
      <w:bookmarkEnd w:id="131"/>
    </w:p>
    <w:p w14:paraId="2D46DFD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At the time of issuing a trade plate, the Registrar must issue to the holder of the trade plate or their agent—</w:t>
      </w:r>
    </w:p>
    <w:p w14:paraId="1304F29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trade plate label; and</w:t>
      </w:r>
    </w:p>
    <w:p w14:paraId="3FDBAEB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certificate of issue of a trade plate.</w:t>
      </w:r>
    </w:p>
    <w:p w14:paraId="69CAD28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trade plate label will be in a form determined by the Registrar.</w:t>
      </w:r>
    </w:p>
    <w:p w14:paraId="24FCB29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If the Registrar is satisfied by statutory declaration or such other evidence as the Registrar may require that the label or certificate issued in respect of a trade plate has been lost or destroyed, the Registrar may, on application by the holder of the trade plate or their agent and payment of the prescribed fee, issue a duplicate label or certificate.</w:t>
      </w:r>
    </w:p>
    <w:p w14:paraId="0D5CCB6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2" w:name="Elkera_Print_TOC57"/>
      <w:bookmarkStart w:id="133" w:name="Elkera_Print_BK57"/>
      <w:r w:rsidRPr="002A3021">
        <w:rPr>
          <w:rFonts w:eastAsia="Times New Roman"/>
          <w:b/>
          <w:bCs/>
          <w:color w:val="000000"/>
          <w:sz w:val="26"/>
          <w:szCs w:val="26"/>
          <w:lang w:eastAsia="en-AU"/>
          <w14:ligatures w14:val="standardContextual"/>
        </w:rPr>
        <w:t>38—Carriage of trade plate and trade plate label</w:t>
      </w:r>
      <w:bookmarkEnd w:id="132"/>
      <w:bookmarkEnd w:id="133"/>
    </w:p>
    <w:p w14:paraId="3BF4529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 a motor vehicle is to be driven on a road pursuant to section 66 of the Act—</w:t>
      </w:r>
    </w:p>
    <w:p w14:paraId="27111D5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trade plate must be securely attached to the rear of the vehicle in such a position that the bottom edge of the plate is not less than 30 centimetres above the level of the ground; and</w:t>
      </w:r>
    </w:p>
    <w:p w14:paraId="56A0163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label issued by the Registrar in respect of the trade plate must be displayed in a waterproof holder that has a transparent front and is affixed to the plate; and</w:t>
      </w:r>
    </w:p>
    <w:p w14:paraId="5681BE0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every figure and letter on the plate and label must be—</w:t>
      </w:r>
    </w:p>
    <w:p w14:paraId="4A6428A0" w14:textId="740AD755"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legible from left to right on a plane level with the ground; and</w:t>
      </w:r>
    </w:p>
    <w:p w14:paraId="5EF3D7EE"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F77554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(ii)</w:t>
      </w:r>
      <w:r w:rsidRPr="002A3021">
        <w:rPr>
          <w:rFonts w:eastAsia="Times New Roman"/>
          <w:color w:val="000000"/>
          <w:sz w:val="23"/>
          <w:szCs w:val="23"/>
          <w:lang w:eastAsia="en-AU"/>
          <w14:ligatures w14:val="standardContextual"/>
        </w:rPr>
        <w:tab/>
        <w:t>clean and legible at all times; and</w:t>
      </w:r>
    </w:p>
    <w:p w14:paraId="20100FE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every figure and letter on the plate must be clearly visible in daylight to a person standing on the same plane as the vehicle at any point not less than 3 metres or more than 18 metres from the plate, looking at the plate along an imaginary line approximately at right angles to the plate.</w:t>
      </w:r>
    </w:p>
    <w:p w14:paraId="233F4C9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4" w:name="Elkera_Print_TOC58"/>
      <w:bookmarkStart w:id="135" w:name="Elkera_Print_BK58"/>
      <w:r w:rsidRPr="002A3021">
        <w:rPr>
          <w:rFonts w:eastAsia="Times New Roman"/>
          <w:b/>
          <w:bCs/>
          <w:color w:val="000000"/>
          <w:sz w:val="26"/>
          <w:szCs w:val="26"/>
          <w:lang w:eastAsia="en-AU"/>
          <w14:ligatures w14:val="standardContextual"/>
        </w:rPr>
        <w:t>39—Offences</w:t>
      </w:r>
      <w:bookmarkEnd w:id="134"/>
      <w:bookmarkEnd w:id="135"/>
    </w:p>
    <w:p w14:paraId="4E6AFD4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person must not—</w:t>
      </w:r>
    </w:p>
    <w:p w14:paraId="79824E6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drive or leave standing on a road a motor vehicle to which a colourable imitation of a trade plate is attached; or</w:t>
      </w:r>
    </w:p>
    <w:p w14:paraId="17068A3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drive or leave standing on a road a motor vehicle to which is affixed a trade plate that displays a colourable imitation of a trade plate label; or</w:t>
      </w:r>
    </w:p>
    <w:p w14:paraId="70F0BD2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drive or leave standing on a road a motor vehicle to which is affixed a trade plate that displays a trade plate label issued in respect of another trade plate; or</w:t>
      </w:r>
    </w:p>
    <w:p w14:paraId="5E94D628" w14:textId="77777777" w:rsidR="002A3021" w:rsidRPr="002A3021" w:rsidRDefault="002A3021" w:rsidP="002A302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without lawful excuse, have in their possession a trade plate label or an article resembling a trade plate label that is liable to be mistaken for a trade plate label.</w:t>
      </w:r>
    </w:p>
    <w:p w14:paraId="0EE8B2D9"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1021DB0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must not sell or supply trade plates without the approval of the Minister.</w:t>
      </w:r>
    </w:p>
    <w:p w14:paraId="7DDCEEEA"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1FC6708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6" w:name="Elkera_Print_TOC59"/>
      <w:bookmarkStart w:id="137" w:name="Elkera_Print_BK59"/>
      <w:r w:rsidRPr="002A3021">
        <w:rPr>
          <w:rFonts w:eastAsia="Times New Roman"/>
          <w:b/>
          <w:bCs/>
          <w:color w:val="000000"/>
          <w:sz w:val="26"/>
          <w:szCs w:val="26"/>
          <w:lang w:eastAsia="en-AU"/>
          <w14:ligatures w14:val="standardContextual"/>
        </w:rPr>
        <w:t>40—Replacement of lost trade plate</w:t>
      </w:r>
      <w:bookmarkEnd w:id="136"/>
      <w:bookmarkEnd w:id="137"/>
    </w:p>
    <w:p w14:paraId="1AD6FB7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8" w:name="idb1540087_67bf_4133_ba8f_1ac6bab4a614_1"/>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w:t>
      </w:r>
      <w:bookmarkEnd w:id="138"/>
    </w:p>
    <w:p w14:paraId="447A3F6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39" w:name="idca21f1d0_629e_45e6_8431_d4be3d7a14a2_9"/>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satisfies the Registrar that—</w:t>
      </w:r>
      <w:bookmarkEnd w:id="139"/>
    </w:p>
    <w:p w14:paraId="20DF223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 trade plate has been lost; and</w:t>
      </w:r>
    </w:p>
    <w:p w14:paraId="2B3082F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loss has been reported to a police officer; and</w:t>
      </w:r>
    </w:p>
    <w:p w14:paraId="7F1D995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the circumstances of the loss justify replacement of the plate; and</w:t>
      </w:r>
    </w:p>
    <w:p w14:paraId="2D90ADB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application for replacement of the lost plate is made to the Registrar; and</w:t>
      </w:r>
    </w:p>
    <w:p w14:paraId="2265434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the fee set out in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xml:space="preserve"> for the issue of a replacement trade plate is paid to the Registrar,</w:t>
      </w:r>
    </w:p>
    <w:p w14:paraId="21D3206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may issue a new trade plate to that person.</w:t>
      </w:r>
    </w:p>
    <w:p w14:paraId="3B8E39C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The Registrar may require an applicant for a replacement trade plate to furnish—</w:t>
      </w:r>
    </w:p>
    <w:p w14:paraId="5A4B498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statutory declaration stating the matters referred to in </w:t>
      </w:r>
      <w:hyperlink w:anchor="idca21f1d0_629e_45e6_8431_d4be3d7a14a2_9" w:history="1">
        <w:r w:rsidRPr="002A3021">
          <w:rPr>
            <w:rFonts w:eastAsia="Times New Roman"/>
            <w:color w:val="000000"/>
            <w:sz w:val="23"/>
            <w:szCs w:val="23"/>
            <w:lang w:eastAsia="en-AU"/>
            <w14:ligatures w14:val="standardContextual"/>
          </w:rPr>
          <w:t>subregulation (1)(a)</w:t>
        </w:r>
      </w:hyperlink>
      <w:r w:rsidRPr="002A3021">
        <w:rPr>
          <w:rFonts w:eastAsia="Times New Roman"/>
          <w:color w:val="000000"/>
          <w:sz w:val="23"/>
          <w:szCs w:val="23"/>
          <w:lang w:eastAsia="en-AU"/>
          <w14:ligatures w14:val="standardContextual"/>
        </w:rPr>
        <w:t>; and</w:t>
      </w:r>
    </w:p>
    <w:p w14:paraId="1550AFC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written undertaking to—</w:t>
      </w:r>
    </w:p>
    <w:p w14:paraId="53739F0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return to the Registrar the lost trade plate if it comes into the applicant's possession; or</w:t>
      </w:r>
    </w:p>
    <w:p w14:paraId="15A80165" w14:textId="00E4BE02"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inform the Registrar of and when the location of the lost trade plate becomes known to or suspected by the applicant.</w:t>
      </w:r>
    </w:p>
    <w:p w14:paraId="6259F4E4"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94A4838"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40" w:name="Elkera_Print_TOC60"/>
      <w:bookmarkStart w:id="141" w:name="Elkera_Print_BK60"/>
      <w:r w:rsidRPr="002A3021">
        <w:rPr>
          <w:rFonts w:eastAsia="Times New Roman"/>
          <w:b/>
          <w:bCs/>
          <w:color w:val="000000"/>
          <w:sz w:val="28"/>
          <w:szCs w:val="28"/>
          <w:lang w:eastAsia="en-AU"/>
          <w14:ligatures w14:val="standardContextual"/>
        </w:rPr>
        <w:lastRenderedPageBreak/>
        <w:t>Division 8—Miscellaneous</w:t>
      </w:r>
      <w:bookmarkEnd w:id="140"/>
      <w:bookmarkEnd w:id="141"/>
    </w:p>
    <w:p w14:paraId="61C185F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2" w:name="Elkera_Print_TOC62"/>
      <w:bookmarkStart w:id="143" w:name="idc2f12080_21de_4857_951c_41ff02f0c72d_1"/>
      <w:r w:rsidRPr="002A3021">
        <w:rPr>
          <w:rFonts w:eastAsia="Times New Roman"/>
          <w:b/>
          <w:bCs/>
          <w:color w:val="000000"/>
          <w:sz w:val="26"/>
          <w:szCs w:val="26"/>
          <w:lang w:eastAsia="en-AU"/>
          <w14:ligatures w14:val="standardContextual"/>
        </w:rPr>
        <w:t>41—Registration details certificate</w:t>
      </w:r>
      <w:bookmarkEnd w:id="142"/>
      <w:bookmarkEnd w:id="143"/>
    </w:p>
    <w:p w14:paraId="583CB3E9"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may—</w:t>
      </w:r>
    </w:p>
    <w:p w14:paraId="2BCEDC6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on their own initiative; or</w:t>
      </w:r>
    </w:p>
    <w:p w14:paraId="39EAC87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on application by the owner of a registered motor vehicle and payment of the prescribed fee,</w:t>
      </w:r>
    </w:p>
    <w:p w14:paraId="7F1A588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issue to the owner a certificate setting out the registered particulars of the motor vehicle and such other matters as the Registrar thinks fit.</w:t>
      </w:r>
    </w:p>
    <w:p w14:paraId="30C2E2D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4" w:name="Elkera_Print_TOC63"/>
      <w:bookmarkStart w:id="145" w:name="Elkera_Print_BK63"/>
      <w:r w:rsidRPr="002A3021">
        <w:rPr>
          <w:rFonts w:eastAsia="Times New Roman"/>
          <w:b/>
          <w:bCs/>
          <w:color w:val="000000"/>
          <w:sz w:val="26"/>
          <w:szCs w:val="26"/>
          <w:lang w:eastAsia="en-AU"/>
          <w14:ligatures w14:val="standardContextual"/>
        </w:rPr>
        <w:t>42—Prescribed documents</w:t>
      </w:r>
      <w:bookmarkEnd w:id="144"/>
      <w:bookmarkEnd w:id="145"/>
    </w:p>
    <w:p w14:paraId="3F85747A"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sections 56, 57(2) and 58(1) of the Act, a registration details certificate issued to the transferor is a prescribed document.</w:t>
      </w:r>
    </w:p>
    <w:p w14:paraId="7DD2376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sections 71A and 71B(1) of the Act, a registration details certificate is a prescribed document.</w:t>
      </w:r>
    </w:p>
    <w:p w14:paraId="04A41E0C"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6" w:name="Elkera_Print_TOC64"/>
      <w:bookmarkStart w:id="147" w:name="Elkera_Print_BK64"/>
      <w:r w:rsidRPr="002A3021">
        <w:rPr>
          <w:rFonts w:eastAsia="Times New Roman"/>
          <w:b/>
          <w:bCs/>
          <w:color w:val="000000"/>
          <w:sz w:val="26"/>
          <w:szCs w:val="26"/>
          <w:lang w:eastAsia="en-AU"/>
          <w14:ligatures w14:val="standardContextual"/>
        </w:rPr>
        <w:t>43—Carriage of permits issued under section 16 of Act</w:t>
      </w:r>
      <w:bookmarkEnd w:id="146"/>
      <w:bookmarkEnd w:id="147"/>
    </w:p>
    <w:p w14:paraId="27216BA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person driving a vehicle in respect of which a permit under section 16 of the Act has been issued must carry the permit at all times and must produce the permit immediately, either physically or electronically, if requested to do so by a police officer.</w:t>
      </w:r>
    </w:p>
    <w:p w14:paraId="482CCA5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8" w:name="Elkera_Print_TOC65"/>
      <w:bookmarkStart w:id="149" w:name="Elkera_Print_BK65"/>
      <w:r w:rsidRPr="002A3021">
        <w:rPr>
          <w:rFonts w:eastAsia="Times New Roman"/>
          <w:b/>
          <w:bCs/>
          <w:color w:val="000000"/>
          <w:sz w:val="26"/>
          <w:szCs w:val="26"/>
          <w:lang w:eastAsia="en-AU"/>
          <w14:ligatures w14:val="standardContextual"/>
        </w:rPr>
        <w:t>44—Offences</w:t>
      </w:r>
      <w:bookmarkEnd w:id="148"/>
      <w:bookmarkEnd w:id="149"/>
    </w:p>
    <w:p w14:paraId="795AC35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0" w:name="id2a7dee82_a583_4e0b_94e9_4297fd1cbbd8_3"/>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person must not drive a motor vehicle on a road while—</w:t>
      </w:r>
      <w:bookmarkEnd w:id="150"/>
    </w:p>
    <w:p w14:paraId="2A05D89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1" w:name="id6ab42997_8941_4ad0_8088_f9e32281acdb_5"/>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device is attached to the vehicle or a number plate or trade plate on the vehicle; or</w:t>
      </w:r>
      <w:bookmarkEnd w:id="151"/>
    </w:p>
    <w:p w14:paraId="3D532B5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substance is painted on or otherwise added to or made part of a number plate or trade plate on the vehicle,</w:t>
      </w:r>
    </w:p>
    <w:p w14:paraId="3AB2869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effect of which is to obscure or distort a letter or figure on a number plate or trade plate on the vehicle when the plate is viewed or photographed from any particular angle or from all angles in daylight or at night.</w:t>
      </w:r>
    </w:p>
    <w:p w14:paraId="6DE139F8"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$2 500.</w:t>
      </w:r>
    </w:p>
    <w:p w14:paraId="7479E25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In </w:t>
      </w:r>
      <w:hyperlink w:anchor="id2a7dee82_a583_4e0b_94e9_4297fd1cbbd8_3"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xml:space="preserve">, a reference to a </w:t>
      </w:r>
      <w:r w:rsidRPr="002A3021">
        <w:rPr>
          <w:rFonts w:eastAsia="Times New Roman"/>
          <w:b/>
          <w:bCs/>
          <w:i/>
          <w:iCs/>
          <w:color w:val="000000"/>
          <w:sz w:val="23"/>
          <w:szCs w:val="23"/>
          <w:lang w:eastAsia="en-AU"/>
          <w14:ligatures w14:val="standardContextual"/>
        </w:rPr>
        <w:t>number plate</w:t>
      </w:r>
      <w:r w:rsidRPr="002A3021">
        <w:rPr>
          <w:rFonts w:eastAsia="Times New Roman"/>
          <w:color w:val="000000"/>
          <w:sz w:val="23"/>
          <w:szCs w:val="23"/>
          <w:lang w:eastAsia="en-AU"/>
          <w14:ligatures w14:val="standardContextual"/>
        </w:rPr>
        <w:t xml:space="preserve"> extends to that portion of a motor vehicle on which the registered number is marked in accordance with </w:t>
      </w:r>
      <w:hyperlink w:anchor="ide0bcab7b_c497_4af0_bba4_c05926a9cc4e_0" w:history="1">
        <w:r w:rsidRPr="002A3021">
          <w:rPr>
            <w:rFonts w:eastAsia="Times New Roman"/>
            <w:color w:val="000000"/>
            <w:sz w:val="23"/>
            <w:szCs w:val="23"/>
            <w:lang w:eastAsia="en-AU"/>
            <w14:ligatures w14:val="standardContextual"/>
          </w:rPr>
          <w:t>regulation 32</w:t>
        </w:r>
      </w:hyperlink>
      <w:r w:rsidRPr="002A3021">
        <w:rPr>
          <w:rFonts w:eastAsia="Times New Roman"/>
          <w:color w:val="000000"/>
          <w:sz w:val="23"/>
          <w:szCs w:val="23"/>
          <w:lang w:eastAsia="en-AU"/>
          <w14:ligatures w14:val="standardContextual"/>
        </w:rPr>
        <w:t>.</w:t>
      </w:r>
    </w:p>
    <w:p w14:paraId="02EE12F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r>
      <w:hyperlink w:anchor="id6ab42997_8941_4ad0_8088_f9e32281acdb_5" w:history="1">
        <w:r w:rsidRPr="002A3021">
          <w:rPr>
            <w:rFonts w:eastAsia="Times New Roman"/>
            <w:color w:val="000000"/>
            <w:sz w:val="23"/>
            <w:szCs w:val="23"/>
            <w:lang w:eastAsia="en-AU"/>
            <w14:ligatures w14:val="standardContextual"/>
          </w:rPr>
          <w:t>Subregulation (1)(a)</w:t>
        </w:r>
      </w:hyperlink>
      <w:r w:rsidRPr="002A3021">
        <w:rPr>
          <w:rFonts w:eastAsia="Times New Roman"/>
          <w:color w:val="000000"/>
          <w:sz w:val="23"/>
          <w:szCs w:val="23"/>
          <w:lang w:eastAsia="en-AU"/>
          <w14:ligatures w14:val="standardContextual"/>
        </w:rPr>
        <w:t xml:space="preserve"> does not apply in relation to a motor vehicle to which a bike rack is attached if a number plate that—</w:t>
      </w:r>
    </w:p>
    <w:p w14:paraId="025AF12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conforms to the specifications and design prescribed for a number plate of a class established under section 47A of the Act for the purposes of this subregulation; and</w:t>
      </w:r>
    </w:p>
    <w:p w14:paraId="75E1B04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bears the number allotted to the vehicle under the Act,</w:t>
      </w:r>
    </w:p>
    <w:p w14:paraId="6E342EC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attached to the bike rack and displayed such that—</w:t>
      </w:r>
    </w:p>
    <w:p w14:paraId="62F2D02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whole of the number plate is visible from the rear; and</w:t>
      </w:r>
    </w:p>
    <w:p w14:paraId="18290007" w14:textId="16EF72C9"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bottom edge of the number plate is not less than 30 centimetres above the level of the ground and in such a position that every letter and figure of the registered number is upright; and</w:t>
      </w:r>
    </w:p>
    <w:p w14:paraId="7B133719"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7F2D06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(e)</w:t>
      </w:r>
      <w:r w:rsidRPr="002A3021">
        <w:rPr>
          <w:rFonts w:eastAsia="Times New Roman"/>
          <w:color w:val="000000"/>
          <w:sz w:val="23"/>
          <w:szCs w:val="23"/>
          <w:lang w:eastAsia="en-AU"/>
          <w14:ligatures w14:val="standardContextual"/>
        </w:rPr>
        <w:tab/>
        <w:t>every letter and figure on the number plate is—</w:t>
      </w:r>
    </w:p>
    <w:p w14:paraId="3932D52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legible from left to right on a plane level with the ground; and</w:t>
      </w:r>
    </w:p>
    <w:p w14:paraId="6E2897E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clean and legible at all times; and</w:t>
      </w:r>
    </w:p>
    <w:p w14:paraId="26595FF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clearly visible in daylight to a person standing on the same plane as the vehicle at any point not less than 3 metres or more than 18 metres from the plate looking at the plate along an imaginary line approximately at right angles to the plate.</w:t>
      </w:r>
    </w:p>
    <w:p w14:paraId="4DC3BD7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If a bike rack that displays a number plate is attached to a motor vehicle, a person must not drive the motor vehicle on a road while—</w:t>
      </w:r>
    </w:p>
    <w:p w14:paraId="6948F25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device is attached to the bike rack or the number plate on the bike rack; or</w:t>
      </w:r>
    </w:p>
    <w:p w14:paraId="2E8611E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substance is painted on or otherwise added to or made part of the number plate on the bike rack,</w:t>
      </w:r>
    </w:p>
    <w:p w14:paraId="686AA9E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effect of which is to obscure or distort a letter or figure on the plate when the plate is viewed or photographed from any particular angle or from all angles in daylight or at night.</w:t>
      </w:r>
    </w:p>
    <w:p w14:paraId="5F041572"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$2 500.</w:t>
      </w:r>
    </w:p>
    <w:p w14:paraId="3AB7A828"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52" w:name="Elkera_Print_TOC66"/>
      <w:bookmarkStart w:id="153" w:name="Elkera_Print_BK66"/>
      <w:r w:rsidRPr="002A3021">
        <w:rPr>
          <w:rFonts w:eastAsia="Times New Roman"/>
          <w:b/>
          <w:bCs/>
          <w:color w:val="000000"/>
          <w:sz w:val="32"/>
          <w:szCs w:val="32"/>
          <w:lang w:eastAsia="en-AU"/>
          <w14:ligatures w14:val="standardContextual"/>
        </w:rPr>
        <w:t>Part 3—Driver's licences and learner's permits</w:t>
      </w:r>
      <w:bookmarkEnd w:id="152"/>
      <w:bookmarkEnd w:id="153"/>
    </w:p>
    <w:p w14:paraId="32BAD608"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54" w:name="Elkera_Print_TOC67"/>
      <w:bookmarkStart w:id="155" w:name="Elkera_Print_BK67"/>
      <w:r w:rsidRPr="002A3021">
        <w:rPr>
          <w:rFonts w:eastAsia="Times New Roman"/>
          <w:b/>
          <w:bCs/>
          <w:color w:val="000000"/>
          <w:sz w:val="28"/>
          <w:szCs w:val="28"/>
          <w:lang w:eastAsia="en-AU"/>
          <w14:ligatures w14:val="standardContextual"/>
        </w:rPr>
        <w:t>Division 1—Classification of licences</w:t>
      </w:r>
      <w:bookmarkEnd w:id="154"/>
      <w:bookmarkEnd w:id="155"/>
    </w:p>
    <w:p w14:paraId="44B1C00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6" w:name="Elkera_Print_TOC69"/>
      <w:bookmarkStart w:id="157" w:name="ida1688342_7fc0_4b62_8b60_4177fda96588_a"/>
      <w:r w:rsidRPr="002A3021">
        <w:rPr>
          <w:rFonts w:eastAsia="Times New Roman"/>
          <w:b/>
          <w:bCs/>
          <w:color w:val="000000"/>
          <w:sz w:val="26"/>
          <w:szCs w:val="26"/>
          <w:lang w:eastAsia="en-AU"/>
          <w14:ligatures w14:val="standardContextual"/>
        </w:rPr>
        <w:t>45—Classification of licences</w:t>
      </w:r>
      <w:bookmarkEnd w:id="156"/>
      <w:bookmarkEnd w:id="157"/>
    </w:p>
    <w:p w14:paraId="7220C58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For the purposes of section 72(1) of the Act, the classifications appearing in column 1 of the table in </w:t>
      </w:r>
      <w:hyperlink w:anchor="id4cf36092_ce1d_4fd0_ae0e_a5bd69d0e404_e" w:history="1">
        <w:r w:rsidRPr="002A3021">
          <w:rPr>
            <w:rFonts w:eastAsia="Times New Roman"/>
            <w:color w:val="000000"/>
            <w:sz w:val="23"/>
            <w:szCs w:val="23"/>
            <w:lang w:eastAsia="en-AU"/>
            <w14:ligatures w14:val="standardContextual"/>
          </w:rPr>
          <w:t>Schedule 2</w:t>
        </w:r>
      </w:hyperlink>
      <w:r w:rsidRPr="002A3021">
        <w:rPr>
          <w:rFonts w:eastAsia="Times New Roman"/>
          <w:color w:val="000000"/>
          <w:sz w:val="23"/>
          <w:szCs w:val="23"/>
          <w:lang w:eastAsia="en-AU"/>
          <w14:ligatures w14:val="standardContextual"/>
        </w:rPr>
        <w:t xml:space="preserve"> are prescribed.</w:t>
      </w:r>
    </w:p>
    <w:p w14:paraId="6E47997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8" w:name="idc036435c_03a8_4df7_8af4_76caf7900401_5"/>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section 72(6) of the Act, a person who has held a driver's licence that is assigned the R</w:t>
      </w:r>
      <w:r w:rsidRPr="002A3021">
        <w:rPr>
          <w:rFonts w:eastAsia="Times New Roman"/>
          <w:color w:val="000000"/>
          <w:sz w:val="23"/>
          <w:szCs w:val="23"/>
          <w:lang w:eastAsia="en-AU"/>
          <w14:ligatures w14:val="standardContextual"/>
        </w:rPr>
        <w:noBreakHyphen/>
        <w:t>DATE classification for at least 2 years will be taken to hold a licence that is assigned the R classification.</w:t>
      </w:r>
      <w:bookmarkEnd w:id="158"/>
    </w:p>
    <w:p w14:paraId="4BD79C7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For the purposes of section 72(7) of the Act, a licence that is assigned the R classification in accordance with </w:t>
      </w:r>
      <w:hyperlink w:anchor="idc036435c_03a8_4df7_8af4_76caf7900401_5"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xml:space="preserve"> is not required to be endorsed with that classification if it is already endorsed with the R</w:t>
      </w:r>
      <w:r w:rsidRPr="002A3021">
        <w:rPr>
          <w:rFonts w:eastAsia="Times New Roman"/>
          <w:color w:val="000000"/>
          <w:sz w:val="23"/>
          <w:szCs w:val="23"/>
          <w:lang w:eastAsia="en-AU"/>
          <w14:ligatures w14:val="standardContextual"/>
        </w:rPr>
        <w:noBreakHyphen/>
        <w:t>DATE classification.</w:t>
      </w:r>
    </w:p>
    <w:p w14:paraId="299B1FAF"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59" w:name="Elkera_Print_TOC70"/>
      <w:bookmarkStart w:id="160" w:name="Elkera_Print_BK70"/>
      <w:r w:rsidRPr="002A3021">
        <w:rPr>
          <w:rFonts w:eastAsia="Times New Roman"/>
          <w:b/>
          <w:bCs/>
          <w:color w:val="000000"/>
          <w:sz w:val="28"/>
          <w:szCs w:val="28"/>
          <w:lang w:eastAsia="en-AU"/>
          <w14:ligatures w14:val="standardContextual"/>
        </w:rPr>
        <w:t>Division 2—Driver's licences and learner's permits</w:t>
      </w:r>
      <w:bookmarkEnd w:id="159"/>
      <w:bookmarkEnd w:id="160"/>
    </w:p>
    <w:p w14:paraId="3F1B3FDC"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1" w:name="Elkera_Print_TOC71"/>
      <w:bookmarkStart w:id="162" w:name="Elkera_Print_BK71"/>
      <w:r w:rsidRPr="002A3021">
        <w:rPr>
          <w:rFonts w:eastAsia="Times New Roman"/>
          <w:b/>
          <w:bCs/>
          <w:color w:val="000000"/>
          <w:sz w:val="26"/>
          <w:szCs w:val="26"/>
          <w:lang w:eastAsia="en-AU"/>
          <w14:ligatures w14:val="standardContextual"/>
        </w:rPr>
        <w:t>46—Exemptions from certain requirements for qualified supervising drivers</w:t>
      </w:r>
      <w:bookmarkEnd w:id="161"/>
      <w:bookmarkEnd w:id="162"/>
    </w:p>
    <w:p w14:paraId="136DB91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person to whom this regulation applies is exempted from the requirement specified in section 72A(1)(b) of the Act that the person must, in order to act as a qualified supervising driver for the holder of a licence or permit, have held a licence referred to in that paragraph during the whole of the immediately preceding 2 year period.</w:t>
      </w:r>
    </w:p>
    <w:p w14:paraId="7363270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This regulation applies to a person if—</w:t>
      </w:r>
    </w:p>
    <w:p w14:paraId="3DDC6EA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w:t>
      </w:r>
    </w:p>
    <w:p w14:paraId="4C8D473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has not held the relevant licence during the whole of the immediately preceding 2 year period only because the licence expired during that period; and</w:t>
      </w:r>
    </w:p>
    <w:p w14:paraId="62F3022B" w14:textId="60B78858"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renewed the licence within 3 months of that expiry; and</w:t>
      </w:r>
    </w:p>
    <w:p w14:paraId="7BF67B05"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FA71400"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(iii)</w:t>
      </w:r>
      <w:r w:rsidRPr="002A3021">
        <w:rPr>
          <w:rFonts w:eastAsia="Times New Roman"/>
          <w:color w:val="000000"/>
          <w:sz w:val="23"/>
          <w:szCs w:val="23"/>
          <w:lang w:eastAsia="en-AU"/>
          <w14:ligatures w14:val="standardContextual"/>
        </w:rPr>
        <w:tab/>
        <w:t>has held the relevant licence for periods totalling at least 2 years (excluding any period between the expiry of the licence and the date of its renewal); or</w:t>
      </w:r>
    </w:p>
    <w:p w14:paraId="67B6F87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person holds the relevant licence and is ordinarily resident in a remote area (as defined in section 98AAG of the Act).</w:t>
      </w:r>
    </w:p>
    <w:p w14:paraId="7166334F"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3" w:name="Elkera_Print_TOC72"/>
      <w:bookmarkStart w:id="164" w:name="Elkera_Print_BK72"/>
      <w:r w:rsidRPr="002A3021">
        <w:rPr>
          <w:rFonts w:eastAsia="Times New Roman"/>
          <w:b/>
          <w:bCs/>
          <w:color w:val="000000"/>
          <w:sz w:val="26"/>
          <w:szCs w:val="26"/>
          <w:lang w:eastAsia="en-AU"/>
          <w14:ligatures w14:val="standardContextual"/>
        </w:rPr>
        <w:t>47—Duty of applicant for licence or permit to supply specimen signature etc</w:t>
      </w:r>
      <w:bookmarkEnd w:id="163"/>
      <w:bookmarkEnd w:id="164"/>
    </w:p>
    <w:p w14:paraId="78CB4E3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w:t>
      </w:r>
    </w:p>
    <w:p w14:paraId="2A8573C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applies for the issue or renewal of a driver's licence or learner's permit; and</w:t>
      </w:r>
    </w:p>
    <w:p w14:paraId="5CB71EE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licence or permit is to include a photograph of the person and a specimen of the person's signature; and</w:t>
      </w:r>
    </w:p>
    <w:p w14:paraId="7829C26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Registrar requires the person to attend at a specified place for the purpose of having the person's photograph taken,</w:t>
      </w:r>
    </w:p>
    <w:p w14:paraId="75131F7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person must, before having their photograph taken, supply the Registrar with 1 or more specimens of the person's signature, as specified by the Registrar.</w:t>
      </w:r>
    </w:p>
    <w:p w14:paraId="79AAE76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If—</w:t>
      </w:r>
    </w:p>
    <w:p w14:paraId="2C7D40A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applies for the issue or renewal of a driver's licence or learner's permit; and</w:t>
      </w:r>
    </w:p>
    <w:p w14:paraId="5C260A7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licence or permit is to include a photograph of the person and a specimen of the person's signature; and</w:t>
      </w:r>
    </w:p>
    <w:p w14:paraId="3A6CD2E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Registrar requires the person to supply to the Registrar 1 or more photographs of the person,</w:t>
      </w:r>
    </w:p>
    <w:p w14:paraId="7BE4711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person must, at the time of supplying the photographs to the Registrar, also supply the Registrar with 1 or more specimens of the person's signature, as specified by the Registrar.</w:t>
      </w:r>
    </w:p>
    <w:p w14:paraId="05D3528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If a person applies for the issue or renewal of a driver's licence or learner's permit that is not to bear a photograph of the person, the person must sign the licence or permit as soon as practicable after receiving it.</w:t>
      </w:r>
    </w:p>
    <w:p w14:paraId="1711D08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5" w:name="Elkera_Print_TOC73"/>
      <w:bookmarkStart w:id="166" w:name="Elkera_Print_BK73"/>
      <w:r w:rsidRPr="002A3021">
        <w:rPr>
          <w:rFonts w:eastAsia="Times New Roman"/>
          <w:b/>
          <w:bCs/>
          <w:color w:val="000000"/>
          <w:sz w:val="26"/>
          <w:szCs w:val="26"/>
          <w:lang w:eastAsia="en-AU"/>
          <w14:ligatures w14:val="standardContextual"/>
        </w:rPr>
        <w:t>48—Use of photographs by Registrar under section 77BA(2)(e) of Act</w:t>
      </w:r>
      <w:bookmarkEnd w:id="165"/>
      <w:bookmarkEnd w:id="166"/>
    </w:p>
    <w:p w14:paraId="21786E9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Photographs to which section 77BA of the Act applies may be used by the Registrar to conduct comparisons using a facial recognition system—</w:t>
      </w:r>
    </w:p>
    <w:p w14:paraId="2437FB5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to assist in determining whether the quality of the photographs is adequate for the photographs to be included in the register of licences; or</w:t>
      </w:r>
    </w:p>
    <w:p w14:paraId="12B0FF1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to assist in determining whether a person’s photograph has been taken and recorded using more than 1 identity; or</w:t>
      </w:r>
    </w:p>
    <w:p w14:paraId="2B36AC5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to assist in determining whether a person who is applying for, or has applied for, the issue or renewal of a licence or learner's permit already holds a licence or learner's permit; or</w:t>
      </w:r>
    </w:p>
    <w:p w14:paraId="6B7F163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to assist in determining whether a person who is applying for, or has applied for, the issue of a duplicate licence or learner's permit has already been issued a duplicate licence or learner's permit; or</w:t>
      </w:r>
    </w:p>
    <w:p w14:paraId="05834EA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for any other purpose connected with the administration or enforcement of the Act.</w:t>
      </w:r>
    </w:p>
    <w:p w14:paraId="196D82C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Photographs to which section 77BA of the Act applies may be used by the Registrar—</w:t>
      </w:r>
    </w:p>
    <w:p w14:paraId="193F273F" w14:textId="29593789"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for inclusion on a motor driving instructor's licence; or</w:t>
      </w:r>
    </w:p>
    <w:p w14:paraId="5EB4412F"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6D167A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for inclusion on a towtruck certificate; or</w:t>
      </w:r>
    </w:p>
    <w:p w14:paraId="4A81CA8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to assist in determining the identity of a person applying for—</w:t>
      </w:r>
    </w:p>
    <w:p w14:paraId="70448A7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issue of a motor driving instructor's licence; or</w:t>
      </w:r>
    </w:p>
    <w:p w14:paraId="1080F21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issue of a duplicate motor driving instructor's licence; or</w:t>
      </w:r>
    </w:p>
    <w:p w14:paraId="3DD5182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the issue of a towtruck certificate; or</w:t>
      </w:r>
    </w:p>
    <w:p w14:paraId="330D67C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the issue of a duplicate towtruck certificate.</w:t>
      </w:r>
    </w:p>
    <w:p w14:paraId="24538A6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In this regulation—</w:t>
      </w:r>
    </w:p>
    <w:p w14:paraId="33F03E1F"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facial recognition system</w:t>
      </w:r>
      <w:r w:rsidRPr="002A3021">
        <w:rPr>
          <w:rFonts w:eastAsia="Times New Roman"/>
          <w:color w:val="000000"/>
          <w:sz w:val="23"/>
          <w:szCs w:val="23"/>
          <w:lang w:eastAsia="en-AU"/>
          <w14:ligatures w14:val="standardContextual"/>
        </w:rPr>
        <w:t xml:space="preserve"> means a computer software application that uses biometric technology to identify a person or verify a person's identity by comparison of digital images of human faces using various facial features (such as a person's eyes, nose and mouth) as points of comparison;</w:t>
      </w:r>
    </w:p>
    <w:p w14:paraId="228BFC6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register of licences</w:t>
      </w:r>
      <w:r w:rsidRPr="002A3021">
        <w:rPr>
          <w:rFonts w:eastAsia="Times New Roman"/>
          <w:color w:val="000000"/>
          <w:sz w:val="23"/>
          <w:szCs w:val="23"/>
          <w:lang w:eastAsia="en-AU"/>
          <w14:ligatures w14:val="standardContextual"/>
        </w:rPr>
        <w:t xml:space="preserve"> means the register of licences under section 73 of the Act.</w:t>
      </w:r>
    </w:p>
    <w:p w14:paraId="6F5F171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7" w:name="Elkera_Print_TOC74"/>
      <w:bookmarkStart w:id="168" w:name="Elkera_Print_BK74"/>
      <w:r w:rsidRPr="002A3021">
        <w:rPr>
          <w:rFonts w:eastAsia="Times New Roman"/>
          <w:b/>
          <w:bCs/>
          <w:color w:val="000000"/>
          <w:sz w:val="26"/>
          <w:szCs w:val="26"/>
          <w:lang w:eastAsia="en-AU"/>
          <w14:ligatures w14:val="standardContextual"/>
        </w:rPr>
        <w:t>49—Exemptions from duty to hold licence, learner's permit or particular class of licence</w:t>
      </w:r>
      <w:bookmarkEnd w:id="167"/>
      <w:bookmarkEnd w:id="168"/>
    </w:p>
    <w:p w14:paraId="2E06C4F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police officer who holds a driver's licence may, in the course of official duties, drive a motor vehicle of a class other than that for which they hold a licence in circumstances of emergency.</w:t>
      </w:r>
    </w:p>
    <w:p w14:paraId="54BF4DA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69" w:name="idb6a77468_1d8f_447e_8515_dbf1470e85c5_a"/>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If a person who holds a designated licence—</w:t>
      </w:r>
      <w:bookmarkEnd w:id="169"/>
    </w:p>
    <w:p w14:paraId="4A1337F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employed at a motor vehicle related workplace; and</w:t>
      </w:r>
    </w:p>
    <w:p w14:paraId="5E57DED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required to drive an ultra high powered vehicle on a road in the course of their employment,</w:t>
      </w:r>
    </w:p>
    <w:p w14:paraId="6C0BE611"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person may drive an ultra high powered vehicle as so required.</w:t>
      </w:r>
    </w:p>
    <w:p w14:paraId="1F861AD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A person who holds a designated licence may, for the purpose of test driving an ultra high powered vehicle from a motor vehicle dealer, drive the ultra high powered vehicle on a road if, for the duration of the test drive—</w:t>
      </w:r>
    </w:p>
    <w:p w14:paraId="76C00C3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 is accompanied by an employee of the dealer who holds a licence that is assigned the U classification; and</w:t>
      </w:r>
    </w:p>
    <w:p w14:paraId="40A13B4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employee occupies a seat in the vehicle next to the person; and</w:t>
      </w:r>
    </w:p>
    <w:p w14:paraId="046AD29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person does not drive the vehicle at a speed exceeding 100 kilometres an hour.</w:t>
      </w:r>
    </w:p>
    <w:p w14:paraId="111E3B4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If a person holds a driver's licence or is, under section 97A of the Act, permitted to drive a motor vehicle on roads in this State pursuant to an interstate licence or foreign licence, the person may drive a moped on roads in this State without holding a licence endorsed with the classification R</w:t>
      </w:r>
      <w:r w:rsidRPr="002A3021">
        <w:rPr>
          <w:rFonts w:eastAsia="Times New Roman"/>
          <w:color w:val="000000"/>
          <w:sz w:val="23"/>
          <w:szCs w:val="23"/>
          <w:lang w:eastAsia="en-AU"/>
          <w14:ligatures w14:val="standardContextual"/>
        </w:rPr>
        <w:noBreakHyphen/>
        <w:t>DATE.</w:t>
      </w:r>
    </w:p>
    <w:p w14:paraId="4FD6059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A person may drive an electric personal transporter without holding a driver's licence or learner's permit.</w:t>
      </w:r>
    </w:p>
    <w:p w14:paraId="60A22F8D" w14:textId="3E55D756"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(6)</w:t>
      </w:r>
      <w:r w:rsidRPr="002A3021">
        <w:rPr>
          <w:rFonts w:eastAsia="Times New Roman"/>
          <w:color w:val="000000"/>
          <w:sz w:val="23"/>
          <w:szCs w:val="23"/>
          <w:lang w:eastAsia="en-AU"/>
          <w14:ligatures w14:val="standardContextual"/>
        </w:rPr>
        <w:tab/>
        <w:t>A person may drive a self</w:t>
      </w:r>
      <w:r w:rsidRPr="002A3021">
        <w:rPr>
          <w:rFonts w:eastAsia="Times New Roman"/>
          <w:color w:val="000000"/>
          <w:sz w:val="23"/>
          <w:szCs w:val="23"/>
          <w:lang w:eastAsia="en-AU"/>
          <w14:ligatures w14:val="standardContextual"/>
        </w:rPr>
        <w:noBreakHyphen/>
        <w:t xml:space="preserve">propelled wheelchair or a motor vehicle of a class prescribed by </w:t>
      </w:r>
      <w:hyperlink w:anchor="id3e11f0a1_98d2_4e5d_b868_3c875283cbe8_6" w:history="1">
        <w:r w:rsidRPr="002A3021">
          <w:rPr>
            <w:rFonts w:eastAsia="Times New Roman"/>
            <w:color w:val="000000"/>
            <w:sz w:val="23"/>
            <w:szCs w:val="23"/>
            <w:lang w:eastAsia="en-AU"/>
            <w14:ligatures w14:val="standardContextual"/>
          </w:rPr>
          <w:t>regulation 8</w:t>
        </w:r>
      </w:hyperlink>
      <w:r w:rsidRPr="002A3021">
        <w:rPr>
          <w:rFonts w:eastAsia="Times New Roman"/>
          <w:color w:val="000000"/>
          <w:sz w:val="23"/>
          <w:szCs w:val="23"/>
          <w:lang w:eastAsia="en-AU"/>
          <w14:ligatures w14:val="standardContextual"/>
        </w:rPr>
        <w:t xml:space="preserve"> for the purposes of section 12A(1) of the Act without holding a driver's licence or learner's permit if the person reasonably requires the use of the wheelchair or vehicle because of some physical infirmity.</w:t>
      </w:r>
    </w:p>
    <w:p w14:paraId="7E32D7C7"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907140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(7)</w:t>
      </w:r>
      <w:r w:rsidRPr="002A3021">
        <w:rPr>
          <w:rFonts w:eastAsia="Times New Roman"/>
          <w:color w:val="000000"/>
          <w:sz w:val="23"/>
          <w:szCs w:val="23"/>
          <w:lang w:eastAsia="en-AU"/>
          <w14:ligatures w14:val="standardContextual"/>
        </w:rPr>
        <w:tab/>
        <w:t>A person may drive a motor bike without holding a driver's licence or learner's permit authorising the driving of a motor bike if—</w:t>
      </w:r>
    </w:p>
    <w:p w14:paraId="2F99432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 is driving the motor bike in the course of undertaking a pre</w:t>
      </w:r>
      <w:r w:rsidRPr="002A3021">
        <w:rPr>
          <w:rFonts w:eastAsia="Times New Roman"/>
          <w:color w:val="000000"/>
          <w:sz w:val="23"/>
          <w:szCs w:val="23"/>
          <w:lang w:eastAsia="en-AU"/>
          <w14:ligatures w14:val="standardContextual"/>
        </w:rPr>
        <w:noBreakHyphen/>
        <w:t>learner's permit motor bike training course; and</w:t>
      </w:r>
    </w:p>
    <w:p w14:paraId="25B17EB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plate bearing the letter "L" (an </w:t>
      </w:r>
      <w:r w:rsidRPr="002A3021">
        <w:rPr>
          <w:rFonts w:eastAsia="Times New Roman"/>
          <w:b/>
          <w:bCs/>
          <w:i/>
          <w:iCs/>
          <w:color w:val="000000"/>
          <w:sz w:val="23"/>
          <w:szCs w:val="23"/>
          <w:lang w:eastAsia="en-AU"/>
          <w14:ligatures w14:val="standardContextual"/>
        </w:rPr>
        <w:t>L plate</w:t>
      </w:r>
      <w:r w:rsidRPr="002A3021">
        <w:rPr>
          <w:rFonts w:eastAsia="Times New Roman"/>
          <w:color w:val="000000"/>
          <w:sz w:val="23"/>
          <w:szCs w:val="23"/>
          <w:lang w:eastAsia="en-AU"/>
          <w14:ligatures w14:val="standardContextual"/>
        </w:rPr>
        <w:t xml:space="preserve">) that complies with the requirements set out in </w:t>
      </w:r>
      <w:hyperlink w:anchor="id0f616845_9a2e_41ce_8bff_27d4ee1ad9" w:history="1">
        <w:r w:rsidRPr="002A3021">
          <w:rPr>
            <w:rFonts w:eastAsia="Times New Roman"/>
            <w:color w:val="000000"/>
            <w:sz w:val="23"/>
            <w:szCs w:val="23"/>
            <w:lang w:eastAsia="en-AU"/>
            <w14:ligatures w14:val="standardContextual"/>
          </w:rPr>
          <w:t>regulation 64(1)(b)</w:t>
        </w:r>
      </w:hyperlink>
      <w:r w:rsidRPr="002A3021">
        <w:rPr>
          <w:rFonts w:eastAsia="Times New Roman"/>
          <w:color w:val="000000"/>
          <w:sz w:val="23"/>
          <w:szCs w:val="23"/>
          <w:lang w:eastAsia="en-AU"/>
          <w14:ligatures w14:val="standardContextual"/>
        </w:rPr>
        <w:t xml:space="preserve"> is displayed at, and is clearly visible from, the rear of the motor bike; and</w:t>
      </w:r>
    </w:p>
    <w:p w14:paraId="2556122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person, in the course of driving the motor bike, complies with any other requirements of the Registrar.</w:t>
      </w:r>
    </w:p>
    <w:p w14:paraId="7202874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0" w:name="id830f2b74_eda7_423d_bbcc_ee716665dc81_d"/>
      <w:r w:rsidRPr="002A3021">
        <w:rPr>
          <w:rFonts w:eastAsia="Times New Roman"/>
          <w:color w:val="000000"/>
          <w:sz w:val="23"/>
          <w:szCs w:val="23"/>
          <w:lang w:eastAsia="en-AU"/>
          <w14:ligatures w14:val="standardContextual"/>
        </w:rPr>
        <w:tab/>
        <w:t>(8)</w:t>
      </w:r>
      <w:r w:rsidRPr="002A3021">
        <w:rPr>
          <w:rFonts w:eastAsia="Times New Roman"/>
          <w:color w:val="000000"/>
          <w:sz w:val="23"/>
          <w:szCs w:val="23"/>
          <w:lang w:eastAsia="en-AU"/>
          <w14:ligatures w14:val="standardContextual"/>
        </w:rPr>
        <w:tab/>
        <w:t>A person may drive a motor home on roads in this State without holding a driver's licence under the Act if—</w:t>
      </w:r>
      <w:bookmarkEnd w:id="170"/>
    </w:p>
    <w:p w14:paraId="660CA25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 holds a foreign licence, written in English or accompanied by an English translation, authorising the person to drive a motor vehicle with a GVM not exceeding 3.5 tonnes; or</w:t>
      </w:r>
    </w:p>
    <w:p w14:paraId="0DBC745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person holds—</w:t>
      </w:r>
    </w:p>
    <w:p w14:paraId="11C70E50"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 foreign licence authorising the person to drive a motor vehicle with a GVM not exceeding 3.5 tonnes; and</w:t>
      </w:r>
    </w:p>
    <w:p w14:paraId="1C7CC01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an international driving permit.</w:t>
      </w:r>
    </w:p>
    <w:p w14:paraId="78E238E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(9)</w:t>
      </w:r>
      <w:r w:rsidRPr="002A3021">
        <w:rPr>
          <w:rFonts w:eastAsia="Times New Roman"/>
          <w:color w:val="000000"/>
          <w:sz w:val="23"/>
          <w:szCs w:val="23"/>
          <w:lang w:eastAsia="en-AU"/>
          <w14:ligatures w14:val="standardContextual"/>
        </w:rPr>
        <w:tab/>
        <w:t xml:space="preserve">However, </w:t>
      </w:r>
      <w:hyperlink w:anchor="id830f2b74_eda7_423d_bbcc_ee716665dc81_d" w:history="1">
        <w:r w:rsidRPr="002A3021">
          <w:rPr>
            <w:rFonts w:eastAsia="Times New Roman"/>
            <w:color w:val="000000"/>
            <w:sz w:val="23"/>
            <w:szCs w:val="23"/>
            <w:lang w:eastAsia="en-AU"/>
            <w14:ligatures w14:val="standardContextual"/>
          </w:rPr>
          <w:t>subregulation (8)</w:t>
        </w:r>
      </w:hyperlink>
      <w:r w:rsidRPr="002A3021">
        <w:rPr>
          <w:rFonts w:eastAsia="Times New Roman"/>
          <w:color w:val="000000"/>
          <w:sz w:val="23"/>
          <w:szCs w:val="23"/>
          <w:lang w:eastAsia="en-AU"/>
          <w14:ligatures w14:val="standardContextual"/>
        </w:rPr>
        <w:t xml:space="preserve"> does not apply if—</w:t>
      </w:r>
    </w:p>
    <w:p w14:paraId="19AEBEA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 is disqualified from holding or obtaining an interstate licence in any State or Territory of the Commonwealth; or</w:t>
      </w:r>
    </w:p>
    <w:p w14:paraId="5FD3FAE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person is disqualified from holding or obtaining a foreign licence in any country; or</w:t>
      </w:r>
    </w:p>
    <w:p w14:paraId="624E717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person has resided in this State for a continuous period of more than 3 months and is a permanent resident or citizen of Australia; or</w:t>
      </w:r>
    </w:p>
    <w:p w14:paraId="76650AB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person's foreign licence only authorises the person to drive a motor bike, motor trike, moped, motorised wheelchair or other vehicle that is not a motor car; or</w:t>
      </w:r>
    </w:p>
    <w:p w14:paraId="1D584EA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a notice under </w:t>
      </w:r>
      <w:hyperlink w:anchor="id37ea6c34_ca07_48c4_a69e_9585fecbf3d1_6" w:history="1">
        <w:r w:rsidRPr="002A3021">
          <w:rPr>
            <w:rFonts w:eastAsia="Times New Roman"/>
            <w:color w:val="000000"/>
            <w:sz w:val="23"/>
            <w:szCs w:val="23"/>
            <w:lang w:eastAsia="en-AU"/>
            <w14:ligatures w14:val="standardContextual"/>
          </w:rPr>
          <w:t>subregulation (10)</w:t>
        </w:r>
      </w:hyperlink>
      <w:r w:rsidRPr="002A3021">
        <w:rPr>
          <w:rFonts w:eastAsia="Times New Roman"/>
          <w:color w:val="000000"/>
          <w:sz w:val="23"/>
          <w:szCs w:val="23"/>
          <w:lang w:eastAsia="en-AU"/>
          <w14:ligatures w14:val="standardContextual"/>
        </w:rPr>
        <w:t xml:space="preserve"> is in force in relation to the person.</w:t>
      </w:r>
    </w:p>
    <w:p w14:paraId="5FCDCCB5"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1" w:name="id37ea6c34_ca07_48c4_a69e_9585fecbf3d1_6"/>
      <w:r w:rsidRPr="002A3021">
        <w:rPr>
          <w:rFonts w:eastAsia="Times New Roman"/>
          <w:color w:val="000000"/>
          <w:sz w:val="23"/>
          <w:szCs w:val="23"/>
          <w:lang w:eastAsia="en-AU"/>
          <w14:ligatures w14:val="standardContextual"/>
        </w:rPr>
        <w:tab/>
        <w:t>(10)</w:t>
      </w:r>
      <w:r w:rsidRPr="002A3021">
        <w:rPr>
          <w:rFonts w:eastAsia="Times New Roman"/>
          <w:color w:val="000000"/>
          <w:sz w:val="23"/>
          <w:szCs w:val="23"/>
          <w:lang w:eastAsia="en-AU"/>
          <w14:ligatures w14:val="standardContextual"/>
        </w:rPr>
        <w:tab/>
        <w:t>If the Registrar is of the opinion that—</w:t>
      </w:r>
      <w:bookmarkEnd w:id="171"/>
    </w:p>
    <w:p w14:paraId="7533218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person to whom </w:t>
      </w:r>
      <w:hyperlink w:anchor="id830f2b74_eda7_423d_bbcc_ee716665dc81_d" w:history="1">
        <w:r w:rsidRPr="002A3021">
          <w:rPr>
            <w:rFonts w:eastAsia="Times New Roman"/>
            <w:color w:val="000000"/>
            <w:sz w:val="23"/>
            <w:szCs w:val="23"/>
            <w:lang w:eastAsia="en-AU"/>
            <w14:ligatures w14:val="standardContextual"/>
          </w:rPr>
          <w:t>subregulation (8)</w:t>
        </w:r>
      </w:hyperlink>
      <w:r w:rsidRPr="002A3021">
        <w:rPr>
          <w:rFonts w:eastAsia="Times New Roman"/>
          <w:color w:val="000000"/>
          <w:sz w:val="23"/>
          <w:szCs w:val="23"/>
          <w:lang w:eastAsia="en-AU"/>
          <w14:ligatures w14:val="standardContextual"/>
        </w:rPr>
        <w:t xml:space="preserve"> applies is not suitable to drive a motor home in this State; or</w:t>
      </w:r>
    </w:p>
    <w:p w14:paraId="4599455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ability of a person to whom </w:t>
      </w:r>
      <w:hyperlink w:anchor="id830f2b74_eda7_423d_bbcc_ee716665dc81_d" w:history="1">
        <w:r w:rsidRPr="002A3021">
          <w:rPr>
            <w:rFonts w:eastAsia="Times New Roman"/>
            <w:color w:val="000000"/>
            <w:sz w:val="23"/>
            <w:szCs w:val="23"/>
            <w:lang w:eastAsia="en-AU"/>
            <w14:ligatures w14:val="standardContextual"/>
          </w:rPr>
          <w:t>subregulation (8)</w:t>
        </w:r>
      </w:hyperlink>
      <w:r w:rsidRPr="002A3021">
        <w:rPr>
          <w:rFonts w:eastAsia="Times New Roman"/>
          <w:color w:val="000000"/>
          <w:sz w:val="23"/>
          <w:szCs w:val="23"/>
          <w:lang w:eastAsia="en-AU"/>
          <w14:ligatures w14:val="standardContextual"/>
        </w:rPr>
        <w:t xml:space="preserve"> applies to drive a motor home safely is impaired due to a permanent or long term injury or illness,</w:t>
      </w:r>
    </w:p>
    <w:p w14:paraId="24057DE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may give the person notice in writing—</w:t>
      </w:r>
    </w:p>
    <w:p w14:paraId="01BC17A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prohibiting the person from driving a motor home on roads in this State without holding a driver's licence issued under the Act while the notice is in force; and</w:t>
      </w:r>
    </w:p>
    <w:p w14:paraId="27E5455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stating the reasons for the giving of the notice; and</w:t>
      </w:r>
    </w:p>
    <w:p w14:paraId="21A2710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specifying any action that may be taken by the person to regain the benefit of </w:t>
      </w:r>
      <w:hyperlink w:anchor="id830f2b74_eda7_423d_bbcc_ee716665dc81_d" w:history="1">
        <w:r w:rsidRPr="002A3021">
          <w:rPr>
            <w:rFonts w:eastAsia="Times New Roman"/>
            <w:color w:val="000000"/>
            <w:sz w:val="23"/>
            <w:szCs w:val="23"/>
            <w:lang w:eastAsia="en-AU"/>
            <w14:ligatures w14:val="standardContextual"/>
          </w:rPr>
          <w:t>subregulation (8)</w:t>
        </w:r>
      </w:hyperlink>
      <w:r w:rsidRPr="002A3021">
        <w:rPr>
          <w:rFonts w:eastAsia="Times New Roman"/>
          <w:color w:val="000000"/>
          <w:sz w:val="23"/>
          <w:szCs w:val="23"/>
          <w:lang w:eastAsia="en-AU"/>
          <w14:ligatures w14:val="standardContextual"/>
        </w:rPr>
        <w:t>.</w:t>
      </w:r>
    </w:p>
    <w:p w14:paraId="6FD7EB04" w14:textId="0FA96B1F"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(11)</w:t>
      </w:r>
      <w:r w:rsidRPr="002A3021">
        <w:rPr>
          <w:rFonts w:eastAsia="Times New Roman"/>
          <w:color w:val="000000"/>
          <w:sz w:val="23"/>
          <w:szCs w:val="23"/>
          <w:lang w:eastAsia="en-AU"/>
          <w14:ligatures w14:val="standardContextual"/>
        </w:rPr>
        <w:tab/>
        <w:t xml:space="preserve">The Registrar may revoke a notice under </w:t>
      </w:r>
      <w:hyperlink w:anchor="id37ea6c34_ca07_48c4_a69e_9585fecbf3d1_6" w:history="1">
        <w:r w:rsidRPr="002A3021">
          <w:rPr>
            <w:rFonts w:eastAsia="Times New Roman"/>
            <w:color w:val="000000"/>
            <w:sz w:val="23"/>
            <w:szCs w:val="23"/>
            <w:lang w:eastAsia="en-AU"/>
            <w14:ligatures w14:val="standardContextual"/>
          </w:rPr>
          <w:t>subregulation (10)</w:t>
        </w:r>
      </w:hyperlink>
      <w:r w:rsidRPr="002A3021">
        <w:rPr>
          <w:rFonts w:eastAsia="Times New Roman"/>
          <w:color w:val="000000"/>
          <w:sz w:val="23"/>
          <w:szCs w:val="23"/>
          <w:lang w:eastAsia="en-AU"/>
          <w14:ligatures w14:val="standardContextual"/>
        </w:rPr>
        <w:t xml:space="preserve"> by further notice to the person.</w:t>
      </w:r>
    </w:p>
    <w:p w14:paraId="717F309E"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95FFCD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(12)</w:t>
      </w:r>
      <w:r w:rsidRPr="002A3021">
        <w:rPr>
          <w:rFonts w:eastAsia="Times New Roman"/>
          <w:color w:val="000000"/>
          <w:sz w:val="23"/>
          <w:szCs w:val="23"/>
          <w:lang w:eastAsia="en-AU"/>
          <w14:ligatures w14:val="standardContextual"/>
        </w:rPr>
        <w:tab/>
        <w:t xml:space="preserve">A person must, while driving a motor home on roads in this State under </w:t>
      </w:r>
      <w:hyperlink w:anchor="id830f2b74_eda7_423d_bbcc_ee716665dc81_d" w:history="1">
        <w:r w:rsidRPr="002A3021">
          <w:rPr>
            <w:rFonts w:eastAsia="Times New Roman"/>
            <w:color w:val="000000"/>
            <w:sz w:val="23"/>
            <w:szCs w:val="23"/>
            <w:lang w:eastAsia="en-AU"/>
            <w14:ligatures w14:val="standardContextual"/>
          </w:rPr>
          <w:t>subregulation (8)</w:t>
        </w:r>
      </w:hyperlink>
      <w:r w:rsidRPr="002A3021">
        <w:rPr>
          <w:rFonts w:eastAsia="Times New Roman"/>
          <w:color w:val="000000"/>
          <w:sz w:val="23"/>
          <w:szCs w:val="23"/>
          <w:lang w:eastAsia="en-AU"/>
          <w14:ligatures w14:val="standardContextual"/>
        </w:rPr>
        <w:t>—</w:t>
      </w:r>
    </w:p>
    <w:p w14:paraId="02740F8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carry their—</w:t>
      </w:r>
    </w:p>
    <w:p w14:paraId="3984DA8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foreign licence (together with any accompanying English translation of the licence); and</w:t>
      </w:r>
    </w:p>
    <w:p w14:paraId="38C04C2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international driving permit (if any); and</w:t>
      </w:r>
    </w:p>
    <w:p w14:paraId="44356BB9" w14:textId="77777777" w:rsidR="002A3021" w:rsidRPr="002A3021" w:rsidRDefault="002A3021" w:rsidP="002A302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produce those documents if requested to do so by a police officer or authorised officer.</w:t>
      </w:r>
    </w:p>
    <w:p w14:paraId="50727AF6"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52E418A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(13)</w:t>
      </w:r>
      <w:r w:rsidRPr="002A3021">
        <w:rPr>
          <w:rFonts w:eastAsia="Times New Roman"/>
          <w:color w:val="000000"/>
          <w:sz w:val="23"/>
          <w:szCs w:val="23"/>
          <w:lang w:eastAsia="en-AU"/>
          <w14:ligatures w14:val="standardContextual"/>
        </w:rPr>
        <w:tab/>
        <w:t xml:space="preserve">If a person drives a motor home in this State under </w:t>
      </w:r>
      <w:hyperlink w:anchor="id830f2b74_eda7_423d_bbcc_ee716665dc81_d" w:history="1">
        <w:r w:rsidRPr="002A3021">
          <w:rPr>
            <w:rFonts w:eastAsia="Times New Roman"/>
            <w:color w:val="000000"/>
            <w:sz w:val="23"/>
            <w:szCs w:val="23"/>
            <w:lang w:eastAsia="en-AU"/>
            <w14:ligatures w14:val="standardContextual"/>
          </w:rPr>
          <w:t>subregulation (8)</w:t>
        </w:r>
      </w:hyperlink>
      <w:r w:rsidRPr="002A3021">
        <w:rPr>
          <w:rFonts w:eastAsia="Times New Roman"/>
          <w:color w:val="000000"/>
          <w:sz w:val="23"/>
          <w:szCs w:val="23"/>
          <w:lang w:eastAsia="en-AU"/>
          <w14:ligatures w14:val="standardContextual"/>
        </w:rPr>
        <w:t>, the person's foreign licence will—</w:t>
      </w:r>
    </w:p>
    <w:p w14:paraId="13922D4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for the purposes of section 74 of the Act and any law prescribed for the purposes of section 97A(4)(a) of the Act, be taken to be a licence under the Act; and</w:t>
      </w:r>
    </w:p>
    <w:p w14:paraId="69E01DF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for the purposes of a contract or policy of insurance relating to the vehicle, be taken to be a licence under the Act.</w:t>
      </w:r>
    </w:p>
    <w:p w14:paraId="55EA5B6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(14)</w:t>
      </w:r>
      <w:r w:rsidRPr="002A3021">
        <w:rPr>
          <w:rFonts w:eastAsia="Times New Roman"/>
          <w:color w:val="000000"/>
          <w:sz w:val="23"/>
          <w:szCs w:val="23"/>
          <w:lang w:eastAsia="en-AU"/>
          <w14:ligatures w14:val="standardContextual"/>
        </w:rPr>
        <w:tab/>
        <w:t xml:space="preserve">For the purposes of </w:t>
      </w:r>
      <w:hyperlink w:anchor="idb6a77468_1d8f_447e_8515_dbf1470e85c5_a"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xml:space="preserve">, a reference to a person being </w:t>
      </w:r>
      <w:r w:rsidRPr="002A3021">
        <w:rPr>
          <w:rFonts w:eastAsia="Times New Roman"/>
          <w:b/>
          <w:bCs/>
          <w:i/>
          <w:iCs/>
          <w:color w:val="000000"/>
          <w:sz w:val="23"/>
          <w:szCs w:val="23"/>
          <w:lang w:eastAsia="en-AU"/>
          <w14:ligatures w14:val="standardContextual"/>
        </w:rPr>
        <w:t>employed</w:t>
      </w:r>
      <w:r w:rsidRPr="002A3021">
        <w:rPr>
          <w:rFonts w:eastAsia="Times New Roman"/>
          <w:color w:val="000000"/>
          <w:sz w:val="23"/>
          <w:szCs w:val="23"/>
          <w:lang w:eastAsia="en-AU"/>
          <w14:ligatures w14:val="standardContextual"/>
        </w:rPr>
        <w:t xml:space="preserve"> at a motor vehicle related workplace will be taken to include a reference to a person who—</w:t>
      </w:r>
    </w:p>
    <w:p w14:paraId="1AC173F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self</w:t>
      </w:r>
      <w:r w:rsidRPr="002A3021">
        <w:rPr>
          <w:rFonts w:eastAsia="Times New Roman"/>
          <w:color w:val="000000"/>
          <w:sz w:val="23"/>
          <w:szCs w:val="23"/>
          <w:lang w:eastAsia="en-AU"/>
          <w14:ligatures w14:val="standardContextual"/>
        </w:rPr>
        <w:noBreakHyphen/>
        <w:t>employed; or</w:t>
      </w:r>
    </w:p>
    <w:p w14:paraId="0A8B3DC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carries out work under a contract for services,</w:t>
      </w:r>
    </w:p>
    <w:p w14:paraId="1ACE9E3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in respect of the workplace, and </w:t>
      </w:r>
      <w:r w:rsidRPr="002A3021">
        <w:rPr>
          <w:rFonts w:eastAsia="Times New Roman"/>
          <w:b/>
          <w:bCs/>
          <w:i/>
          <w:iCs/>
          <w:color w:val="000000"/>
          <w:sz w:val="23"/>
          <w:szCs w:val="23"/>
          <w:lang w:eastAsia="en-AU"/>
          <w14:ligatures w14:val="standardContextual"/>
        </w:rPr>
        <w:t>employment</w:t>
      </w:r>
      <w:r w:rsidRPr="002A3021">
        <w:rPr>
          <w:rFonts w:eastAsia="Times New Roman"/>
          <w:color w:val="000000"/>
          <w:sz w:val="23"/>
          <w:szCs w:val="23"/>
          <w:lang w:eastAsia="en-AU"/>
          <w14:ligatures w14:val="standardContextual"/>
        </w:rPr>
        <w:t xml:space="preserve"> has a corresponding meaning.</w:t>
      </w:r>
    </w:p>
    <w:p w14:paraId="03996FE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(15)</w:t>
      </w:r>
      <w:r w:rsidRPr="002A3021">
        <w:rPr>
          <w:rFonts w:eastAsia="Times New Roman"/>
          <w:color w:val="000000"/>
          <w:sz w:val="23"/>
          <w:szCs w:val="23"/>
          <w:lang w:eastAsia="en-AU"/>
          <w14:ligatures w14:val="standardContextual"/>
        </w:rPr>
        <w:tab/>
        <w:t>In this regulation—</w:t>
      </w:r>
    </w:p>
    <w:p w14:paraId="3067311C"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designated licence</w:t>
      </w:r>
      <w:r w:rsidRPr="002A3021">
        <w:rPr>
          <w:rFonts w:eastAsia="Times New Roman"/>
          <w:color w:val="000000"/>
          <w:sz w:val="23"/>
          <w:szCs w:val="23"/>
          <w:lang w:eastAsia="en-AU"/>
          <w14:ligatures w14:val="standardContextual"/>
        </w:rPr>
        <w:t xml:space="preserve"> means a licence other than—</w:t>
      </w:r>
    </w:p>
    <w:p w14:paraId="01D3D57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learner's permit; or</w:t>
      </w:r>
    </w:p>
    <w:p w14:paraId="36B1FFD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provisional licence; or</w:t>
      </w:r>
    </w:p>
    <w:p w14:paraId="65B0B65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driver's licence that is assigned the U classification; or</w:t>
      </w:r>
    </w:p>
    <w:p w14:paraId="47512E2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driver's licence that is assigned only the R</w:t>
      </w:r>
      <w:r w:rsidRPr="002A3021">
        <w:rPr>
          <w:rFonts w:eastAsia="Times New Roman"/>
          <w:color w:val="000000"/>
          <w:sz w:val="23"/>
          <w:szCs w:val="23"/>
          <w:lang w:eastAsia="en-AU"/>
          <w14:ligatures w14:val="standardContextual"/>
        </w:rPr>
        <w:noBreakHyphen/>
        <w:t>DATE or R classification;</w:t>
      </w:r>
    </w:p>
    <w:p w14:paraId="10639D1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international driving permit</w:t>
      </w:r>
      <w:r w:rsidRPr="002A3021">
        <w:rPr>
          <w:rFonts w:eastAsia="Times New Roman"/>
          <w:color w:val="000000"/>
          <w:sz w:val="23"/>
          <w:szCs w:val="23"/>
          <w:lang w:eastAsia="en-AU"/>
          <w14:ligatures w14:val="standardContextual"/>
        </w:rPr>
        <w:t xml:space="preserve">, </w:t>
      </w:r>
      <w:r w:rsidRPr="002A3021">
        <w:rPr>
          <w:rFonts w:eastAsia="Times New Roman"/>
          <w:b/>
          <w:bCs/>
          <w:i/>
          <w:iCs/>
          <w:color w:val="000000"/>
          <w:sz w:val="23"/>
          <w:szCs w:val="23"/>
          <w:lang w:eastAsia="en-AU"/>
          <w14:ligatures w14:val="standardContextual"/>
        </w:rPr>
        <w:t>interstate licence</w:t>
      </w:r>
      <w:r w:rsidRPr="002A3021">
        <w:rPr>
          <w:rFonts w:eastAsia="Times New Roman"/>
          <w:color w:val="000000"/>
          <w:sz w:val="23"/>
          <w:szCs w:val="23"/>
          <w:lang w:eastAsia="en-AU"/>
          <w14:ligatures w14:val="standardContextual"/>
        </w:rPr>
        <w:t xml:space="preserve"> and </w:t>
      </w:r>
      <w:r w:rsidRPr="002A3021">
        <w:rPr>
          <w:rFonts w:eastAsia="Times New Roman"/>
          <w:b/>
          <w:bCs/>
          <w:i/>
          <w:iCs/>
          <w:color w:val="000000"/>
          <w:sz w:val="23"/>
          <w:szCs w:val="23"/>
          <w:lang w:eastAsia="en-AU"/>
          <w14:ligatures w14:val="standardContextual"/>
        </w:rPr>
        <w:t>permanent resident</w:t>
      </w:r>
      <w:r w:rsidRPr="002A3021">
        <w:rPr>
          <w:rFonts w:eastAsia="Times New Roman"/>
          <w:color w:val="000000"/>
          <w:sz w:val="23"/>
          <w:szCs w:val="23"/>
          <w:lang w:eastAsia="en-AU"/>
          <w14:ligatures w14:val="standardContextual"/>
        </w:rPr>
        <w:t xml:space="preserve"> have the same respective meanings as in section 97A of the Act;</w:t>
      </w:r>
    </w:p>
    <w:p w14:paraId="588EC49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motor home</w:t>
      </w:r>
      <w:r w:rsidRPr="002A3021">
        <w:rPr>
          <w:rFonts w:eastAsia="Times New Roman"/>
          <w:color w:val="000000"/>
          <w:sz w:val="23"/>
          <w:szCs w:val="23"/>
          <w:lang w:eastAsia="en-AU"/>
          <w14:ligatures w14:val="standardContextual"/>
        </w:rPr>
        <w:t xml:space="preserve"> means a motor vehicle with a GVM not exceeding 4.5 tonnes that is designed and constructed for the primary purpose of providing a temporary dwelling for persons using the vehicle for recreational travel;</w:t>
      </w:r>
    </w:p>
    <w:p w14:paraId="7819908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motor vehicle related workplace</w:t>
      </w:r>
      <w:r w:rsidRPr="002A3021">
        <w:rPr>
          <w:rFonts w:eastAsia="Times New Roman"/>
          <w:color w:val="000000"/>
          <w:sz w:val="23"/>
          <w:szCs w:val="23"/>
          <w:lang w:eastAsia="en-AU"/>
          <w14:ligatures w14:val="standardContextual"/>
        </w:rPr>
        <w:t xml:space="preserve"> means a place at which the primary business relates to the repair, sale, trade, inspection or transport of motor vehicles, or the renting or leasing out of motor vehicles.</w:t>
      </w:r>
    </w:p>
    <w:p w14:paraId="07CA6E8D"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2" w:name="Elkera_Print_TOC75"/>
      <w:bookmarkStart w:id="173" w:name="Elkera_Print_BK75"/>
      <w:r w:rsidRPr="002A3021">
        <w:rPr>
          <w:rFonts w:eastAsia="Times New Roman"/>
          <w:b/>
          <w:bCs/>
          <w:color w:val="000000"/>
          <w:sz w:val="26"/>
          <w:szCs w:val="26"/>
          <w:lang w:eastAsia="en-AU"/>
          <w14:ligatures w14:val="standardContextual"/>
        </w:rPr>
        <w:t>50—Section 75(1)(aa)(i) of Act—exemption for certain applicants</w:t>
      </w:r>
      <w:bookmarkEnd w:id="172"/>
      <w:bookmarkEnd w:id="173"/>
    </w:p>
    <w:p w14:paraId="7BFFD31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w:t>
      </w:r>
    </w:p>
    <w:p w14:paraId="2051F83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applies for a licence authorising the driving of a motor bike; and</w:t>
      </w:r>
    </w:p>
    <w:p w14:paraId="03AC2E5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person is entitled to apply for such a licence by virtue of section 81BA(3)(b) or 81BB(7)(b) of the Act; and</w:t>
      </w:r>
    </w:p>
    <w:p w14:paraId="7F79DF8B" w14:textId="61E0D711"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person is at least 17 years of age,</w:t>
      </w:r>
    </w:p>
    <w:p w14:paraId="09A79267"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181DCF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the person is exempt from the operation of section 75(1)(aa)(i) of the Act in respect of the application for the licence.</w:t>
      </w:r>
    </w:p>
    <w:p w14:paraId="6E05F6B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4" w:name="Elkera_Print_TOC76"/>
      <w:bookmarkStart w:id="175" w:name="Elkera_Print_BK76"/>
      <w:r w:rsidRPr="002A3021">
        <w:rPr>
          <w:rFonts w:eastAsia="Times New Roman"/>
          <w:b/>
          <w:bCs/>
          <w:color w:val="000000"/>
          <w:sz w:val="26"/>
          <w:szCs w:val="26"/>
          <w:lang w:eastAsia="en-AU"/>
          <w14:ligatures w14:val="standardContextual"/>
        </w:rPr>
        <w:t>51—Section 75A(1) of Act—prescribed locality</w:t>
      </w:r>
      <w:bookmarkEnd w:id="174"/>
      <w:bookmarkEnd w:id="175"/>
    </w:p>
    <w:p w14:paraId="75D6E3A2"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For the purposes of the definition of </w:t>
      </w:r>
      <w:r w:rsidRPr="002A3021">
        <w:rPr>
          <w:rFonts w:eastAsia="Times New Roman"/>
          <w:b/>
          <w:bCs/>
          <w:i/>
          <w:iCs/>
          <w:color w:val="000000"/>
          <w:sz w:val="23"/>
          <w:szCs w:val="23"/>
          <w:lang w:eastAsia="en-AU"/>
          <w14:ligatures w14:val="standardContextual"/>
        </w:rPr>
        <w:t>prescribed locality</w:t>
      </w:r>
      <w:r w:rsidRPr="002A3021">
        <w:rPr>
          <w:rFonts w:eastAsia="Times New Roman"/>
          <w:color w:val="000000"/>
          <w:sz w:val="23"/>
          <w:szCs w:val="23"/>
          <w:lang w:eastAsia="en-AU"/>
          <w14:ligatures w14:val="standardContextual"/>
        </w:rPr>
        <w:t xml:space="preserve"> in section 75A(1) of the Act, the following areas of the State are defined:</w:t>
      </w:r>
    </w:p>
    <w:p w14:paraId="4FE7ADB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those areas within postcode 5118 constituted by Concordia, Kangaroo Flat, Kingsford and Ward Belt;</w:t>
      </w:r>
    </w:p>
    <w:p w14:paraId="06004D0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those areas within postcode 5120 constituted by Buckland Park;</w:t>
      </w:r>
    </w:p>
    <w:p w14:paraId="5497CF9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those areas within the following postcodes:</w:t>
      </w:r>
    </w:p>
    <w:p w14:paraId="5F02FF8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5153;</w:t>
      </w:r>
    </w:p>
    <w:p w14:paraId="111303E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5154;</w:t>
      </w:r>
    </w:p>
    <w:p w14:paraId="21890DB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5157;</w:t>
      </w:r>
    </w:p>
    <w:p w14:paraId="21E098D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those areas within postcode 5172 constituted by Hope Forest, Kuitpo Colony, Kyeema, Pages Flat, Willunga Hill, Willunga South, Yundi, The Range, Dingabledinga and Montarra;</w:t>
      </w:r>
    </w:p>
    <w:p w14:paraId="4054957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those areas within postcode 5174 constituted by Sellicks Hill;</w:t>
      </w:r>
    </w:p>
    <w:p w14:paraId="07F7183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those areas within the postcodes between 5201 and 5495 (inclusive), other than an area within the following postcodes:</w:t>
      </w:r>
    </w:p>
    <w:p w14:paraId="2D6937A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5231;</w:t>
      </w:r>
    </w:p>
    <w:p w14:paraId="388989B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5232;</w:t>
      </w:r>
    </w:p>
    <w:p w14:paraId="0F750F3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5240;</w:t>
      </w:r>
    </w:p>
    <w:p w14:paraId="18D593B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5242;</w:t>
      </w:r>
    </w:p>
    <w:p w14:paraId="54917C9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w:t>
      </w:r>
      <w:r w:rsidRPr="002A3021">
        <w:rPr>
          <w:rFonts w:eastAsia="Times New Roman"/>
          <w:color w:val="000000"/>
          <w:sz w:val="23"/>
          <w:szCs w:val="23"/>
          <w:lang w:eastAsia="en-AU"/>
          <w14:ligatures w14:val="standardContextual"/>
        </w:rPr>
        <w:tab/>
        <w:t>5245;</w:t>
      </w:r>
    </w:p>
    <w:p w14:paraId="6C64CEB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(vi)</w:t>
      </w:r>
      <w:r w:rsidRPr="002A3021">
        <w:rPr>
          <w:rFonts w:eastAsia="Times New Roman"/>
          <w:color w:val="000000"/>
          <w:sz w:val="23"/>
          <w:szCs w:val="23"/>
          <w:lang w:eastAsia="en-AU"/>
          <w14:ligatures w14:val="standardContextual"/>
        </w:rPr>
        <w:tab/>
        <w:t>5250;</w:t>
      </w:r>
    </w:p>
    <w:p w14:paraId="725C49D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(vii)</w:t>
      </w:r>
      <w:r w:rsidRPr="002A3021">
        <w:rPr>
          <w:rFonts w:eastAsia="Times New Roman"/>
          <w:color w:val="000000"/>
          <w:sz w:val="23"/>
          <w:szCs w:val="23"/>
          <w:lang w:eastAsia="en-AU"/>
          <w14:ligatures w14:val="standardContextual"/>
        </w:rPr>
        <w:tab/>
        <w:t>5251;</w:t>
      </w:r>
    </w:p>
    <w:p w14:paraId="59893F2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those areas within postcode 5501 constituted by Long Plains, Calomba, Avon, Middle Beach, Port Gawler, Lower Light, Dublin, Thompson Beach, Webb Beach, Parham, Windsor and Wild Horse Plains;</w:t>
      </w:r>
    </w:p>
    <w:p w14:paraId="0147AB3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(h)</w:t>
      </w:r>
      <w:r w:rsidRPr="002A3021">
        <w:rPr>
          <w:rFonts w:eastAsia="Times New Roman"/>
          <w:color w:val="000000"/>
          <w:sz w:val="23"/>
          <w:szCs w:val="23"/>
          <w:lang w:eastAsia="en-AU"/>
          <w14:ligatures w14:val="standardContextual"/>
        </w:rPr>
        <w:tab/>
        <w:t>those areas within the postcodes between 5502 and 5734 (inclusive).</w:t>
      </w:r>
    </w:p>
    <w:p w14:paraId="3580D2E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6" w:name="Elkera_Print_TOC78"/>
      <w:bookmarkStart w:id="177" w:name="idcade2651_868c_4791_8557_8e49606ab5"/>
      <w:r w:rsidRPr="002A3021">
        <w:rPr>
          <w:rFonts w:eastAsia="Times New Roman"/>
          <w:b/>
          <w:bCs/>
          <w:color w:val="000000"/>
          <w:sz w:val="26"/>
          <w:szCs w:val="26"/>
          <w:lang w:eastAsia="en-AU"/>
          <w14:ligatures w14:val="standardContextual"/>
        </w:rPr>
        <w:t>52—Section 75A(2)(a)(v)(A) of Act—prescribed training, requirements and exemptions</w:t>
      </w:r>
      <w:bookmarkEnd w:id="176"/>
      <w:bookmarkEnd w:id="177"/>
    </w:p>
    <w:p w14:paraId="2A277A9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8" w:name="id4cdd10c8_fd59_49ef_91cb_7cd7ec6dbc97_e"/>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75A(2)(a)(v)(A) of the Act, the following requirements are prescribed:</w:t>
      </w:r>
      <w:bookmarkEnd w:id="178"/>
    </w:p>
    <w:p w14:paraId="4796477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applicant has passed the motor bike rider knowledge test;</w:t>
      </w:r>
    </w:p>
    <w:p w14:paraId="6B40C046" w14:textId="39624263"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applicant has passed the motor bike specific hazard awareness test.</w:t>
      </w:r>
    </w:p>
    <w:p w14:paraId="09999488"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E1D3D0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 xml:space="preserve">To avoid doubt, the tests referred to in </w:t>
      </w:r>
      <w:hyperlink w:anchor="id4cdd10c8_fd59_49ef_91cb_7cd7ec6dbc97_e"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w:t>
      </w:r>
    </w:p>
    <w:p w14:paraId="32BB42A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must be undertaken by each applicant for a learner's permit authorising the driving of a motor bike (whether or not the applicant is exempt from undertaking the pre</w:t>
      </w:r>
      <w:r w:rsidRPr="002A3021">
        <w:rPr>
          <w:rFonts w:eastAsia="Times New Roman"/>
          <w:color w:val="000000"/>
          <w:sz w:val="23"/>
          <w:szCs w:val="23"/>
          <w:lang w:eastAsia="en-AU"/>
          <w14:ligatures w14:val="standardContextual"/>
        </w:rPr>
        <w:noBreakHyphen/>
        <w:t>learner's permit motor bike training course); and</w:t>
      </w:r>
    </w:p>
    <w:p w14:paraId="54F81BD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must, in the case of an applicant for a learner's permit authorising the driving of a motor bike who is not exempt from the requirement to undertake the pre</w:t>
      </w:r>
      <w:r w:rsidRPr="002A3021">
        <w:rPr>
          <w:rFonts w:eastAsia="Times New Roman"/>
          <w:color w:val="000000"/>
          <w:sz w:val="23"/>
          <w:szCs w:val="23"/>
          <w:lang w:eastAsia="en-AU"/>
          <w14:ligatures w14:val="standardContextual"/>
        </w:rPr>
        <w:noBreakHyphen/>
        <w:t>learner's permit motor bike training course, be undertaken prior to undertaking that course.</w:t>
      </w:r>
    </w:p>
    <w:p w14:paraId="4D4FE80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9" w:name="idee1890ca_3dbe_485d_b5a1_48a7dc032c41_7"/>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For the purposes of section 75A(2)(a)(v)(A) of the Act, the pre</w:t>
      </w:r>
      <w:r w:rsidRPr="002A3021">
        <w:rPr>
          <w:rFonts w:eastAsia="Times New Roman"/>
          <w:color w:val="000000"/>
          <w:sz w:val="23"/>
          <w:szCs w:val="23"/>
          <w:lang w:eastAsia="en-AU"/>
          <w14:ligatures w14:val="standardContextual"/>
        </w:rPr>
        <w:noBreakHyphen/>
        <w:t>learner's permit motor bike training course (comprising parts A and B) is prescribed.</w:t>
      </w:r>
      <w:bookmarkEnd w:id="179"/>
    </w:p>
    <w:p w14:paraId="0D85633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 xml:space="preserve">An applicant for a learner's permit authorising the driving of a motor bike who resides more than 100 kilometres from the nearest place at which training referred to in </w:t>
      </w:r>
      <w:hyperlink w:anchor="idee1890ca_3dbe_485d_b5a1_48a7dc032c41_7" w:history="1">
        <w:r w:rsidRPr="002A3021">
          <w:rPr>
            <w:rFonts w:eastAsia="Times New Roman"/>
            <w:color w:val="000000"/>
            <w:sz w:val="23"/>
            <w:szCs w:val="23"/>
            <w:lang w:eastAsia="en-AU"/>
            <w14:ligatures w14:val="standardContextual"/>
          </w:rPr>
          <w:t>subregulation (3)</w:t>
        </w:r>
      </w:hyperlink>
      <w:r w:rsidRPr="002A3021">
        <w:rPr>
          <w:rFonts w:eastAsia="Times New Roman"/>
          <w:color w:val="000000"/>
          <w:sz w:val="23"/>
          <w:szCs w:val="23"/>
          <w:lang w:eastAsia="en-AU"/>
          <w14:ligatures w14:val="standardContextual"/>
        </w:rPr>
        <w:t xml:space="preserve"> is conducted is exempt from the requirement in section 75A(2)(a)(v)(A) of the Act prescribed by </w:t>
      </w:r>
      <w:hyperlink w:anchor="idee1890ca_3dbe_485d_b5a1_48a7dc032c41_7" w:history="1">
        <w:r w:rsidRPr="002A3021">
          <w:rPr>
            <w:rFonts w:eastAsia="Times New Roman"/>
            <w:color w:val="000000"/>
            <w:sz w:val="23"/>
            <w:szCs w:val="23"/>
            <w:lang w:eastAsia="en-AU"/>
            <w14:ligatures w14:val="standardContextual"/>
          </w:rPr>
          <w:t>subregulation (3)</w:t>
        </w:r>
      </w:hyperlink>
      <w:r w:rsidRPr="002A3021">
        <w:rPr>
          <w:rFonts w:eastAsia="Times New Roman"/>
          <w:color w:val="000000"/>
          <w:sz w:val="23"/>
          <w:szCs w:val="23"/>
          <w:lang w:eastAsia="en-AU"/>
          <w14:ligatures w14:val="standardContextual"/>
        </w:rPr>
        <w:t>.</w:t>
      </w:r>
    </w:p>
    <w:p w14:paraId="513BBC1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The Registrar may, on application by an applicant for a learner's permit authorising the driving of a motor bike and payment of the fee (if any) determined by the Registrar, grant the applicant an exemption from the requirement in section 75A(2)(a)(v)(A) of the Act prescribed by—</w:t>
      </w:r>
    </w:p>
    <w:p w14:paraId="7BABEEB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r>
      <w:hyperlink w:anchor="id4cdd10c8_fd59_49ef_91cb_7cd7ec6dbc97_e"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or</w:t>
      </w:r>
    </w:p>
    <w:p w14:paraId="0DF2927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r>
      <w:hyperlink w:anchor="idee1890ca_3dbe_485d_b5a1_48a7dc032c41_7" w:history="1">
        <w:r w:rsidRPr="002A3021">
          <w:rPr>
            <w:rFonts w:eastAsia="Times New Roman"/>
            <w:color w:val="000000"/>
            <w:sz w:val="23"/>
            <w:szCs w:val="23"/>
            <w:lang w:eastAsia="en-AU"/>
            <w14:ligatures w14:val="standardContextual"/>
          </w:rPr>
          <w:t>subregulation (3)</w:t>
        </w:r>
      </w:hyperlink>
      <w:r w:rsidRPr="002A3021">
        <w:rPr>
          <w:rFonts w:eastAsia="Times New Roman"/>
          <w:color w:val="000000"/>
          <w:sz w:val="23"/>
          <w:szCs w:val="23"/>
          <w:lang w:eastAsia="en-AU"/>
          <w14:ligatures w14:val="standardContextual"/>
        </w:rPr>
        <w:t>,</w:t>
      </w:r>
    </w:p>
    <w:p w14:paraId="2DE9B5E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subject to such conditions as the Registrar thinks fit.</w:t>
      </w:r>
    </w:p>
    <w:p w14:paraId="79F4FEA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0" w:name="Elkera_Print_TOC79"/>
      <w:bookmarkStart w:id="181" w:name="Elkera_Print_BK79"/>
      <w:r w:rsidRPr="002A3021">
        <w:rPr>
          <w:rFonts w:eastAsia="Times New Roman"/>
          <w:b/>
          <w:bCs/>
          <w:color w:val="000000"/>
          <w:sz w:val="26"/>
          <w:szCs w:val="26"/>
          <w:lang w:eastAsia="en-AU"/>
          <w14:ligatures w14:val="standardContextual"/>
        </w:rPr>
        <w:t>53—Section 75A(10)(c) of Act—exemption while driving motor trike</w:t>
      </w:r>
      <w:bookmarkEnd w:id="180"/>
      <w:bookmarkEnd w:id="181"/>
    </w:p>
    <w:p w14:paraId="46D9C69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holder of a learner's permit is, while driving a motor trike on a road pursuant to the permit, exempt from the operation of section 75A(10)(c) of the Act.</w:t>
      </w:r>
    </w:p>
    <w:p w14:paraId="2BA4C08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2" w:name="Elkera_Print_TOC80"/>
      <w:bookmarkStart w:id="183" w:name="Elkera_Print_BK80"/>
      <w:r w:rsidRPr="002A3021">
        <w:rPr>
          <w:rFonts w:eastAsia="Times New Roman"/>
          <w:b/>
          <w:bCs/>
          <w:color w:val="000000"/>
          <w:sz w:val="26"/>
          <w:szCs w:val="26"/>
          <w:lang w:eastAsia="en-AU"/>
          <w14:ligatures w14:val="standardContextual"/>
        </w:rPr>
        <w:t>54—Offence against section 75A(20) of Act—prescribed circumstances (section 75A(21)(b) of Act)</w:t>
      </w:r>
      <w:bookmarkEnd w:id="182"/>
      <w:bookmarkEnd w:id="183"/>
    </w:p>
    <w:p w14:paraId="6A7A2EC4"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75A(21)(b) of the Act—</w:t>
      </w:r>
    </w:p>
    <w:p w14:paraId="6C60F27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an offence committed while the person was the holder of a restricted motor bike learner's permit—driving a motor bike in the course of undertaking—</w:t>
      </w:r>
    </w:p>
    <w:p w14:paraId="5E4384B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recognised tertiary education or training; or</w:t>
      </w:r>
    </w:p>
    <w:p w14:paraId="5F47627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recognised vocational education and training,</w:t>
      </w:r>
    </w:p>
    <w:p w14:paraId="5099E824"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driving the motor bike in prescribed circumstances; or</w:t>
      </w:r>
    </w:p>
    <w:p w14:paraId="3B6B96A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any other case—driving a motor bike in the course of undertaking—</w:t>
      </w:r>
    </w:p>
    <w:p w14:paraId="297F5BE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recognised secondary education or training; or</w:t>
      </w:r>
    </w:p>
    <w:p w14:paraId="15F4D76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recognised tertiary education or training; or</w:t>
      </w:r>
    </w:p>
    <w:p w14:paraId="6CF940C5"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recognised vocational education and training,</w:t>
      </w:r>
    </w:p>
    <w:p w14:paraId="3136AD0B" w14:textId="7884BE21" w:rsidR="00B23EB4"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driving the motor bike in prescribed circumstances.</w:t>
      </w:r>
    </w:p>
    <w:p w14:paraId="177EFF89"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99952F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4" w:name="Elkera_Print_TOC81"/>
      <w:bookmarkStart w:id="185" w:name="Elkera_Print_BK81"/>
      <w:r w:rsidRPr="002A3021">
        <w:rPr>
          <w:rFonts w:eastAsia="Times New Roman"/>
          <w:b/>
          <w:bCs/>
          <w:color w:val="000000"/>
          <w:sz w:val="26"/>
          <w:szCs w:val="26"/>
          <w:lang w:eastAsia="en-AU"/>
          <w14:ligatures w14:val="standardContextual"/>
        </w:rPr>
        <w:lastRenderedPageBreak/>
        <w:t>55—Section 75A(20) of Act—exemption for certain restricted motor bike learner's permit holders</w:t>
      </w:r>
      <w:bookmarkEnd w:id="184"/>
      <w:bookmarkEnd w:id="185"/>
    </w:p>
    <w:p w14:paraId="2A11A58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holder of a restricted motor bike learner's permit is exempt from section 75A(20) if—</w:t>
      </w:r>
    </w:p>
    <w:p w14:paraId="0207076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t>
      </w:r>
    </w:p>
    <w:p w14:paraId="62B4B7F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holder of the permit is 18 years of age or older; or</w:t>
      </w:r>
    </w:p>
    <w:p w14:paraId="4A0250A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holder of the permit—</w:t>
      </w:r>
    </w:p>
    <w:p w14:paraId="55DC0F6C"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is 17 years of age or older; and</w:t>
      </w:r>
    </w:p>
    <w:p w14:paraId="76488164"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is the holder of a provisional driver's licence; and</w:t>
      </w:r>
    </w:p>
    <w:p w14:paraId="5698CD6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holder of the permit drives a motor bike on a road—</w:t>
      </w:r>
    </w:p>
    <w:p w14:paraId="3F0C5D1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in circumstances prescribed by Schedule 2 of the Act for the purposes of section 75A(21); or</w:t>
      </w:r>
    </w:p>
    <w:p w14:paraId="585C9E3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the course of undertaking—</w:t>
      </w:r>
    </w:p>
    <w:p w14:paraId="742F644C"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recognised secondary education or training; or</w:t>
      </w:r>
    </w:p>
    <w:p w14:paraId="5927A527"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recognised tertiary education or training; or</w:t>
      </w:r>
    </w:p>
    <w:p w14:paraId="60F7B896"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recognised vocational education and training.</w:t>
      </w:r>
    </w:p>
    <w:p w14:paraId="1A71302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6" w:name="Elkera_Print_TOC82"/>
      <w:bookmarkStart w:id="187" w:name="Elkera_Print_BK82"/>
      <w:r w:rsidRPr="002A3021">
        <w:rPr>
          <w:rFonts w:eastAsia="Times New Roman"/>
          <w:b/>
          <w:bCs/>
          <w:color w:val="000000"/>
          <w:sz w:val="26"/>
          <w:szCs w:val="26"/>
          <w:lang w:eastAsia="en-AU"/>
          <w14:ligatures w14:val="standardContextual"/>
        </w:rPr>
        <w:t>56—Section 75B(1) of Act—exemption for certain restricted motor bike learner's permit holders</w:t>
      </w:r>
      <w:bookmarkEnd w:id="186"/>
      <w:bookmarkEnd w:id="187"/>
    </w:p>
    <w:p w14:paraId="035123F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holder of a restricted motor bike learner's permit is exempt from the operation of section 75B(1) of the Act—</w:t>
      </w:r>
    </w:p>
    <w:p w14:paraId="5ADD350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on and after the day on which they attain the age of 18 years; or</w:t>
      </w:r>
    </w:p>
    <w:p w14:paraId="73487B9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if the holder of the permit—</w:t>
      </w:r>
    </w:p>
    <w:p w14:paraId="3EBAB1E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is 17 years of age or older; and</w:t>
      </w:r>
    </w:p>
    <w:p w14:paraId="1B48384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is the holder of a provisional driver’s licence.</w:t>
      </w:r>
    </w:p>
    <w:p w14:paraId="3CA490B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8" w:name="Elkera_Print_TOC83"/>
      <w:bookmarkStart w:id="189" w:name="Elkera_Print_BK83"/>
      <w:r w:rsidRPr="002A3021">
        <w:rPr>
          <w:rFonts w:eastAsia="Times New Roman"/>
          <w:b/>
          <w:bCs/>
          <w:color w:val="000000"/>
          <w:sz w:val="26"/>
          <w:szCs w:val="26"/>
          <w:lang w:eastAsia="en-AU"/>
          <w14:ligatures w14:val="standardContextual"/>
        </w:rPr>
        <w:t>57—Offence against section 75B(1) of Act—prescribed circumstances (section 75B(1)(d) of Act)</w:t>
      </w:r>
      <w:bookmarkEnd w:id="188"/>
      <w:bookmarkEnd w:id="189"/>
    </w:p>
    <w:p w14:paraId="1051169A"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75B(1)(d) of the Act, driving a motor bike in the course of undertaking—</w:t>
      </w:r>
    </w:p>
    <w:p w14:paraId="11DCBC0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recognised tertiary education or training; or</w:t>
      </w:r>
    </w:p>
    <w:p w14:paraId="5C27421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recognised vocational education and training,</w:t>
      </w:r>
    </w:p>
    <w:p w14:paraId="691E965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driving the motor bike in prescribed circumstances.</w:t>
      </w:r>
    </w:p>
    <w:p w14:paraId="557A4D5D"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0" w:name="Elkera_Print_TOC84"/>
      <w:bookmarkStart w:id="191" w:name="Elkera_Print_BK84"/>
      <w:r w:rsidRPr="002A3021">
        <w:rPr>
          <w:rFonts w:eastAsia="Times New Roman"/>
          <w:b/>
          <w:bCs/>
          <w:color w:val="000000"/>
          <w:sz w:val="26"/>
          <w:szCs w:val="26"/>
          <w:lang w:eastAsia="en-AU"/>
          <w14:ligatures w14:val="standardContextual"/>
        </w:rPr>
        <w:t>58—Examination of applicant for licence or learner's permit</w:t>
      </w:r>
      <w:bookmarkEnd w:id="190"/>
      <w:bookmarkEnd w:id="191"/>
    </w:p>
    <w:p w14:paraId="4FF6C6BF"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79(1) of the Act—</w:t>
      </w:r>
    </w:p>
    <w:p w14:paraId="49335EA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approved theoretical examination will consist of questions determined by the Registrar from time to time as to—</w:t>
      </w:r>
    </w:p>
    <w:p w14:paraId="52C43C7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rules required by law to be observed by drivers of motor vehicles; and</w:t>
      </w:r>
    </w:p>
    <w:p w14:paraId="4D5143E0" w14:textId="3C402A92"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causes of motor vehicle accidents; and</w:t>
      </w:r>
    </w:p>
    <w:p w14:paraId="04ADE714"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1A5D89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(iii)</w:t>
      </w:r>
      <w:r w:rsidRPr="002A3021">
        <w:rPr>
          <w:rFonts w:eastAsia="Times New Roman"/>
          <w:color w:val="000000"/>
          <w:sz w:val="23"/>
          <w:szCs w:val="23"/>
          <w:lang w:eastAsia="en-AU"/>
          <w14:ligatures w14:val="standardContextual"/>
        </w:rPr>
        <w:tab/>
        <w:t>safe driving behaviour and safe driving practices; and</w:t>
      </w:r>
    </w:p>
    <w:p w14:paraId="127402F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the effects of alcohol and drugs on driving skills and driving behaviour; and</w:t>
      </w:r>
    </w:p>
    <w:p w14:paraId="07A3525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w:t>
      </w:r>
      <w:r w:rsidRPr="002A3021">
        <w:rPr>
          <w:rFonts w:eastAsia="Times New Roman"/>
          <w:color w:val="000000"/>
          <w:sz w:val="23"/>
          <w:szCs w:val="23"/>
          <w:lang w:eastAsia="en-AU"/>
          <w14:ligatures w14:val="standardContextual"/>
        </w:rPr>
        <w:tab/>
        <w:t>the effects of speeding; and</w:t>
      </w:r>
    </w:p>
    <w:p w14:paraId="1F9BAB4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(vi)</w:t>
      </w:r>
      <w:r w:rsidRPr="002A3021">
        <w:rPr>
          <w:rFonts w:eastAsia="Times New Roman"/>
          <w:color w:val="000000"/>
          <w:sz w:val="23"/>
          <w:szCs w:val="23"/>
          <w:lang w:eastAsia="en-AU"/>
          <w14:ligatures w14:val="standardContextual"/>
        </w:rPr>
        <w:tab/>
        <w:t>the stopping distances of motor vehicles; and</w:t>
      </w:r>
    </w:p>
    <w:p w14:paraId="320789E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(vii)</w:t>
      </w:r>
      <w:r w:rsidRPr="002A3021">
        <w:rPr>
          <w:rFonts w:eastAsia="Times New Roman"/>
          <w:color w:val="000000"/>
          <w:sz w:val="23"/>
          <w:szCs w:val="23"/>
          <w:lang w:eastAsia="en-AU"/>
          <w14:ligatures w14:val="standardContextual"/>
        </w:rPr>
        <w:tab/>
        <w:t>the effects of road surfaces and weather conditions on the driving of motor vehicles; and</w:t>
      </w:r>
    </w:p>
    <w:p w14:paraId="66434AF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(viii)</w:t>
      </w:r>
      <w:r w:rsidRPr="002A3021">
        <w:rPr>
          <w:rFonts w:eastAsia="Times New Roman"/>
          <w:color w:val="000000"/>
          <w:sz w:val="23"/>
          <w:szCs w:val="23"/>
          <w:lang w:eastAsia="en-AU"/>
          <w14:ligatures w14:val="standardContextual"/>
        </w:rPr>
        <w:tab/>
        <w:t>such other matters as are determined by the Registrar from time to time; and</w:t>
      </w:r>
    </w:p>
    <w:p w14:paraId="3E9F1DC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approved theoretical examination will be taken by a person—</w:t>
      </w:r>
    </w:p>
    <w:p w14:paraId="79470CE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in writing in the English language; or</w:t>
      </w:r>
    </w:p>
    <w:p w14:paraId="35C7B69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if the person is, by reason of impairment, unable to take the examination in writing—</w:t>
      </w:r>
    </w:p>
    <w:p w14:paraId="49B3A3D4"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orally in the English language; or</w:t>
      </w:r>
    </w:p>
    <w:p w14:paraId="0BA0DCF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such other manner as may be approved by the Registrar; or</w:t>
      </w:r>
    </w:p>
    <w:p w14:paraId="354A17F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if the person's principal language is not English and the person's understanding of English is not adequate to enable the person to take the examination in writing in English—</w:t>
      </w:r>
    </w:p>
    <w:p w14:paraId="7685706F"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orally or in writing (as required by the Registrar) in the person's principal language; or</w:t>
      </w:r>
    </w:p>
    <w:p w14:paraId="78374423"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such other manner as may be approved by the Registrar.</w:t>
      </w:r>
    </w:p>
    <w:p w14:paraId="7B3DEF9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section 79(2) of the Act, the number of questions in the examination that a person must answer correctly is—</w:t>
      </w:r>
    </w:p>
    <w:p w14:paraId="121E78D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an examination taken in person by the applicant at premises or a class of premises determined by the Registrar—a number that equals 80% of the questions asked in the examination; or</w:t>
      </w:r>
    </w:p>
    <w:p w14:paraId="360D732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any other case—a number that equals 90% of the questions asked in the examination.</w:t>
      </w:r>
    </w:p>
    <w:p w14:paraId="3D07130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2" w:name="Elkera_Print_TOC85"/>
      <w:bookmarkStart w:id="193" w:name="Elkera_Print_BK85"/>
      <w:r w:rsidRPr="002A3021">
        <w:rPr>
          <w:rFonts w:eastAsia="Times New Roman"/>
          <w:b/>
          <w:bCs/>
          <w:color w:val="000000"/>
          <w:sz w:val="26"/>
          <w:szCs w:val="26"/>
          <w:lang w:eastAsia="en-AU"/>
          <w14:ligatures w14:val="standardContextual"/>
        </w:rPr>
        <w:t>59—Section 79A of Act—exemptions from certain requirements</w:t>
      </w:r>
      <w:bookmarkEnd w:id="192"/>
      <w:bookmarkEnd w:id="193"/>
    </w:p>
    <w:p w14:paraId="5371E36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The Registrar may, on application by an applicant for a provisional licence and payment of the fee (if any) determined by the Registrar, grant the applicant an exemption from the requirements in section 79A(3)(b)(i) and 79A(7)(d)(i) of the Act, subject to such conditions as the Registrar thinks fit.</w:t>
      </w:r>
    </w:p>
    <w:p w14:paraId="532E144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An applicant for a licence authorising the driving of a motor bike who resides more than 100 kilometres from the nearest place at which training referred to in </w:t>
      </w:r>
      <w:hyperlink w:anchor="idc6c26ecd_5037_40a8_b554_cc76ea950993_f" w:history="1">
        <w:r w:rsidRPr="002A3021">
          <w:rPr>
            <w:rFonts w:eastAsia="Times New Roman"/>
            <w:color w:val="000000"/>
            <w:sz w:val="23"/>
            <w:szCs w:val="23"/>
            <w:lang w:eastAsia="en-AU"/>
            <w14:ligatures w14:val="standardContextual"/>
          </w:rPr>
          <w:t>regulation 60(2)</w:t>
        </w:r>
      </w:hyperlink>
      <w:r w:rsidRPr="002A3021">
        <w:rPr>
          <w:rFonts w:eastAsia="Times New Roman"/>
          <w:color w:val="000000"/>
          <w:sz w:val="23"/>
          <w:szCs w:val="23"/>
          <w:lang w:eastAsia="en-AU"/>
          <w14:ligatures w14:val="standardContextual"/>
        </w:rPr>
        <w:t xml:space="preserve"> is conducted is exempt from the requirement in section 79A(3)(c) of the Act.</w:t>
      </w:r>
    </w:p>
    <w:p w14:paraId="29CBC4AD" w14:textId="21C9F832"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The Registrar may, on application by an applicant for a licence authorising the driving of a motor bike and payment of the fee (if any) determined by the Registrar, grant the applicant an exemption from the requirement in section 79A(3)(c) of the Act, subject to such conditions as the Registrar thinks fit.</w:t>
      </w:r>
    </w:p>
    <w:p w14:paraId="5C436955"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944EA2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4" w:name="Elkera_Print_TOC87"/>
      <w:bookmarkStart w:id="195" w:name="iddfd6cef2_14e6_442a_852e_6ed0d1e67606_8"/>
      <w:r w:rsidRPr="002A3021">
        <w:rPr>
          <w:rFonts w:eastAsia="Times New Roman"/>
          <w:b/>
          <w:bCs/>
          <w:color w:val="000000"/>
          <w:sz w:val="26"/>
          <w:szCs w:val="26"/>
          <w:lang w:eastAsia="en-AU"/>
          <w14:ligatures w14:val="standardContextual"/>
        </w:rPr>
        <w:lastRenderedPageBreak/>
        <w:t>60—Section 79A of Act—prescribed requirements and prescribed training</w:t>
      </w:r>
      <w:bookmarkEnd w:id="194"/>
      <w:bookmarkEnd w:id="195"/>
    </w:p>
    <w:p w14:paraId="33D6C03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79A(3)(a)(i)(B) of the Act, the prescribed requirements are that the applicant has driven a motor vehicle of a class for which the licence is sought for periods totalling not less than 75 hours, at least 15 hours of which must have occurred at night.</w:t>
      </w:r>
    </w:p>
    <w:p w14:paraId="5097E73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96" w:name="idc6c26ecd_5037_40a8_b554_cc76ea950993_f"/>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section 79A(3)(c) of the Act, the pre</w:t>
      </w:r>
      <w:r w:rsidRPr="002A3021">
        <w:rPr>
          <w:rFonts w:eastAsia="Times New Roman"/>
          <w:color w:val="000000"/>
          <w:sz w:val="23"/>
          <w:szCs w:val="23"/>
          <w:lang w:eastAsia="en-AU"/>
          <w14:ligatures w14:val="standardContextual"/>
        </w:rPr>
        <w:noBreakHyphen/>
        <w:t>licence motor bike training course is prescribed.</w:t>
      </w:r>
      <w:bookmarkEnd w:id="196"/>
    </w:p>
    <w:p w14:paraId="6E8E643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For the purposes of section 79A(6) of the Act, licence classes R</w:t>
      </w:r>
      <w:r w:rsidRPr="002A3021">
        <w:rPr>
          <w:rFonts w:eastAsia="Times New Roman"/>
          <w:color w:val="000000"/>
          <w:sz w:val="23"/>
          <w:szCs w:val="23"/>
          <w:lang w:eastAsia="en-AU"/>
          <w14:ligatures w14:val="standardContextual"/>
        </w:rPr>
        <w:noBreakHyphen/>
        <w:t>DATE and R are prescribed.</w:t>
      </w:r>
    </w:p>
    <w:p w14:paraId="67A7DBD6"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In this regulation—</w:t>
      </w:r>
    </w:p>
    <w:p w14:paraId="2DA987C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night</w:t>
      </w:r>
      <w:r w:rsidRPr="002A3021">
        <w:rPr>
          <w:rFonts w:eastAsia="Times New Roman"/>
          <w:color w:val="000000"/>
          <w:sz w:val="23"/>
          <w:szCs w:val="23"/>
          <w:lang w:eastAsia="en-AU"/>
          <w14:ligatures w14:val="standardContextual"/>
        </w:rPr>
        <w:t xml:space="preserve"> means the period between sunset on one day and sunrise on the next day.</w:t>
      </w:r>
    </w:p>
    <w:p w14:paraId="5BCA610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7" w:name="Elkera_Print_TOC88"/>
      <w:bookmarkStart w:id="198" w:name="Elkera_Print_BK88"/>
      <w:r w:rsidRPr="002A3021">
        <w:rPr>
          <w:rFonts w:eastAsia="Times New Roman"/>
          <w:b/>
          <w:bCs/>
          <w:color w:val="000000"/>
          <w:sz w:val="26"/>
          <w:szCs w:val="26"/>
          <w:lang w:eastAsia="en-AU"/>
          <w14:ligatures w14:val="standardContextual"/>
        </w:rPr>
        <w:t>61—Exemption from section 79B of Act</w:t>
      </w:r>
      <w:bookmarkEnd w:id="197"/>
      <w:bookmarkEnd w:id="198"/>
    </w:p>
    <w:p w14:paraId="7DF9999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An applicant for the issue of a licence is exempt from section 79B of the Act if the applicant would, if granted a licence, be required, in accordance with section 81E of the Act, to be issued with a licence that is subject to the mandatory alcohol interlock scheme conditions.</w:t>
      </w:r>
    </w:p>
    <w:p w14:paraId="6B872C3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9" w:name="Elkera_Print_TOC89"/>
      <w:bookmarkStart w:id="200" w:name="Elkera_Print_BK89"/>
      <w:r w:rsidRPr="002A3021">
        <w:rPr>
          <w:rFonts w:eastAsia="Times New Roman"/>
          <w:b/>
          <w:bCs/>
          <w:color w:val="000000"/>
          <w:sz w:val="26"/>
          <w:szCs w:val="26"/>
          <w:lang w:eastAsia="en-AU"/>
          <w14:ligatures w14:val="standardContextual"/>
        </w:rPr>
        <w:t>62—Power to refuse practical driving test where undue danger to any person</w:t>
      </w:r>
      <w:bookmarkEnd w:id="199"/>
      <w:bookmarkEnd w:id="200"/>
    </w:p>
    <w:p w14:paraId="3BB7664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 the Commissioner of Police or the Registrar believes on reasonable grounds that a person taking a practical driving test would present undue danger to the person taking the test, the authorised examiner or a member of the public, the Commissioner or the Registrar (as the case may be) may refuse to conduct such a test.</w:t>
      </w:r>
    </w:p>
    <w:p w14:paraId="05DBDC8F"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1" w:name="Elkera_Print_TOC90"/>
      <w:bookmarkStart w:id="202" w:name="Elkera_Print_BK90"/>
      <w:r w:rsidRPr="002A3021">
        <w:rPr>
          <w:rFonts w:eastAsia="Times New Roman"/>
          <w:b/>
          <w:bCs/>
          <w:color w:val="000000"/>
          <w:sz w:val="26"/>
          <w:szCs w:val="26"/>
          <w:lang w:eastAsia="en-AU"/>
          <w14:ligatures w14:val="standardContextual"/>
        </w:rPr>
        <w:t>63—Certain practical driving tests not to be taken again within 13 day period</w:t>
      </w:r>
      <w:bookmarkEnd w:id="201"/>
      <w:bookmarkEnd w:id="202"/>
    </w:p>
    <w:p w14:paraId="1898A75A" w14:textId="2BB7FA99" w:rsidR="000E6918" w:rsidRPr="00B23EB4" w:rsidRDefault="002A3021" w:rsidP="00B23EB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person who fails a Vehicle on Road Test taken for the purpose of enabling the person to qualify for the issue of a provisional licence endorsed with the classification C cannot take a subsequent Vehicle on Road Test for that purpose unless 13 days have elapsed since the day on which the person failed the test.</w:t>
      </w:r>
      <w:bookmarkStart w:id="203" w:name="Elkera_Print_TOC92"/>
      <w:bookmarkStart w:id="204" w:name="id6fca778c_a099_4d35_a42e_d431f2f2b65c_2"/>
    </w:p>
    <w:p w14:paraId="163882FD" w14:textId="17D9C649"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64—Learner's permits—display of L plates</w:t>
      </w:r>
      <w:bookmarkEnd w:id="203"/>
      <w:bookmarkEnd w:id="204"/>
    </w:p>
    <w:p w14:paraId="1105E0C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5" w:name="iddf31a7d0_128d_4f53_a5a9_61372456b1"/>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75A(15) of the Act—</w:t>
      </w:r>
      <w:bookmarkEnd w:id="205"/>
    </w:p>
    <w:p w14:paraId="298C127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t>
      </w:r>
    </w:p>
    <w:p w14:paraId="7DAD74E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in the case of a motor vehicle other than a motor bike—plates bearing the letter "L" (</w:t>
      </w:r>
      <w:r w:rsidRPr="002A3021">
        <w:rPr>
          <w:rFonts w:eastAsia="Times New Roman"/>
          <w:b/>
          <w:bCs/>
          <w:i/>
          <w:iCs/>
          <w:color w:val="000000"/>
          <w:sz w:val="23"/>
          <w:szCs w:val="23"/>
          <w:lang w:eastAsia="en-AU"/>
          <w14:ligatures w14:val="standardContextual"/>
        </w:rPr>
        <w:t>L plates</w:t>
      </w:r>
      <w:r w:rsidRPr="002A3021">
        <w:rPr>
          <w:rFonts w:eastAsia="Times New Roman"/>
          <w:color w:val="000000"/>
          <w:sz w:val="23"/>
          <w:szCs w:val="23"/>
          <w:lang w:eastAsia="en-AU"/>
          <w14:ligatures w14:val="standardContextual"/>
        </w:rPr>
        <w:t>) must be displayed on the vehicle so as to be clearly visible from the front and rear of the vehicle; or</w:t>
      </w:r>
    </w:p>
    <w:p w14:paraId="026BF1E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the case of a motor bike—a L plate must be displayed at, and be clearly visible from, the rear of the motor bike; and</w:t>
      </w:r>
    </w:p>
    <w:p w14:paraId="022B24B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06" w:name="id0f616845_9a2e_41ce_8bff_27d4ee1ad9"/>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L plate must conform to the following requirements:</w:t>
      </w:r>
      <w:bookmarkEnd w:id="206"/>
    </w:p>
    <w:p w14:paraId="4C2C9AD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plate must measure not less than 14.5 centimetres by 14.5 centimetres;</w:t>
      </w:r>
    </w:p>
    <w:p w14:paraId="663CD51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letter "L" must be displayed in black on a yellow background and be clearly legible;</w:t>
      </w:r>
    </w:p>
    <w:p w14:paraId="46C86F6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the letter "L" must be not less than 10.5 centimetres in height and 8 centimetres in width;</w:t>
      </w:r>
    </w:p>
    <w:p w14:paraId="1266D9A0" w14:textId="57ED86DA"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the width of every line of the letter "L" must be not less than 2 centimetres.</w:t>
      </w:r>
    </w:p>
    <w:p w14:paraId="4E5B3CC6"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EB797B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7" w:name="id0db8a84c_a275_4449_9cd7_8d42cfa56065_1"/>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A person other than the holder of a learner's permit must not drive a motor vehicle on a road while there is affixed to the vehicle a L plate in accordance with this regulation.</w:t>
      </w:r>
      <w:bookmarkEnd w:id="207"/>
    </w:p>
    <w:p w14:paraId="3444BB26"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4BCC6EF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r>
      <w:hyperlink w:anchor="id0db8a84c_a275_4449_9cd7_8d42cfa56065_1"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xml:space="preserve"> does not apply to—</w:t>
      </w:r>
    </w:p>
    <w:p w14:paraId="7CC971C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driving a motor vehicle for the purpose of instructing the holder of a learner's permit in the safe and efficient driving of a motor vehicle; or</w:t>
      </w:r>
    </w:p>
    <w:p w14:paraId="571F227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holder of a motor driving instructor's licence driving a motor vehicle that is clearly identified as one being used in the business of driving instruction and proceeding from or to a place where instruction has been or is to be given; or</w:t>
      </w:r>
    </w:p>
    <w:p w14:paraId="607AA94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person driving a motor bike in the course of undertaking a pre</w:t>
      </w:r>
      <w:r w:rsidRPr="002A3021">
        <w:rPr>
          <w:rFonts w:eastAsia="Times New Roman"/>
          <w:color w:val="000000"/>
          <w:sz w:val="23"/>
          <w:szCs w:val="23"/>
          <w:lang w:eastAsia="en-AU"/>
          <w14:ligatures w14:val="standardContextual"/>
        </w:rPr>
        <w:noBreakHyphen/>
        <w:t>learner's permit motor bike training course.</w:t>
      </w:r>
    </w:p>
    <w:p w14:paraId="5CBC74B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8" w:name="Elkera_Print_TOC94"/>
      <w:bookmarkStart w:id="209" w:name="id65780fd3_80f1_4a57_b364_b5f9eeb55bc0_4"/>
      <w:r w:rsidRPr="002A3021">
        <w:rPr>
          <w:rFonts w:eastAsia="Times New Roman"/>
          <w:b/>
          <w:bCs/>
          <w:color w:val="000000"/>
          <w:sz w:val="26"/>
          <w:szCs w:val="26"/>
          <w:lang w:eastAsia="en-AU"/>
          <w14:ligatures w14:val="standardContextual"/>
        </w:rPr>
        <w:t>65—Display of P plates</w:t>
      </w:r>
      <w:bookmarkEnd w:id="208"/>
      <w:bookmarkEnd w:id="209"/>
    </w:p>
    <w:p w14:paraId="44D6503F"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sections 81A(15) and 81AB(3a)(a) of the Act—</w:t>
      </w:r>
    </w:p>
    <w:p w14:paraId="6CD14A7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t>
      </w:r>
    </w:p>
    <w:p w14:paraId="34229F4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in the case of a motor vehicle other than a motor bike—plates bearing the letter "P" (</w:t>
      </w:r>
      <w:r w:rsidRPr="002A3021">
        <w:rPr>
          <w:rFonts w:eastAsia="Times New Roman"/>
          <w:b/>
          <w:bCs/>
          <w:i/>
          <w:iCs/>
          <w:color w:val="000000"/>
          <w:sz w:val="23"/>
          <w:szCs w:val="23"/>
          <w:lang w:eastAsia="en-AU"/>
          <w14:ligatures w14:val="standardContextual"/>
        </w:rPr>
        <w:t>P plates</w:t>
      </w:r>
      <w:r w:rsidRPr="002A3021">
        <w:rPr>
          <w:rFonts w:eastAsia="Times New Roman"/>
          <w:color w:val="000000"/>
          <w:sz w:val="23"/>
          <w:szCs w:val="23"/>
          <w:lang w:eastAsia="en-AU"/>
          <w14:ligatures w14:val="standardContextual"/>
        </w:rPr>
        <w:t>) must be displayed on the vehicle so as to be clearly visible from the front and rear of the vehicle; or</w:t>
      </w:r>
    </w:p>
    <w:p w14:paraId="2F4658B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the case of a motor bike—a P plate must be displayed at, and be clearly visible from, the rear of the motor bike; and</w:t>
      </w:r>
    </w:p>
    <w:p w14:paraId="38C6351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 plate must conform to the following requirements:</w:t>
      </w:r>
    </w:p>
    <w:p w14:paraId="26F0115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plate must measure not less than 14.5 centimetres by 14.5 centimetres;</w:t>
      </w:r>
    </w:p>
    <w:p w14:paraId="62D724B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letter "P" must be displayed in red on a white background and be clearly legible;</w:t>
      </w:r>
    </w:p>
    <w:p w14:paraId="72A7FA4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the letter "P" must be not less than 10.5 centimetres in height and 8 centimetres in width;</w:t>
      </w:r>
    </w:p>
    <w:p w14:paraId="3138B34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the width of every line of the letter "P" must be not less than 2 centimetres.</w:t>
      </w:r>
    </w:p>
    <w:p w14:paraId="6741B96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other than the holder of a provisional licence or a probationary licence issued subject to alcohol interlock scheme conditions must not drive a motor vehicle on a road while there is affixed to the vehicle a P plate in accordance with this regulation.</w:t>
      </w:r>
    </w:p>
    <w:p w14:paraId="5F736B41"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69E6829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0" w:name="Elkera_Print_TOC95"/>
      <w:bookmarkStart w:id="211" w:name="Elkera_Print_BK95"/>
      <w:r w:rsidRPr="002A3021">
        <w:rPr>
          <w:rFonts w:eastAsia="Times New Roman"/>
          <w:b/>
          <w:bCs/>
          <w:color w:val="000000"/>
          <w:sz w:val="26"/>
          <w:szCs w:val="26"/>
          <w:lang w:eastAsia="en-AU"/>
          <w14:ligatures w14:val="standardContextual"/>
        </w:rPr>
        <w:t>66—Exemptions for police officer or police cadet with provisional licence</w:t>
      </w:r>
      <w:bookmarkEnd w:id="210"/>
      <w:bookmarkEnd w:id="211"/>
    </w:p>
    <w:p w14:paraId="4B2CBCD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police officer or police cadet who holds a provisional licence is, while engaged in official duties or training, exempt from the operation of section 81A(4)(b), (11), (13), (15), (16) and (18) of the Act.</w:t>
      </w:r>
    </w:p>
    <w:p w14:paraId="0E56343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2" w:name="Elkera_Print_TOC96"/>
      <w:bookmarkStart w:id="213" w:name="Elkera_Print_BK96"/>
      <w:r w:rsidRPr="002A3021">
        <w:rPr>
          <w:rFonts w:eastAsia="Times New Roman"/>
          <w:b/>
          <w:bCs/>
          <w:color w:val="000000"/>
          <w:sz w:val="26"/>
          <w:szCs w:val="26"/>
          <w:lang w:eastAsia="en-AU"/>
          <w14:ligatures w14:val="standardContextual"/>
        </w:rPr>
        <w:t>67—Prescribed classes of applicants</w:t>
      </w:r>
      <w:bookmarkEnd w:id="212"/>
      <w:bookmarkEnd w:id="213"/>
    </w:p>
    <w:p w14:paraId="1C1EECB7"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81A(7)(b) of the Act, the following classes of applicants are prescribed:</w:t>
      </w:r>
    </w:p>
    <w:p w14:paraId="696BF92D" w14:textId="5680F3AF"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applicants who have held a non</w:t>
      </w:r>
      <w:r w:rsidRPr="002A3021">
        <w:rPr>
          <w:rFonts w:eastAsia="Times New Roman"/>
          <w:color w:val="000000"/>
          <w:sz w:val="23"/>
          <w:szCs w:val="23"/>
          <w:lang w:eastAsia="en-AU"/>
          <w14:ligatures w14:val="standardContextual"/>
        </w:rPr>
        <w:noBreakHyphen/>
        <w:t>provisional licence or interstate non</w:t>
      </w:r>
      <w:r w:rsidRPr="002A3021">
        <w:rPr>
          <w:rFonts w:eastAsia="Times New Roman"/>
          <w:color w:val="000000"/>
          <w:sz w:val="23"/>
          <w:szCs w:val="23"/>
          <w:lang w:eastAsia="en-AU"/>
          <w14:ligatures w14:val="standardContextual"/>
        </w:rPr>
        <w:noBreakHyphen/>
        <w:t>provisional licence but not during the period of 5 years immediately preceding the application;</w:t>
      </w:r>
    </w:p>
    <w:p w14:paraId="2C1177A3"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E43253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applicants who hold an interstate non</w:t>
      </w:r>
      <w:r w:rsidRPr="002A3021">
        <w:rPr>
          <w:rFonts w:eastAsia="Times New Roman"/>
          <w:color w:val="000000"/>
          <w:sz w:val="23"/>
          <w:szCs w:val="23"/>
          <w:lang w:eastAsia="en-AU"/>
          <w14:ligatures w14:val="standardContextual"/>
        </w:rPr>
        <w:noBreakHyphen/>
        <w:t>provisional licence but who are under the age of 20 years;</w:t>
      </w:r>
    </w:p>
    <w:p w14:paraId="20F8729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applicants who hold an interstate provisional licence.</w:t>
      </w:r>
    </w:p>
    <w:p w14:paraId="76511E8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4" w:name="Elkera_Print_TOC97"/>
      <w:bookmarkStart w:id="215" w:name="Elkera_Print_BK97"/>
      <w:r w:rsidRPr="002A3021">
        <w:rPr>
          <w:rFonts w:eastAsia="Times New Roman"/>
          <w:b/>
          <w:bCs/>
          <w:color w:val="000000"/>
          <w:sz w:val="26"/>
          <w:szCs w:val="26"/>
          <w:lang w:eastAsia="en-AU"/>
          <w14:ligatures w14:val="standardContextual"/>
        </w:rPr>
        <w:t>68—Offence against section 81A(16) of Act—defence of driving in prescribed circumstances (section 81A(17)(b) of Act)</w:t>
      </w:r>
      <w:bookmarkEnd w:id="214"/>
      <w:bookmarkEnd w:id="215"/>
    </w:p>
    <w:p w14:paraId="210D6E80"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81A(17)(b) of the Act, driving a motor vehicle in the course of undertaking—</w:t>
      </w:r>
    </w:p>
    <w:p w14:paraId="1B54DA6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recognised secondary education or training; or</w:t>
      </w:r>
    </w:p>
    <w:p w14:paraId="214A5F5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recognised tertiary education or training; or</w:t>
      </w:r>
    </w:p>
    <w:p w14:paraId="3D38EEA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recognised vocational education and training,</w:t>
      </w:r>
    </w:p>
    <w:p w14:paraId="4C28C9F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driving the motor vehicle in prescribed circumstances.</w:t>
      </w:r>
    </w:p>
    <w:p w14:paraId="53D9239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6" w:name="Elkera_Print_TOC98"/>
      <w:bookmarkStart w:id="217" w:name="Elkera_Print_BK98"/>
      <w:r w:rsidRPr="002A3021">
        <w:rPr>
          <w:rFonts w:eastAsia="Times New Roman"/>
          <w:b/>
          <w:bCs/>
          <w:color w:val="000000"/>
          <w:sz w:val="26"/>
          <w:szCs w:val="26"/>
          <w:lang w:eastAsia="en-AU"/>
          <w14:ligatures w14:val="standardContextual"/>
        </w:rPr>
        <w:t>69—Section 81AC(1) of Act—prescribed class of motor bike licence</w:t>
      </w:r>
      <w:bookmarkEnd w:id="216"/>
      <w:bookmarkEnd w:id="217"/>
    </w:p>
    <w:p w14:paraId="4C37DC7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For the purposes of the definition of </w:t>
      </w:r>
      <w:r w:rsidRPr="002A3021">
        <w:rPr>
          <w:rFonts w:eastAsia="Times New Roman"/>
          <w:b/>
          <w:bCs/>
          <w:i/>
          <w:iCs/>
          <w:color w:val="000000"/>
          <w:sz w:val="23"/>
          <w:szCs w:val="23"/>
          <w:lang w:eastAsia="en-AU"/>
          <w14:ligatures w14:val="standardContextual"/>
        </w:rPr>
        <w:t>prescribed motor bike licence</w:t>
      </w:r>
      <w:r w:rsidRPr="002A3021">
        <w:rPr>
          <w:rFonts w:eastAsia="Times New Roman"/>
          <w:color w:val="000000"/>
          <w:sz w:val="23"/>
          <w:szCs w:val="23"/>
          <w:lang w:eastAsia="en-AU"/>
          <w14:ligatures w14:val="standardContextual"/>
        </w:rPr>
        <w:t xml:space="preserve"> in section 81AC(1) of the Act, a licence assigned the classification R</w:t>
      </w:r>
      <w:r w:rsidRPr="002A3021">
        <w:rPr>
          <w:rFonts w:eastAsia="Times New Roman"/>
          <w:color w:val="000000"/>
          <w:sz w:val="23"/>
          <w:szCs w:val="23"/>
          <w:lang w:eastAsia="en-AU"/>
          <w14:ligatures w14:val="standardContextual"/>
        </w:rPr>
        <w:noBreakHyphen/>
        <w:t>DATE is prescribed.</w:t>
      </w:r>
    </w:p>
    <w:p w14:paraId="1611449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8" w:name="Elkera_Print_TOC99"/>
      <w:bookmarkStart w:id="219" w:name="Elkera_Print_BK99"/>
      <w:r w:rsidRPr="002A3021">
        <w:rPr>
          <w:rFonts w:eastAsia="Times New Roman"/>
          <w:b/>
          <w:bCs/>
          <w:color w:val="000000"/>
          <w:sz w:val="26"/>
          <w:szCs w:val="26"/>
          <w:lang w:eastAsia="en-AU"/>
          <w14:ligatures w14:val="standardContextual"/>
        </w:rPr>
        <w:t>70—Application for high powered vehicle exemption</w:t>
      </w:r>
      <w:bookmarkEnd w:id="218"/>
      <w:bookmarkEnd w:id="219"/>
    </w:p>
    <w:p w14:paraId="2F81A87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An application for a high powered vehicle exemption must be made to the Registrar in writing and must include such evidence in support of the application as the Registrar may require.</w:t>
      </w:r>
    </w:p>
    <w:p w14:paraId="1C28422F"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0" w:name="Elkera_Print_TOC100"/>
      <w:bookmarkStart w:id="221" w:name="Elkera_Print_BK100"/>
      <w:r w:rsidRPr="002A3021">
        <w:rPr>
          <w:rFonts w:eastAsia="Times New Roman"/>
          <w:b/>
          <w:bCs/>
          <w:color w:val="000000"/>
          <w:sz w:val="26"/>
          <w:szCs w:val="26"/>
          <w:lang w:eastAsia="en-AU"/>
          <w14:ligatures w14:val="standardContextual"/>
        </w:rPr>
        <w:t>71—Issue of certificate of high powered vehicle exemption</w:t>
      </w:r>
      <w:bookmarkEnd w:id="220"/>
      <w:bookmarkEnd w:id="221"/>
    </w:p>
    <w:p w14:paraId="4F7FC8F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must, on granting a high powered vehicle exemption to the holder of a P1 or P2 licence, issue the holder of the licence with a certificate of exemption.</w:t>
      </w:r>
    </w:p>
    <w:p w14:paraId="744D4E9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2" w:name="Elkera_Print_TOC101"/>
      <w:bookmarkStart w:id="223" w:name="Elkera_Print_BK101"/>
      <w:r w:rsidRPr="002A3021">
        <w:rPr>
          <w:rFonts w:eastAsia="Times New Roman"/>
          <w:b/>
          <w:bCs/>
          <w:color w:val="000000"/>
          <w:sz w:val="26"/>
          <w:szCs w:val="26"/>
          <w:lang w:eastAsia="en-AU"/>
          <w14:ligatures w14:val="standardContextual"/>
        </w:rPr>
        <w:t>72—Issue of duplicate certificate of high powered vehicle exemption</w:t>
      </w:r>
      <w:bookmarkEnd w:id="222"/>
      <w:bookmarkEnd w:id="223"/>
    </w:p>
    <w:p w14:paraId="54CC22A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On application by the holder of a high powered vehicle exemption and payment of the prescribed fee, the Registrar may, if satisfied that the certificate of exemption has been lost, stolen, or destroyed, or on the surrender of the certificate to the Registrar, issue to the holder a duplicate certificate.</w:t>
      </w:r>
    </w:p>
    <w:p w14:paraId="36599AC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4" w:name="Elkera_Print_TOC102"/>
      <w:bookmarkStart w:id="225" w:name="Elkera_Print_BK102"/>
      <w:r w:rsidRPr="002A3021">
        <w:rPr>
          <w:rFonts w:eastAsia="Times New Roman"/>
          <w:b/>
          <w:bCs/>
          <w:color w:val="000000"/>
          <w:sz w:val="26"/>
          <w:szCs w:val="26"/>
          <w:lang w:eastAsia="en-AU"/>
          <w14:ligatures w14:val="standardContextual"/>
        </w:rPr>
        <w:t>73—Surrender of high powered vehicle certificate on surrender of licence</w:t>
      </w:r>
      <w:bookmarkEnd w:id="224"/>
      <w:bookmarkEnd w:id="225"/>
    </w:p>
    <w:p w14:paraId="2692F29F"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 a P1 or P2 licence to which a high powered vehicle exemption relates is surrendered, the person surrendering the licence must, at the same time, surrender the certificate of exemption.</w:t>
      </w:r>
    </w:p>
    <w:p w14:paraId="6E72980C"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3D3FFFD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6" w:name="Elkera_Print_TOC103"/>
      <w:bookmarkStart w:id="227" w:name="Elkera_Print_BK103"/>
      <w:r w:rsidRPr="002A3021">
        <w:rPr>
          <w:rFonts w:eastAsia="Times New Roman"/>
          <w:b/>
          <w:bCs/>
          <w:color w:val="000000"/>
          <w:sz w:val="26"/>
          <w:szCs w:val="26"/>
          <w:lang w:eastAsia="en-AU"/>
          <w14:ligatures w14:val="standardContextual"/>
        </w:rPr>
        <w:t>74—Requirement to produce certificate of high powered vehicle exemption</w:t>
      </w:r>
      <w:bookmarkEnd w:id="226"/>
      <w:bookmarkEnd w:id="227"/>
    </w:p>
    <w:p w14:paraId="5B46C22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the holder of a high powered vehicle exemption is required to produce their licence under section 96, 97 or 139BA of the Act, the court, person or body imposing the requirement may also require the holder to produce the certificate of exemption at the same time.</w:t>
      </w:r>
    </w:p>
    <w:p w14:paraId="449262D3"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must comply with a requirement for production of a certificate imposed under this regulation.</w:t>
      </w:r>
    </w:p>
    <w:p w14:paraId="3EE615A4" w14:textId="6D2DEBD7" w:rsidR="00B23EB4"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15BD96B6"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BD8F80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(3)</w:t>
      </w:r>
      <w:r w:rsidRPr="002A3021">
        <w:rPr>
          <w:rFonts w:eastAsia="Times New Roman"/>
          <w:color w:val="000000"/>
          <w:sz w:val="23"/>
          <w:szCs w:val="23"/>
          <w:lang w:eastAsia="en-AU"/>
          <w14:ligatures w14:val="standardContextual"/>
        </w:rPr>
        <w:tab/>
        <w:t>If a certificate is produced under this regulation and the licence to which it relates is to be cancelled or suspended or has become void, or a disqualification is imposed on the holder of the licence, the court, person or body to whom it is produced, or, in any case, the Registrar, may retain the certificate.</w:t>
      </w:r>
    </w:p>
    <w:p w14:paraId="6DAF773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8" w:name="Elkera_Print_TOC104"/>
      <w:bookmarkStart w:id="229" w:name="Elkera_Print_BK104"/>
      <w:r w:rsidRPr="002A3021">
        <w:rPr>
          <w:rFonts w:eastAsia="Times New Roman"/>
          <w:b/>
          <w:bCs/>
          <w:color w:val="000000"/>
          <w:sz w:val="26"/>
          <w:szCs w:val="26"/>
          <w:lang w:eastAsia="en-AU"/>
          <w14:ligatures w14:val="standardContextual"/>
        </w:rPr>
        <w:t>75—Duty to carry certificate of high powered vehicle exemption</w:t>
      </w:r>
      <w:bookmarkEnd w:id="228"/>
      <w:bookmarkEnd w:id="229"/>
    </w:p>
    <w:p w14:paraId="7F7D3093"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holder of a high powered vehicle exemption must carry the certificate of exemption at all times while driving a high powered vehicle and must produce the certificate immediately if requested to do so by a police officer.</w:t>
      </w:r>
    </w:p>
    <w:p w14:paraId="00BD6F38"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7E60558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0" w:name="Elkera_Print_TOC105"/>
      <w:bookmarkStart w:id="231" w:name="Elkera_Print_BK105"/>
      <w:r w:rsidRPr="002A3021">
        <w:rPr>
          <w:rFonts w:eastAsia="Times New Roman"/>
          <w:b/>
          <w:bCs/>
          <w:color w:val="000000"/>
          <w:sz w:val="26"/>
          <w:szCs w:val="26"/>
          <w:lang w:eastAsia="en-AU"/>
          <w14:ligatures w14:val="standardContextual"/>
        </w:rPr>
        <w:t>76—Cancellation of high powered vehicle exemption granted in error</w:t>
      </w:r>
      <w:bookmarkEnd w:id="230"/>
      <w:bookmarkEnd w:id="231"/>
    </w:p>
    <w:p w14:paraId="50BE70B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the Registrar is satisfied that a high powered vehicle exemption has been granted in error, the Registrar may cancel the exemption.</w:t>
      </w:r>
    </w:p>
    <w:p w14:paraId="34F6085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If the Registrar decides to exercise a power to cancel a high powered vehicle exemption, the Registrar must give the person notice in writing requiring the person to produce the certificate of exemption to the Registrar within a specified period and setting out—</w:t>
      </w:r>
    </w:p>
    <w:p w14:paraId="5DAB143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reasons for the cancellation; and</w:t>
      </w:r>
    </w:p>
    <w:p w14:paraId="0732C88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date on which the exemption is cancelled; and</w:t>
      </w:r>
    </w:p>
    <w:p w14:paraId="4243173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right to apply for a review of the decision.</w:t>
      </w:r>
    </w:p>
    <w:p w14:paraId="22DE79B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A person must comply with a requirement to produce a certificate under this regulation.</w:t>
      </w:r>
    </w:p>
    <w:p w14:paraId="4BF02810"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573DCBB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A certificate produced under this regulation may be retained by the Registrar.</w:t>
      </w:r>
    </w:p>
    <w:p w14:paraId="78BC5C5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2" w:name="Elkera_Print_TOC106"/>
      <w:bookmarkStart w:id="233" w:name="Elkera_Print_BK106"/>
      <w:r w:rsidRPr="002A3021">
        <w:rPr>
          <w:rFonts w:eastAsia="Times New Roman"/>
          <w:b/>
          <w:bCs/>
          <w:color w:val="000000"/>
          <w:sz w:val="26"/>
          <w:szCs w:val="26"/>
          <w:lang w:eastAsia="en-AU"/>
          <w14:ligatures w14:val="standardContextual"/>
        </w:rPr>
        <w:t>77—High powered vehicle exemption falsely obtained is void</w:t>
      </w:r>
      <w:bookmarkEnd w:id="232"/>
      <w:bookmarkEnd w:id="233"/>
    </w:p>
    <w:p w14:paraId="6D2FF01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high powered vehicle exemption that is granted by the Registrar on the basis of a false or misleading statement of the applicant or false or misleading evidence produced by the applicant is void and of no effect.</w:t>
      </w:r>
    </w:p>
    <w:p w14:paraId="631A84E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must not, without lawful excuse, have possession of a certificate of a high powered vehicle exemption if the exemption was granted by the Registrar on the basis of a false or misleading statement of the applicant or false or misleading evidence produced by the applicant.</w:t>
      </w:r>
    </w:p>
    <w:p w14:paraId="0B68CCEA"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4E89D55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4" w:name="Elkera_Print_TOC107"/>
      <w:bookmarkStart w:id="235" w:name="Elkera_Print_BK107"/>
      <w:r w:rsidRPr="002A3021">
        <w:rPr>
          <w:rFonts w:eastAsia="Times New Roman"/>
          <w:b/>
          <w:bCs/>
          <w:color w:val="000000"/>
          <w:sz w:val="26"/>
          <w:szCs w:val="26"/>
          <w:lang w:eastAsia="en-AU"/>
          <w14:ligatures w14:val="standardContextual"/>
        </w:rPr>
        <w:t>78—Certificate of high powered vehicle exemption unlawfully altered or damaged is void</w:t>
      </w:r>
      <w:bookmarkEnd w:id="234"/>
      <w:bookmarkEnd w:id="235"/>
    </w:p>
    <w:p w14:paraId="18C979F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a person, without lawful authority, wilfully alters, defaces or otherwise damages a certificate of a high powered vehicle exemption, the certificate is void and of no effect.</w:t>
      </w:r>
    </w:p>
    <w:p w14:paraId="0459B88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who, without lawful authority, possesses a certificate of a high powered vehicle exemption that has been wilfully altered, defaced or damaged is guilty of an offence.</w:t>
      </w:r>
    </w:p>
    <w:p w14:paraId="0108CFD0" w14:textId="631FCD42" w:rsidR="00B23EB4"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561240B5"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A191DF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6" w:name="Elkera_Print_TOC109"/>
      <w:bookmarkStart w:id="237" w:name="id0ebff841_e90e_40f8_961b_00889f024b21_d"/>
      <w:r w:rsidRPr="002A3021">
        <w:rPr>
          <w:rFonts w:eastAsia="Times New Roman"/>
          <w:b/>
          <w:bCs/>
          <w:color w:val="000000"/>
          <w:sz w:val="26"/>
          <w:szCs w:val="26"/>
          <w:lang w:eastAsia="en-AU"/>
          <w14:ligatures w14:val="standardContextual"/>
        </w:rPr>
        <w:lastRenderedPageBreak/>
        <w:t>79—Attendance at lectures by holder of learner's permit etc who contravenes probationary conditions or incurs 4 or more demerit points</w:t>
      </w:r>
      <w:bookmarkEnd w:id="236"/>
      <w:bookmarkEnd w:id="237"/>
    </w:p>
    <w:p w14:paraId="409EE6B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81B(2) of the Act, lectures must be conducted as to motor vehicle accidents and their causes and consequences in a manner determined by the Registrar.</w:t>
      </w:r>
    </w:p>
    <w:p w14:paraId="2B06E8C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who is convicted or found guilty of an offence against section 75A(14), 81A(9) or 81AB(5) of the Act is exempt from the operation of section 81B(2) and 81B(3) of the Act if the person resides outside Metropolitan Adelaide.</w:t>
      </w:r>
    </w:p>
    <w:p w14:paraId="431E024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8" w:name="Elkera_Print_TOC110"/>
      <w:bookmarkStart w:id="239" w:name="Elkera_Print_BK110"/>
      <w:r w:rsidRPr="002A3021">
        <w:rPr>
          <w:rFonts w:eastAsia="Times New Roman"/>
          <w:b/>
          <w:bCs/>
          <w:color w:val="000000"/>
          <w:sz w:val="26"/>
          <w:szCs w:val="26"/>
          <w:lang w:eastAsia="en-AU"/>
          <w14:ligatures w14:val="standardContextual"/>
        </w:rPr>
        <w:t>80—Manner of giving Registrar notice of decision to enter into Safer Driver Agreement</w:t>
      </w:r>
      <w:bookmarkEnd w:id="238"/>
      <w:bookmarkEnd w:id="239"/>
    </w:p>
    <w:p w14:paraId="71491BC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a notice of disqualification is given to a person by post, notice of a decision to enter into a Safer Driver Agreement under section 81BA(2) of the Act is to be given by the person lodging with the Registrar, at a place of a kind prescribed for the purposes of section 139BD(3)(a)(i) of the Act, the following documents signed by the person and completed in accordance with the instructions contained in the documents:</w:t>
      </w:r>
    </w:p>
    <w:p w14:paraId="1CBC7D6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notice of disqualification;</w:t>
      </w:r>
    </w:p>
    <w:p w14:paraId="0623FB6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application to enter into a Safer Driver Agreement in a form approved by the Minister.</w:t>
      </w:r>
    </w:p>
    <w:p w14:paraId="2D6FE16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If a notice of disqualification is given to a person by personal service, notice of a decision to enter into a Safer Driver Agreement under section 81BA(2) of the Act is to be given by the person lodging with the Registrar, at a place of a kind prescribed for the purposes of section 139BD(3)(a)(i) of the Act, an application to enter into a Safer Driver Agreement in a form approved by the Minister, signed by the person and completed in accordance with the instructions contained in the form.</w:t>
      </w:r>
    </w:p>
    <w:p w14:paraId="3827F1F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0" w:name="Elkera_Print_TOC111"/>
      <w:bookmarkStart w:id="241" w:name="Elkera_Print_BK111"/>
      <w:r w:rsidRPr="002A3021">
        <w:rPr>
          <w:rFonts w:eastAsia="Times New Roman"/>
          <w:b/>
          <w:bCs/>
          <w:color w:val="000000"/>
          <w:sz w:val="26"/>
          <w:szCs w:val="26"/>
          <w:lang w:eastAsia="en-AU"/>
          <w14:ligatures w14:val="standardContextual"/>
        </w:rPr>
        <w:t>81—Exemption from section 81BB(7)(a) of Act</w:t>
      </w:r>
      <w:bookmarkEnd w:id="240"/>
      <w:bookmarkEnd w:id="241"/>
    </w:p>
    <w:p w14:paraId="6F7B0CC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the Magistrates Court allows an appeal by a person against a disqualification under section 81B of the Act and the person holds a licence immediately before the determination of the appeal, the person is exempt from the operation of section 81BB(7)(a) of the Act—</w:t>
      </w:r>
    </w:p>
    <w:p w14:paraId="5EA67CB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until the expiration of 2 business days after the day on which the appeal is determined; or</w:t>
      </w:r>
    </w:p>
    <w:p w14:paraId="340B88D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until the person applies for a licence in accordance with section 81BB(7)(b) of the Act,</w:t>
      </w:r>
    </w:p>
    <w:p w14:paraId="398E875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whichever occurs first.</w:t>
      </w:r>
    </w:p>
    <w:p w14:paraId="2BE9D9A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In this regulation—</w:t>
      </w:r>
    </w:p>
    <w:p w14:paraId="454FFAD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business day</w:t>
      </w:r>
      <w:r w:rsidRPr="002A3021">
        <w:rPr>
          <w:rFonts w:eastAsia="Times New Roman"/>
          <w:color w:val="000000"/>
          <w:sz w:val="23"/>
          <w:szCs w:val="23"/>
          <w:lang w:eastAsia="en-AU"/>
          <w14:ligatures w14:val="standardContextual"/>
        </w:rPr>
        <w:t xml:space="preserve"> means any day except—</w:t>
      </w:r>
    </w:p>
    <w:p w14:paraId="2855F64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Saturday, Sunday or public holiday; or</w:t>
      </w:r>
    </w:p>
    <w:p w14:paraId="04D5A6D0" w14:textId="1442B039"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day which falls between 25 December and 1 January in the following year.</w:t>
      </w:r>
    </w:p>
    <w:p w14:paraId="5D6F26FD"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36D22B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2" w:name="Elkera_Print_TOC112"/>
      <w:bookmarkStart w:id="243" w:name="Elkera_Print_BK112"/>
      <w:r w:rsidRPr="002A3021">
        <w:rPr>
          <w:rFonts w:eastAsia="Times New Roman"/>
          <w:b/>
          <w:bCs/>
          <w:color w:val="000000"/>
          <w:sz w:val="26"/>
          <w:szCs w:val="26"/>
          <w:lang w:eastAsia="en-AU"/>
          <w14:ligatures w14:val="standardContextual"/>
        </w:rPr>
        <w:lastRenderedPageBreak/>
        <w:t>82—Exemption from duty to carry and produce probationary licence or provisional licence for police officers and police cadets</w:t>
      </w:r>
      <w:bookmarkEnd w:id="242"/>
      <w:bookmarkEnd w:id="243"/>
    </w:p>
    <w:p w14:paraId="5CD8FC2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police officer or police cadet who holds a probationary licence or provisional licence is, while engaged in official duties or training, exempt from the operation of section 98AAB of the Act.</w:t>
      </w:r>
    </w:p>
    <w:p w14:paraId="0B4E36D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4" w:name="Elkera_Print_TOC113"/>
      <w:bookmarkStart w:id="245" w:name="Elkera_Print_BK113"/>
      <w:r w:rsidRPr="002A3021">
        <w:rPr>
          <w:rFonts w:eastAsia="Times New Roman"/>
          <w:b/>
          <w:bCs/>
          <w:color w:val="000000"/>
          <w:sz w:val="26"/>
          <w:szCs w:val="26"/>
          <w:lang w:eastAsia="en-AU"/>
          <w14:ligatures w14:val="standardContextual"/>
        </w:rPr>
        <w:t>83—Cancellation of motor driving instructor's licence on surrender</w:t>
      </w:r>
      <w:bookmarkEnd w:id="244"/>
      <w:bookmarkEnd w:id="245"/>
    </w:p>
    <w:p w14:paraId="5299B0D0"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may cancel a motor driving instructor's licence if—</w:t>
      </w:r>
    </w:p>
    <w:p w14:paraId="6D2100F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holder of the licence gives the Registrar written notice of the holder's wish to surrender the licence; and</w:t>
      </w:r>
    </w:p>
    <w:p w14:paraId="262DEE2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Registrar is satisfied that the licence, or any duplicate of the licence, has been returned or has been lost or destroyed.</w:t>
      </w:r>
    </w:p>
    <w:p w14:paraId="4B16F8E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6" w:name="Elkera_Print_TOC114"/>
      <w:bookmarkStart w:id="247" w:name="Elkera_Print_BK114"/>
      <w:r w:rsidRPr="002A3021">
        <w:rPr>
          <w:rFonts w:eastAsia="Times New Roman"/>
          <w:b/>
          <w:bCs/>
          <w:color w:val="000000"/>
          <w:sz w:val="26"/>
          <w:szCs w:val="26"/>
          <w:lang w:eastAsia="en-AU"/>
          <w14:ligatures w14:val="standardContextual"/>
        </w:rPr>
        <w:t>84—Endorsement of conditions on driver's licences and learner's permits</w:t>
      </w:r>
      <w:bookmarkEnd w:id="246"/>
      <w:bookmarkEnd w:id="247"/>
    </w:p>
    <w:p w14:paraId="4B57BDD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Conditions of driver's licences and learner's permits must be endorsed in accordance with </w:t>
      </w:r>
      <w:hyperlink w:anchor="id35f3213d_a88c_4973_96b0_dabbe37e8376_3" w:history="1">
        <w:r w:rsidRPr="002A3021">
          <w:rPr>
            <w:rFonts w:eastAsia="Times New Roman"/>
            <w:color w:val="000000"/>
            <w:sz w:val="23"/>
            <w:szCs w:val="23"/>
            <w:lang w:eastAsia="en-AU"/>
            <w14:ligatures w14:val="standardContextual"/>
          </w:rPr>
          <w:t>Schedule 3</w:t>
        </w:r>
      </w:hyperlink>
      <w:r w:rsidRPr="002A3021">
        <w:rPr>
          <w:rFonts w:eastAsia="Times New Roman"/>
          <w:color w:val="000000"/>
          <w:sz w:val="23"/>
          <w:szCs w:val="23"/>
          <w:lang w:eastAsia="en-AU"/>
          <w14:ligatures w14:val="standardContextual"/>
        </w:rPr>
        <w:t>.</w:t>
      </w:r>
    </w:p>
    <w:p w14:paraId="001AA79E"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48" w:name="Elkera_Print_TOC115"/>
      <w:bookmarkStart w:id="249" w:name="Elkera_Print_BK115"/>
      <w:r w:rsidRPr="002A3021">
        <w:rPr>
          <w:rFonts w:eastAsia="Times New Roman"/>
          <w:b/>
          <w:bCs/>
          <w:color w:val="000000"/>
          <w:sz w:val="28"/>
          <w:szCs w:val="28"/>
          <w:lang w:eastAsia="en-AU"/>
          <w14:ligatures w14:val="standardContextual"/>
        </w:rPr>
        <w:t>Division 3—Alcohol interlock schemes</w:t>
      </w:r>
      <w:bookmarkEnd w:id="248"/>
      <w:bookmarkEnd w:id="249"/>
    </w:p>
    <w:p w14:paraId="199D08F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0" w:name="Elkera_Print_TOC116"/>
      <w:bookmarkStart w:id="251" w:name="Elkera_Print_BK116"/>
      <w:r w:rsidRPr="002A3021">
        <w:rPr>
          <w:rFonts w:eastAsia="Times New Roman"/>
          <w:b/>
          <w:bCs/>
          <w:color w:val="000000"/>
          <w:sz w:val="26"/>
          <w:szCs w:val="26"/>
          <w:lang w:eastAsia="en-AU"/>
          <w14:ligatures w14:val="standardContextual"/>
        </w:rPr>
        <w:t>85—Circumstances in which licence not subject to mandatory alcohol interlock scheme conditions</w:t>
      </w:r>
      <w:bookmarkEnd w:id="250"/>
      <w:bookmarkEnd w:id="251"/>
    </w:p>
    <w:p w14:paraId="386D4718"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81E(4) of the Act, the prescribed circumstances are that—</w:t>
      </w:r>
    </w:p>
    <w:p w14:paraId="534D2C6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applicant for a licence is unable to operate an alcohol interlock by reason of some physical or medical condition of the applicant; and</w:t>
      </w:r>
    </w:p>
    <w:p w14:paraId="52AC6E4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it is not reasonably practicable for an alcohol interlock to be modified so as to enable the applicant to operate the device.</w:t>
      </w:r>
    </w:p>
    <w:p w14:paraId="3C0FD9AF"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2" w:name="Elkera_Print_TOC117"/>
      <w:bookmarkStart w:id="253" w:name="Elkera_Print_BK117"/>
      <w:r w:rsidRPr="002A3021">
        <w:rPr>
          <w:rFonts w:eastAsia="Times New Roman"/>
          <w:b/>
          <w:bCs/>
          <w:color w:val="000000"/>
          <w:sz w:val="26"/>
          <w:szCs w:val="26"/>
          <w:lang w:eastAsia="en-AU"/>
          <w14:ligatures w14:val="standardContextual"/>
        </w:rPr>
        <w:t>86—Testing of alcohol interlocks</w:t>
      </w:r>
      <w:bookmarkEnd w:id="252"/>
      <w:bookmarkEnd w:id="253"/>
    </w:p>
    <w:p w14:paraId="471EEF62"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81H(5) of the Act, an alcohol interlock fitted to a vehicle must have been tested not more than 60 days before, and not more than 60 days after, the time of the vehicle's operation specified in the relevant certificate.</w:t>
      </w:r>
    </w:p>
    <w:p w14:paraId="08D25028"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54" w:name="Elkera_Print_TOC118"/>
      <w:bookmarkStart w:id="255" w:name="Elkera_Print_BK118"/>
      <w:r w:rsidRPr="002A3021">
        <w:rPr>
          <w:rFonts w:eastAsia="Times New Roman"/>
          <w:b/>
          <w:bCs/>
          <w:color w:val="000000"/>
          <w:sz w:val="32"/>
          <w:szCs w:val="32"/>
          <w:lang w:eastAsia="en-AU"/>
          <w14:ligatures w14:val="standardContextual"/>
        </w:rPr>
        <w:t>Part 4—Motor driving instructors' licences</w:t>
      </w:r>
      <w:bookmarkEnd w:id="254"/>
      <w:bookmarkEnd w:id="255"/>
    </w:p>
    <w:p w14:paraId="0759C1F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6" w:name="Elkera_Print_TOC119"/>
      <w:bookmarkStart w:id="257" w:name="Elkera_Print_BK119"/>
      <w:r w:rsidRPr="002A3021">
        <w:rPr>
          <w:rFonts w:eastAsia="Times New Roman"/>
          <w:b/>
          <w:bCs/>
          <w:color w:val="000000"/>
          <w:sz w:val="26"/>
          <w:szCs w:val="26"/>
          <w:lang w:eastAsia="en-AU"/>
          <w14:ligatures w14:val="standardContextual"/>
        </w:rPr>
        <w:t>87—Applicant for licence to supply photographs to Registrar</w:t>
      </w:r>
      <w:bookmarkEnd w:id="256"/>
      <w:bookmarkEnd w:id="257"/>
    </w:p>
    <w:p w14:paraId="1971B888"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An applicant for a motor driving instructor's licence must, if requested to do so by the Registrar, supply 2 unmounted copies of a recent photograph of the applicant that—</w:t>
      </w:r>
    </w:p>
    <w:p w14:paraId="3AC0F08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depict only the head and shoulders of the applicant taken "full face" without any head covering and against a plain background; and</w:t>
      </w:r>
    </w:p>
    <w:p w14:paraId="16D9457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are of a size determined by the Registrar.</w:t>
      </w:r>
    </w:p>
    <w:p w14:paraId="2849A8F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8" w:name="Elkera_Print_TOC120"/>
      <w:bookmarkStart w:id="259" w:name="Elkera_Print_BK120"/>
      <w:r w:rsidRPr="002A3021">
        <w:rPr>
          <w:rFonts w:eastAsia="Times New Roman"/>
          <w:b/>
          <w:bCs/>
          <w:color w:val="000000"/>
          <w:sz w:val="26"/>
          <w:szCs w:val="26"/>
          <w:lang w:eastAsia="en-AU"/>
          <w14:ligatures w14:val="standardContextual"/>
        </w:rPr>
        <w:t>88—Applicant for licence to pay fees before proficiency tests</w:t>
      </w:r>
      <w:bookmarkEnd w:id="258"/>
      <w:bookmarkEnd w:id="259"/>
    </w:p>
    <w:p w14:paraId="2CE3C5F4" w14:textId="7B4A7C21"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An applicant for a motor driving instructor's licence is not entitled to undergo the proficiency tests required by the Registrar under section 98A(5) of the Act unless the applicant has paid to the Registrar the appropriate fees set out in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w:t>
      </w:r>
    </w:p>
    <w:p w14:paraId="7388FB31"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92DDA4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0" w:name="Elkera_Print_TOC121"/>
      <w:bookmarkStart w:id="261" w:name="Elkera_Print_BK121"/>
      <w:r w:rsidRPr="002A3021">
        <w:rPr>
          <w:rFonts w:eastAsia="Times New Roman"/>
          <w:b/>
          <w:bCs/>
          <w:color w:val="000000"/>
          <w:sz w:val="26"/>
          <w:szCs w:val="26"/>
          <w:lang w:eastAsia="en-AU"/>
          <w14:ligatures w14:val="standardContextual"/>
        </w:rPr>
        <w:lastRenderedPageBreak/>
        <w:t>89—Exemption from duty to hold motor driving instructor's licence for approved motor bike training courses</w:t>
      </w:r>
      <w:bookmarkEnd w:id="260"/>
      <w:bookmarkEnd w:id="261"/>
    </w:p>
    <w:p w14:paraId="2F1C08A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person is exempt from section 98A of the Act for the purposes of conducting a motor bike training course approved by the Registrar.</w:t>
      </w:r>
    </w:p>
    <w:p w14:paraId="618491E2"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62" w:name="Elkera_Print_TOC122"/>
      <w:bookmarkStart w:id="263" w:name="Elkera_Print_BK122"/>
      <w:r w:rsidRPr="002A3021">
        <w:rPr>
          <w:rFonts w:eastAsia="Times New Roman"/>
          <w:b/>
          <w:bCs/>
          <w:color w:val="000000"/>
          <w:sz w:val="32"/>
          <w:szCs w:val="32"/>
          <w:lang w:eastAsia="en-AU"/>
          <w14:ligatures w14:val="standardContextual"/>
        </w:rPr>
        <w:t>Part 5—Demerit points scheme</w:t>
      </w:r>
      <w:bookmarkEnd w:id="262"/>
      <w:bookmarkEnd w:id="263"/>
    </w:p>
    <w:p w14:paraId="35DD732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4" w:name="Elkera_Print_TOC123"/>
      <w:bookmarkStart w:id="265" w:name="Elkera_Print_BK123"/>
      <w:r w:rsidRPr="002A3021">
        <w:rPr>
          <w:rFonts w:eastAsia="Times New Roman"/>
          <w:b/>
          <w:bCs/>
          <w:color w:val="000000"/>
          <w:sz w:val="26"/>
          <w:szCs w:val="26"/>
          <w:lang w:eastAsia="en-AU"/>
          <w14:ligatures w14:val="standardContextual"/>
        </w:rPr>
        <w:t>90—Demerit points for offences</w:t>
      </w:r>
      <w:bookmarkEnd w:id="264"/>
      <w:bookmarkEnd w:id="265"/>
    </w:p>
    <w:p w14:paraId="0B986AA7"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 98B(1) of the Act—</w:t>
      </w:r>
    </w:p>
    <w:p w14:paraId="7140525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offences specified in </w:t>
      </w:r>
      <w:hyperlink w:anchor="id30c33d1c_ae29_4698_9210_7e6f0c0f4f28_a" w:history="1">
        <w:r w:rsidRPr="002A3021">
          <w:rPr>
            <w:rFonts w:eastAsia="Times New Roman"/>
            <w:color w:val="000000"/>
            <w:sz w:val="23"/>
            <w:szCs w:val="23"/>
            <w:lang w:eastAsia="en-AU"/>
            <w14:ligatures w14:val="standardContextual"/>
          </w:rPr>
          <w:t>Schedule 4</w:t>
        </w:r>
      </w:hyperlink>
      <w:r w:rsidRPr="002A3021">
        <w:rPr>
          <w:rFonts w:eastAsia="Times New Roman"/>
          <w:color w:val="000000"/>
          <w:sz w:val="23"/>
          <w:szCs w:val="23"/>
          <w:lang w:eastAsia="en-AU"/>
          <w14:ligatures w14:val="standardContextual"/>
        </w:rPr>
        <w:t xml:space="preserve"> are prescribed; and</w:t>
      </w:r>
    </w:p>
    <w:p w14:paraId="4BA302D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number of demerit points incurred by a person on conviction or expiation of an offence specified in </w:t>
      </w:r>
      <w:hyperlink w:anchor="id30c33d1c_ae29_4698_9210_7e6f0c0f4f28_a" w:history="1">
        <w:r w:rsidRPr="002A3021">
          <w:rPr>
            <w:rFonts w:eastAsia="Times New Roman"/>
            <w:color w:val="000000"/>
            <w:sz w:val="23"/>
            <w:szCs w:val="23"/>
            <w:lang w:eastAsia="en-AU"/>
            <w14:ligatures w14:val="standardContextual"/>
          </w:rPr>
          <w:t>Schedule 4</w:t>
        </w:r>
      </w:hyperlink>
      <w:r w:rsidRPr="002A3021">
        <w:rPr>
          <w:rFonts w:eastAsia="Times New Roman"/>
          <w:color w:val="000000"/>
          <w:sz w:val="23"/>
          <w:szCs w:val="23"/>
          <w:lang w:eastAsia="en-AU"/>
          <w14:ligatures w14:val="standardContextual"/>
        </w:rPr>
        <w:t xml:space="preserve"> is the number set out alongside that offence.</w:t>
      </w:r>
    </w:p>
    <w:p w14:paraId="47B086B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For the purposes of section 98BC(2) of the Act, the offences specified in </w:t>
      </w:r>
      <w:hyperlink w:anchor="id4ac91034_35a3_4c0f_babe_ca5bd4a0589e_9" w:history="1">
        <w:r w:rsidRPr="002A3021">
          <w:rPr>
            <w:rFonts w:eastAsia="Times New Roman"/>
            <w:color w:val="000000"/>
            <w:sz w:val="23"/>
            <w:szCs w:val="23"/>
            <w:lang w:eastAsia="en-AU"/>
            <w14:ligatures w14:val="standardContextual"/>
          </w:rPr>
          <w:t>Schedule 4 Part 2</w:t>
        </w:r>
      </w:hyperlink>
      <w:r w:rsidRPr="002A3021">
        <w:rPr>
          <w:rFonts w:eastAsia="Times New Roman"/>
          <w:color w:val="000000"/>
          <w:sz w:val="23"/>
          <w:szCs w:val="23"/>
          <w:lang w:eastAsia="en-AU"/>
          <w14:ligatures w14:val="standardContextual"/>
        </w:rPr>
        <w:t xml:space="preserve"> are prescribed.</w:t>
      </w:r>
    </w:p>
    <w:p w14:paraId="5A2CCC1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Text set out in italic type under a heading and commencing with the words "Description of offence" is a description for convenience purposes only and is not to be taken to define the offence for which a particular number is prescribed as the number of demerit points attracted by the offence.</w:t>
      </w:r>
    </w:p>
    <w:p w14:paraId="039E24E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6" w:name="Elkera_Print_TOC124"/>
      <w:bookmarkStart w:id="267" w:name="Elkera_Print_BK124"/>
      <w:r w:rsidRPr="002A3021">
        <w:rPr>
          <w:rFonts w:eastAsia="Times New Roman"/>
          <w:b/>
          <w:bCs/>
          <w:color w:val="000000"/>
          <w:sz w:val="26"/>
          <w:szCs w:val="26"/>
          <w:lang w:eastAsia="en-AU"/>
          <w14:ligatures w14:val="standardContextual"/>
        </w:rPr>
        <w:t>91—Demerit points for offences interstate—corresponding laws</w:t>
      </w:r>
      <w:bookmarkEnd w:id="266"/>
      <w:bookmarkEnd w:id="267"/>
    </w:p>
    <w:p w14:paraId="64FACBF8"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Part 3B of the Act, the following laws are declared to be corresponding laws:</w:t>
      </w:r>
    </w:p>
    <w:p w14:paraId="046FD45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Motor Vehicles Act 1949</w:t>
      </w:r>
      <w:r w:rsidRPr="002A3021">
        <w:rPr>
          <w:rFonts w:eastAsia="Times New Roman"/>
          <w:color w:val="000000"/>
          <w:sz w:val="23"/>
          <w:szCs w:val="23"/>
          <w:lang w:eastAsia="en-AU"/>
          <w14:ligatures w14:val="standardContextual"/>
        </w:rPr>
        <w:t xml:space="preserve"> of the Northern Territory and regulations made under that Act;</w:t>
      </w:r>
    </w:p>
    <w:p w14:paraId="5130FE7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Safety Act 1986</w:t>
      </w:r>
      <w:r w:rsidRPr="002A3021">
        <w:rPr>
          <w:rFonts w:eastAsia="Times New Roman"/>
          <w:color w:val="000000"/>
          <w:sz w:val="23"/>
          <w:szCs w:val="23"/>
          <w:lang w:eastAsia="en-AU"/>
          <w14:ligatures w14:val="standardContextual"/>
        </w:rPr>
        <w:t xml:space="preserve"> of Victoria and regulations made under that Act;</w:t>
      </w:r>
    </w:p>
    <w:p w14:paraId="5FA0042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Traffic (Authorisation to Drive) Act 2008</w:t>
      </w:r>
      <w:r w:rsidRPr="002A3021">
        <w:rPr>
          <w:rFonts w:eastAsia="Times New Roman"/>
          <w:color w:val="000000"/>
          <w:sz w:val="23"/>
          <w:szCs w:val="23"/>
          <w:lang w:eastAsia="en-AU"/>
          <w14:ligatures w14:val="standardContextual"/>
        </w:rPr>
        <w:t xml:space="preserve"> of Western Australia and regulations made under that Act;</w:t>
      </w:r>
    </w:p>
    <w:p w14:paraId="18CC715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Transport Act 2013</w:t>
      </w:r>
      <w:r w:rsidRPr="002A3021">
        <w:rPr>
          <w:rFonts w:eastAsia="Times New Roman"/>
          <w:color w:val="000000"/>
          <w:sz w:val="23"/>
          <w:szCs w:val="23"/>
          <w:lang w:eastAsia="en-AU"/>
          <w14:ligatures w14:val="standardContextual"/>
        </w:rPr>
        <w:t xml:space="preserve"> of New South Wales and regulations and rules made under that Act;</w:t>
      </w:r>
    </w:p>
    <w:p w14:paraId="7623CA6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Transport (Driver Licensing) Act 1999</w:t>
      </w:r>
      <w:r w:rsidRPr="002A3021">
        <w:rPr>
          <w:rFonts w:eastAsia="Times New Roman"/>
          <w:color w:val="000000"/>
          <w:sz w:val="23"/>
          <w:szCs w:val="23"/>
          <w:lang w:eastAsia="en-AU"/>
          <w14:ligatures w14:val="standardContextual"/>
        </w:rPr>
        <w:t xml:space="preserve"> of the Australian Capital Territory and regulations made under that Act;</w:t>
      </w:r>
    </w:p>
    <w:p w14:paraId="5619928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Transport Operations (Road Use Management) Act 1995</w:t>
      </w:r>
      <w:r w:rsidRPr="002A3021">
        <w:rPr>
          <w:rFonts w:eastAsia="Times New Roman"/>
          <w:color w:val="000000"/>
          <w:sz w:val="23"/>
          <w:szCs w:val="23"/>
          <w:lang w:eastAsia="en-AU"/>
          <w14:ligatures w14:val="standardContextual"/>
        </w:rPr>
        <w:t xml:space="preserve"> of Queensland and regulations made under that Act;</w:t>
      </w:r>
    </w:p>
    <w:p w14:paraId="2E18659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Vehicle and Traffic Act 1999</w:t>
      </w:r>
      <w:r w:rsidRPr="002A3021">
        <w:rPr>
          <w:rFonts w:eastAsia="Times New Roman"/>
          <w:color w:val="000000"/>
          <w:sz w:val="23"/>
          <w:szCs w:val="23"/>
          <w:lang w:eastAsia="en-AU"/>
          <w14:ligatures w14:val="standardContextual"/>
        </w:rPr>
        <w:t xml:space="preserve"> of Tasmania and regulations made under that Act.</w:t>
      </w:r>
    </w:p>
    <w:p w14:paraId="78FD61E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8" w:name="Elkera_Print_TOC125"/>
      <w:bookmarkStart w:id="269" w:name="Elkera_Print_BK125"/>
      <w:r w:rsidRPr="002A3021">
        <w:rPr>
          <w:rFonts w:eastAsia="Times New Roman"/>
          <w:b/>
          <w:bCs/>
          <w:color w:val="000000"/>
          <w:sz w:val="26"/>
          <w:szCs w:val="26"/>
          <w:lang w:eastAsia="en-AU"/>
          <w14:ligatures w14:val="standardContextual"/>
        </w:rPr>
        <w:t>92—Manner of giving Registrar notice of election under section 98BE of Act</w:t>
      </w:r>
      <w:bookmarkEnd w:id="268"/>
      <w:bookmarkEnd w:id="269"/>
    </w:p>
    <w:p w14:paraId="2BA2199D" w14:textId="7BF6A1A8"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a notice of disqualification is given to a person by post, notice of an election under section 98BE(2) of the Act is to be given by the person lodging with the Registrar, at a place of a kind prescribed for the purposes of section 139BD(3)(a)(i) of the Act, the notice of disqualification signed by the person and completed in accordance with the instructions contained in the notice.</w:t>
      </w:r>
    </w:p>
    <w:p w14:paraId="3FA4A8E3"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4BD5A2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If a notice of disqualification is given to a person by personal service, notice of an election under section 98BE(2) of the Act is to be given by the person lodging with the Registrar, at a place of a kind prescribed for the purposes of section 139BD(3)(a)(i) of the Act, a notice of election in a form approved by the Registrar, signed by the person and completed in accordance with the instructions contained in the notice.</w:t>
      </w:r>
    </w:p>
    <w:p w14:paraId="6F3853E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0" w:name="Elkera_Print_TOC126"/>
      <w:bookmarkStart w:id="271" w:name="Elkera_Print_BK126"/>
      <w:r w:rsidRPr="002A3021">
        <w:rPr>
          <w:rFonts w:eastAsia="Times New Roman"/>
          <w:b/>
          <w:bCs/>
          <w:color w:val="000000"/>
          <w:sz w:val="26"/>
          <w:szCs w:val="26"/>
          <w:lang w:eastAsia="en-AU"/>
          <w14:ligatures w14:val="standardContextual"/>
        </w:rPr>
        <w:t>93—Notification of demerit points to interstate licensing authorities</w:t>
      </w:r>
      <w:bookmarkEnd w:id="270"/>
      <w:bookmarkEnd w:id="271"/>
    </w:p>
    <w:p w14:paraId="5EF76E3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For the purposes of section 98BI(1) of the Act, the offences specified in </w:t>
      </w:r>
      <w:hyperlink w:anchor="idaf84a0d7_6a0f_4aea_bf91_7ace6fb948f5_e" w:history="1">
        <w:r w:rsidRPr="002A3021">
          <w:rPr>
            <w:rFonts w:eastAsia="Times New Roman"/>
            <w:color w:val="000000"/>
            <w:sz w:val="23"/>
            <w:szCs w:val="23"/>
            <w:lang w:eastAsia="en-AU"/>
            <w14:ligatures w14:val="standardContextual"/>
          </w:rPr>
          <w:t>Schedule 4 Part 1</w:t>
        </w:r>
      </w:hyperlink>
      <w:r w:rsidRPr="002A3021">
        <w:rPr>
          <w:rFonts w:eastAsia="Times New Roman"/>
          <w:color w:val="000000"/>
          <w:sz w:val="23"/>
          <w:szCs w:val="23"/>
          <w:lang w:eastAsia="en-AU"/>
          <w14:ligatures w14:val="standardContextual"/>
        </w:rPr>
        <w:t xml:space="preserve"> are prescribed.</w:t>
      </w:r>
    </w:p>
    <w:p w14:paraId="554B9E07"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72" w:name="Elkera_Print_TOC128"/>
      <w:bookmarkStart w:id="273" w:name="id39e42f03_3d17_4a7a_8c1f_8e2cfdc2035a_a"/>
      <w:r w:rsidRPr="002A3021">
        <w:rPr>
          <w:rFonts w:eastAsia="Times New Roman"/>
          <w:b/>
          <w:bCs/>
          <w:color w:val="000000"/>
          <w:sz w:val="32"/>
          <w:szCs w:val="32"/>
          <w:lang w:eastAsia="en-AU"/>
          <w14:ligatures w14:val="standardContextual"/>
        </w:rPr>
        <w:t>Part 6—Written-off vehicles</w:t>
      </w:r>
      <w:bookmarkEnd w:id="272"/>
      <w:bookmarkEnd w:id="273"/>
    </w:p>
    <w:p w14:paraId="50FA43E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4" w:name="Elkera_Print_TOC129"/>
      <w:bookmarkStart w:id="275" w:name="Elkera_Print_BK129"/>
      <w:r w:rsidRPr="002A3021">
        <w:rPr>
          <w:rFonts w:eastAsia="Times New Roman"/>
          <w:b/>
          <w:bCs/>
          <w:color w:val="000000"/>
          <w:sz w:val="26"/>
          <w:szCs w:val="26"/>
          <w:lang w:eastAsia="en-AU"/>
          <w14:ligatures w14:val="standardContextual"/>
        </w:rPr>
        <w:t>94—Interpretation</w:t>
      </w:r>
      <w:bookmarkEnd w:id="274"/>
      <w:bookmarkEnd w:id="275"/>
    </w:p>
    <w:p w14:paraId="2C0C4BE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In this Part—</w:t>
      </w:r>
    </w:p>
    <w:p w14:paraId="6EC8222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bus</w:t>
      </w:r>
      <w:r w:rsidRPr="002A3021">
        <w:rPr>
          <w:rFonts w:eastAsia="Times New Roman"/>
          <w:color w:val="000000"/>
          <w:sz w:val="23"/>
          <w:szCs w:val="23"/>
          <w:lang w:eastAsia="en-AU"/>
          <w14:ligatures w14:val="standardContextual"/>
        </w:rPr>
        <w:t xml:space="preserve"> means a motor vehicle, built mainly to carry people, that seats more than 9 adults (including the driver);</w:t>
      </w:r>
    </w:p>
    <w:p w14:paraId="0ED3E29B"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category 1 vehicle</w:t>
      </w:r>
      <w:r w:rsidRPr="002A3021">
        <w:rPr>
          <w:rFonts w:eastAsia="Times New Roman"/>
          <w:color w:val="000000"/>
          <w:sz w:val="23"/>
          <w:szCs w:val="23"/>
          <w:lang w:eastAsia="en-AU"/>
          <w14:ligatures w14:val="standardContextual"/>
        </w:rPr>
        <w:t xml:space="preserve"> means—</w:t>
      </w:r>
    </w:p>
    <w:p w14:paraId="71A9081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bus with a GVM greater than 3.5 tonnes; or</w:t>
      </w:r>
    </w:p>
    <w:p w14:paraId="7CA7FB2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prime mover with a GVM greater than 4.5 tonnes; or</w:t>
      </w:r>
    </w:p>
    <w:p w14:paraId="535BB66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trailer with a GVM greater than 4.5 tonnes; or</w:t>
      </w:r>
    </w:p>
    <w:p w14:paraId="00716B2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truck with a GVM greater than 3.5 tonnes;</w:t>
      </w:r>
    </w:p>
    <w:p w14:paraId="1A2899E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category 1 vehicle technical guide</w:t>
      </w:r>
      <w:r w:rsidRPr="002A3021">
        <w:rPr>
          <w:rFonts w:eastAsia="Times New Roman"/>
          <w:color w:val="000000"/>
          <w:sz w:val="23"/>
          <w:szCs w:val="23"/>
          <w:lang w:eastAsia="en-AU"/>
          <w14:ligatures w14:val="standardContextual"/>
        </w:rPr>
        <w:t xml:space="preserve"> means the document entitled </w:t>
      </w:r>
      <w:r w:rsidRPr="002A3021">
        <w:rPr>
          <w:rFonts w:eastAsia="Times New Roman"/>
          <w:i/>
          <w:iCs/>
          <w:color w:val="000000"/>
          <w:sz w:val="23"/>
          <w:szCs w:val="23"/>
          <w:lang w:eastAsia="en-AU"/>
          <w14:ligatures w14:val="standardContextual"/>
        </w:rPr>
        <w:t>Damage Assessment Criteria for the Classification of Heavy Vehicle Statutory Write</w:t>
      </w:r>
      <w:r w:rsidRPr="002A3021">
        <w:rPr>
          <w:rFonts w:eastAsia="Times New Roman"/>
          <w:i/>
          <w:iCs/>
          <w:color w:val="000000"/>
          <w:sz w:val="23"/>
          <w:szCs w:val="23"/>
          <w:lang w:eastAsia="en-AU"/>
          <w14:ligatures w14:val="standardContextual"/>
        </w:rPr>
        <w:noBreakHyphen/>
        <w:t>Offs</w:t>
      </w:r>
      <w:r w:rsidRPr="002A3021">
        <w:rPr>
          <w:rFonts w:eastAsia="Times New Roman"/>
          <w:color w:val="000000"/>
          <w:sz w:val="23"/>
          <w:szCs w:val="23"/>
          <w:lang w:eastAsia="en-AU"/>
          <w14:ligatures w14:val="standardContextual"/>
        </w:rPr>
        <w:t xml:space="preserve"> published by Austroads Ltd in December 2019, as in force from time to time;</w:t>
      </w:r>
    </w:p>
    <w:p w14:paraId="22A5DC03"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category 2 vehicle</w:t>
      </w:r>
      <w:r w:rsidRPr="002A3021">
        <w:rPr>
          <w:rFonts w:eastAsia="Times New Roman"/>
          <w:color w:val="000000"/>
          <w:sz w:val="23"/>
          <w:szCs w:val="23"/>
          <w:lang w:eastAsia="en-AU"/>
          <w14:ligatures w14:val="standardContextual"/>
        </w:rPr>
        <w:t xml:space="preserve"> means any motor vehicle with a GVM not exceeding 4.5 tonnes that is not—</w:t>
      </w:r>
    </w:p>
    <w:p w14:paraId="4FF625E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category 1 vehicle; or</w:t>
      </w:r>
    </w:p>
    <w:p w14:paraId="311A24E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trailer;</w:t>
      </w:r>
    </w:p>
    <w:p w14:paraId="53071A7F"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category 2 vehicle technical guide</w:t>
      </w:r>
      <w:r w:rsidRPr="002A3021">
        <w:rPr>
          <w:rFonts w:eastAsia="Times New Roman"/>
          <w:color w:val="000000"/>
          <w:sz w:val="23"/>
          <w:szCs w:val="23"/>
          <w:lang w:eastAsia="en-AU"/>
          <w14:ligatures w14:val="standardContextual"/>
        </w:rPr>
        <w:t xml:space="preserve"> means the document entitled </w:t>
      </w:r>
      <w:r w:rsidRPr="002A3021">
        <w:rPr>
          <w:rFonts w:eastAsia="Times New Roman"/>
          <w:i/>
          <w:iCs/>
          <w:color w:val="000000"/>
          <w:sz w:val="23"/>
          <w:szCs w:val="23"/>
          <w:lang w:eastAsia="en-AU"/>
          <w14:ligatures w14:val="standardContextual"/>
        </w:rPr>
        <w:t>Damage Assessment Criteria for the Classification of Light Vehicle Statutory Write</w:t>
      </w:r>
      <w:r w:rsidRPr="002A3021">
        <w:rPr>
          <w:rFonts w:eastAsia="Times New Roman"/>
          <w:i/>
          <w:iCs/>
          <w:color w:val="000000"/>
          <w:sz w:val="23"/>
          <w:szCs w:val="23"/>
          <w:lang w:eastAsia="en-AU"/>
          <w14:ligatures w14:val="standardContextual"/>
        </w:rPr>
        <w:noBreakHyphen/>
        <w:t>Offs</w:t>
      </w:r>
      <w:r w:rsidRPr="002A3021">
        <w:rPr>
          <w:rFonts w:eastAsia="Times New Roman"/>
          <w:color w:val="000000"/>
          <w:sz w:val="23"/>
          <w:szCs w:val="23"/>
          <w:lang w:eastAsia="en-AU"/>
          <w14:ligatures w14:val="standardContextual"/>
        </w:rPr>
        <w:t xml:space="preserve"> published by Austroads Ltd in December 2019, as in force from time to time;</w:t>
      </w:r>
    </w:p>
    <w:p w14:paraId="52904CC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corresponding law</w:t>
      </w:r>
      <w:r w:rsidRPr="002A3021">
        <w:rPr>
          <w:rFonts w:eastAsia="Times New Roman"/>
          <w:color w:val="000000"/>
          <w:sz w:val="23"/>
          <w:szCs w:val="23"/>
          <w:lang w:eastAsia="en-AU"/>
          <w14:ligatures w14:val="standardContextual"/>
        </w:rPr>
        <w:t xml:space="preserve"> means a law of another State or a Territory of the Commonwealth that corresponds to the provisions of this Part;</w:t>
      </w:r>
    </w:p>
    <w:p w14:paraId="04DE7BE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hail damage</w:t>
      </w:r>
      <w:r w:rsidRPr="002A3021">
        <w:rPr>
          <w:rFonts w:eastAsia="Times New Roman"/>
          <w:color w:val="000000"/>
          <w:sz w:val="23"/>
          <w:szCs w:val="23"/>
          <w:lang w:eastAsia="en-AU"/>
          <w14:ligatures w14:val="standardContextual"/>
        </w:rPr>
        <w:t xml:space="preserve"> to a motor vehicle means damage sustained to the vehicle by the direct impact of hail stones;</w:t>
      </w:r>
    </w:p>
    <w:p w14:paraId="664458A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interstate written</w:t>
      </w:r>
      <w:r w:rsidRPr="002A3021">
        <w:rPr>
          <w:rFonts w:eastAsia="Times New Roman"/>
          <w:b/>
          <w:bCs/>
          <w:i/>
          <w:iCs/>
          <w:color w:val="000000"/>
          <w:sz w:val="23"/>
          <w:szCs w:val="23"/>
          <w:lang w:eastAsia="en-AU"/>
          <w14:ligatures w14:val="standardContextual"/>
        </w:rPr>
        <w:noBreakHyphen/>
        <w:t>off vehicle</w:t>
      </w:r>
      <w:r w:rsidRPr="002A3021">
        <w:rPr>
          <w:rFonts w:eastAsia="Times New Roman"/>
          <w:color w:val="000000"/>
          <w:sz w:val="23"/>
          <w:szCs w:val="23"/>
          <w:lang w:eastAsia="en-AU"/>
          <w14:ligatures w14:val="standardContextual"/>
        </w:rPr>
        <w:t xml:space="preserve"> means a motor vehicle that, for the purposes of a corresponding law, is recorded in a register maintained by the vehicle registration authority of another State or a Territory of the Commonwealth as a written</w:t>
      </w:r>
      <w:r w:rsidRPr="002A3021">
        <w:rPr>
          <w:rFonts w:eastAsia="Times New Roman"/>
          <w:color w:val="000000"/>
          <w:sz w:val="23"/>
          <w:szCs w:val="23"/>
          <w:lang w:eastAsia="en-AU"/>
          <w14:ligatures w14:val="standardContextual"/>
        </w:rPr>
        <w:noBreakHyphen/>
        <w:t>off vehicle, statutory write</w:t>
      </w:r>
      <w:r w:rsidRPr="002A3021">
        <w:rPr>
          <w:rFonts w:eastAsia="Times New Roman"/>
          <w:color w:val="000000"/>
          <w:sz w:val="23"/>
          <w:szCs w:val="23"/>
          <w:lang w:eastAsia="en-AU"/>
          <w14:ligatures w14:val="standardContextual"/>
        </w:rPr>
        <w:noBreakHyphen/>
        <w:t>off, repairable write</w:t>
      </w:r>
      <w:r w:rsidRPr="002A3021">
        <w:rPr>
          <w:rFonts w:eastAsia="Times New Roman"/>
          <w:color w:val="000000"/>
          <w:sz w:val="23"/>
          <w:szCs w:val="23"/>
          <w:lang w:eastAsia="en-AU"/>
          <w14:ligatures w14:val="standardContextual"/>
        </w:rPr>
        <w:noBreakHyphen/>
        <w:t>off or wrecked vehicle (as defined in that corresponding law);</w:t>
      </w:r>
    </w:p>
    <w:p w14:paraId="670A1C04"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notifiable vehicle</w:t>
      </w:r>
      <w:r w:rsidRPr="002A3021">
        <w:rPr>
          <w:rFonts w:eastAsia="Times New Roman"/>
          <w:color w:val="000000"/>
          <w:sz w:val="23"/>
          <w:szCs w:val="23"/>
          <w:lang w:eastAsia="en-AU"/>
          <w14:ligatures w14:val="standardContextual"/>
        </w:rPr>
        <w:t xml:space="preserve"> means—</w:t>
      </w:r>
    </w:p>
    <w:p w14:paraId="09E1B061" w14:textId="73159936"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category 1 vehicle that is a written</w:t>
      </w:r>
      <w:r w:rsidRPr="002A3021">
        <w:rPr>
          <w:rFonts w:eastAsia="Times New Roman"/>
          <w:color w:val="000000"/>
          <w:sz w:val="23"/>
          <w:szCs w:val="23"/>
          <w:lang w:eastAsia="en-AU"/>
          <w14:ligatures w14:val="standardContextual"/>
        </w:rPr>
        <w:noBreakHyphen/>
        <w:t>off vehicle; or</w:t>
      </w:r>
    </w:p>
    <w:p w14:paraId="1EA39BE3"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238346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a category 2 vehicle that—</w:t>
      </w:r>
    </w:p>
    <w:p w14:paraId="31404CD5"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is less than 15 years of age; and</w:t>
      </w:r>
    </w:p>
    <w:p w14:paraId="0AD05E4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is 1 of the following:</w:t>
      </w:r>
    </w:p>
    <w:p w14:paraId="76BE580E"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motor vehicle (other than a motor bike or trailer) to which the Australian Design Rules apply;</w:t>
      </w:r>
    </w:p>
    <w:p w14:paraId="7F45181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motor bike;</w:t>
      </w:r>
    </w:p>
    <w:p w14:paraId="18BAA9F0"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caravan; and</w:t>
      </w:r>
    </w:p>
    <w:p w14:paraId="4C1625D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is a written</w:t>
      </w:r>
      <w:r w:rsidRPr="002A3021">
        <w:rPr>
          <w:rFonts w:eastAsia="Times New Roman"/>
          <w:color w:val="000000"/>
          <w:sz w:val="23"/>
          <w:szCs w:val="23"/>
          <w:lang w:eastAsia="en-AU"/>
          <w14:ligatures w14:val="standardContextual"/>
        </w:rPr>
        <w:noBreakHyphen/>
        <w:t>off vehicle;</w:t>
      </w:r>
    </w:p>
    <w:p w14:paraId="08B6982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an interstate written</w:t>
      </w:r>
      <w:r w:rsidRPr="002A3021">
        <w:rPr>
          <w:rFonts w:eastAsia="Times New Roman"/>
          <w:color w:val="000000"/>
          <w:sz w:val="23"/>
          <w:szCs w:val="23"/>
          <w:lang w:eastAsia="en-AU"/>
          <w14:ligatures w14:val="standardContextual"/>
        </w:rPr>
        <w:noBreakHyphen/>
        <w:t>off vehicle; or</w:t>
      </w:r>
    </w:p>
    <w:p w14:paraId="5FF7CAF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if a motor vehicle referred to in a preceding paragraph is wrecked or wholly or partly disassembled—any part of the vehicle that bears a vehicle identification plate or vehicle identification number;</w:t>
      </w:r>
    </w:p>
    <w:p w14:paraId="403315F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repairable write</w:t>
      </w:r>
      <w:r w:rsidRPr="002A3021">
        <w:rPr>
          <w:rFonts w:eastAsia="Times New Roman"/>
          <w:b/>
          <w:bCs/>
          <w:i/>
          <w:iCs/>
          <w:color w:val="000000"/>
          <w:sz w:val="23"/>
          <w:szCs w:val="23"/>
          <w:lang w:eastAsia="en-AU"/>
          <w14:ligatures w14:val="standardContextual"/>
        </w:rPr>
        <w:noBreakHyphen/>
        <w:t>off</w:t>
      </w:r>
      <w:r w:rsidRPr="002A3021">
        <w:rPr>
          <w:rFonts w:eastAsia="Times New Roman"/>
          <w:color w:val="000000"/>
          <w:sz w:val="23"/>
          <w:szCs w:val="23"/>
          <w:lang w:eastAsia="en-AU"/>
          <w14:ligatures w14:val="standardContextual"/>
        </w:rPr>
        <w:t xml:space="preserve"> means—</w:t>
      </w:r>
    </w:p>
    <w:p w14:paraId="02DD83B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category 1 vehicle that has been substantially stripped (within the meaning of the category 1 vehicle technical guide) and returned to the insured person as part of a settlement of the insurance claim that resulted in the vehicle being determined to be a total loss; or</w:t>
      </w:r>
    </w:p>
    <w:p w14:paraId="0712A9B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motor vehicle that is written</w:t>
      </w:r>
      <w:r w:rsidRPr="002A3021">
        <w:rPr>
          <w:rFonts w:eastAsia="Times New Roman"/>
          <w:color w:val="000000"/>
          <w:sz w:val="23"/>
          <w:szCs w:val="23"/>
          <w:lang w:eastAsia="en-AU"/>
          <w14:ligatures w14:val="standardContextual"/>
        </w:rPr>
        <w:noBreakHyphen/>
        <w:t>off but is not a statutory write-off;</w:t>
      </w:r>
    </w:p>
    <w:p w14:paraId="7204DD91"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sell</w:t>
      </w:r>
      <w:r w:rsidRPr="002A3021">
        <w:rPr>
          <w:rFonts w:eastAsia="Times New Roman"/>
          <w:color w:val="000000"/>
          <w:sz w:val="23"/>
          <w:szCs w:val="23"/>
          <w:lang w:eastAsia="en-AU"/>
          <w14:ligatures w14:val="standardContextual"/>
        </w:rPr>
        <w:t xml:space="preserve"> means sell whether by treaty or auction and whether on one's own behalf or on behalf of others;</w:t>
      </w:r>
    </w:p>
    <w:p w14:paraId="3FB4F49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statutory write</w:t>
      </w:r>
      <w:r w:rsidRPr="002A3021">
        <w:rPr>
          <w:rFonts w:eastAsia="Times New Roman"/>
          <w:b/>
          <w:bCs/>
          <w:i/>
          <w:iCs/>
          <w:color w:val="000000"/>
          <w:sz w:val="23"/>
          <w:szCs w:val="23"/>
          <w:lang w:eastAsia="en-AU"/>
          <w14:ligatures w14:val="standardContextual"/>
        </w:rPr>
        <w:noBreakHyphen/>
        <w:t>off</w:t>
      </w:r>
      <w:r w:rsidRPr="002A3021">
        <w:rPr>
          <w:rFonts w:eastAsia="Times New Roman"/>
          <w:color w:val="000000"/>
          <w:sz w:val="23"/>
          <w:szCs w:val="23"/>
          <w:lang w:eastAsia="en-AU"/>
          <w14:ligatures w14:val="standardContextual"/>
        </w:rPr>
        <w:t xml:space="preserve"> means—</w:t>
      </w:r>
    </w:p>
    <w:p w14:paraId="1C17DED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category 1 vehicle that meets the assessment criteria as a statutory write</w:t>
      </w:r>
      <w:r w:rsidRPr="002A3021">
        <w:rPr>
          <w:rFonts w:eastAsia="Times New Roman"/>
          <w:color w:val="000000"/>
          <w:sz w:val="23"/>
          <w:szCs w:val="23"/>
          <w:lang w:eastAsia="en-AU"/>
          <w14:ligatures w14:val="standardContextual"/>
        </w:rPr>
        <w:noBreakHyphen/>
        <w:t>off specified in the category 1 vehicle technical guide; or</w:t>
      </w:r>
    </w:p>
    <w:p w14:paraId="5ACD528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category 2 vehicle to which the Australian Design Rules apply (other than a motor bike, caravan or trailer) that meets the assessment criteria as a statutory write</w:t>
      </w:r>
      <w:r w:rsidRPr="002A3021">
        <w:rPr>
          <w:rFonts w:eastAsia="Times New Roman"/>
          <w:color w:val="000000"/>
          <w:sz w:val="23"/>
          <w:szCs w:val="23"/>
          <w:lang w:eastAsia="en-AU"/>
          <w14:ligatures w14:val="standardContextual"/>
        </w:rPr>
        <w:noBreakHyphen/>
        <w:t>off specified in the category 2 vehicle technical guide; or</w:t>
      </w:r>
    </w:p>
    <w:p w14:paraId="11E3A5C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motor bike or caravan that—</w:t>
      </w:r>
    </w:p>
    <w:p w14:paraId="655BF85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has been burned to such an extent that it is fit only for wrecking or scrap; or</w:t>
      </w:r>
    </w:p>
    <w:p w14:paraId="145235A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has been stripped of all, or a combination of most, interior and exterior body parts, panels and components (such as, for example, the engine and gearbox (if applicable), wheels, guards, body and chassis components or assemblies); or</w:t>
      </w:r>
    </w:p>
    <w:p w14:paraId="30E06B8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motor bike that—</w:t>
      </w:r>
    </w:p>
    <w:p w14:paraId="2C89240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has been fully immersed in salt water for any period; or</w:t>
      </w:r>
    </w:p>
    <w:p w14:paraId="24381D8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has been fully immersed in fresh water for more than 48 hours; or</w:t>
      </w:r>
    </w:p>
    <w:p w14:paraId="17D1769F" w14:textId="52E5D1CD"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has impact damage (excluding scratching) to the suspension and at least 2 areas of structural frame damage;</w:t>
      </w:r>
    </w:p>
    <w:p w14:paraId="55AE92A4"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9C07C8A"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lastRenderedPageBreak/>
        <w:t>total loss</w:t>
      </w:r>
      <w:r w:rsidRPr="002A3021">
        <w:rPr>
          <w:rFonts w:eastAsia="Times New Roman"/>
          <w:color w:val="000000"/>
          <w:sz w:val="23"/>
          <w:szCs w:val="23"/>
          <w:lang w:eastAsia="en-AU"/>
          <w14:ligatures w14:val="standardContextual"/>
        </w:rPr>
        <w:t xml:space="preserve"> means a motor vehicle damaged by accident, collision, demolition, dismantling, fire, flood, trespass or other event to the extent that its fair salvage value, when added to the cost of repairing it for use on a road or road related area, would be more than its fair market value immediately before the event that caused the damage;</w:t>
      </w:r>
    </w:p>
    <w:p w14:paraId="48769E9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truck</w:t>
      </w:r>
      <w:r w:rsidRPr="002A3021">
        <w:rPr>
          <w:rFonts w:eastAsia="Times New Roman"/>
          <w:color w:val="000000"/>
          <w:sz w:val="23"/>
          <w:szCs w:val="23"/>
          <w:lang w:eastAsia="en-AU"/>
          <w14:ligatures w14:val="standardContextual"/>
        </w:rPr>
        <w:t xml:space="preserve"> means a rigid motor vehicle that is built mainly as a load carrying vehicle;</w:t>
      </w:r>
    </w:p>
    <w:p w14:paraId="09AFB6C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vehicle dealer</w:t>
      </w:r>
      <w:r w:rsidRPr="002A3021">
        <w:rPr>
          <w:rFonts w:eastAsia="Times New Roman"/>
          <w:color w:val="000000"/>
          <w:sz w:val="23"/>
          <w:szCs w:val="23"/>
          <w:lang w:eastAsia="en-AU"/>
          <w14:ligatures w14:val="standardContextual"/>
        </w:rPr>
        <w:t xml:space="preserve"> means a person who carries on the business of selling motor vehicles;</w:t>
      </w:r>
    </w:p>
    <w:p w14:paraId="35034CDA"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vehicle registration authority</w:t>
      </w:r>
      <w:r w:rsidRPr="002A3021">
        <w:rPr>
          <w:rFonts w:eastAsia="Times New Roman"/>
          <w:color w:val="000000"/>
          <w:sz w:val="23"/>
          <w:szCs w:val="23"/>
          <w:lang w:eastAsia="en-AU"/>
          <w14:ligatures w14:val="standardContextual"/>
        </w:rPr>
        <w:t xml:space="preserve"> in relation to another State or a Territory of the Commonwealth, means the person or body responsible for registering motor vehicles in that State or Territory;</w:t>
      </w:r>
    </w:p>
    <w:p w14:paraId="5AA82441"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vehicle wrecker</w:t>
      </w:r>
      <w:r w:rsidRPr="002A3021">
        <w:rPr>
          <w:rFonts w:eastAsia="Times New Roman"/>
          <w:color w:val="000000"/>
          <w:sz w:val="23"/>
          <w:szCs w:val="23"/>
          <w:lang w:eastAsia="en-AU"/>
          <w14:ligatures w14:val="standardContextual"/>
        </w:rPr>
        <w:t xml:space="preserve"> means a person who carries on the business of wrecking motor vehicles or disassembling motor vehicles for salvage;</w:t>
      </w:r>
    </w:p>
    <w:p w14:paraId="7F83C26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written</w:t>
      </w:r>
      <w:r w:rsidRPr="002A3021">
        <w:rPr>
          <w:rFonts w:eastAsia="Times New Roman"/>
          <w:b/>
          <w:bCs/>
          <w:i/>
          <w:iCs/>
          <w:color w:val="000000"/>
          <w:sz w:val="23"/>
          <w:szCs w:val="23"/>
          <w:lang w:eastAsia="en-AU"/>
          <w14:ligatures w14:val="standardContextual"/>
        </w:rPr>
        <w:noBreakHyphen/>
        <w:t>off</w:t>
      </w:r>
      <w:r w:rsidRPr="002A3021">
        <w:rPr>
          <w:rFonts w:eastAsia="Times New Roman"/>
          <w:color w:val="000000"/>
          <w:sz w:val="23"/>
          <w:szCs w:val="23"/>
          <w:lang w:eastAsia="en-AU"/>
          <w14:ligatures w14:val="standardContextual"/>
        </w:rPr>
        <w:t xml:space="preserve">—see </w:t>
      </w:r>
      <w:hyperlink w:anchor="id222bca70_cf88_407b_9e42_77c44bc7a520_f"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w:t>
      </w:r>
    </w:p>
    <w:p w14:paraId="7CC4EB3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written</w:t>
      </w:r>
      <w:r w:rsidRPr="002A3021">
        <w:rPr>
          <w:rFonts w:eastAsia="Times New Roman"/>
          <w:b/>
          <w:bCs/>
          <w:i/>
          <w:iCs/>
          <w:color w:val="000000"/>
          <w:sz w:val="23"/>
          <w:szCs w:val="23"/>
          <w:lang w:eastAsia="en-AU"/>
          <w14:ligatures w14:val="standardContextual"/>
        </w:rPr>
        <w:noBreakHyphen/>
        <w:t>off vehicle</w:t>
      </w:r>
      <w:r w:rsidRPr="002A3021">
        <w:rPr>
          <w:rFonts w:eastAsia="Times New Roman"/>
          <w:color w:val="000000"/>
          <w:sz w:val="23"/>
          <w:szCs w:val="23"/>
          <w:lang w:eastAsia="en-AU"/>
          <w14:ligatures w14:val="standardContextual"/>
        </w:rPr>
        <w:t xml:space="preserve"> means a motor vehicle that is a repairable write</w:t>
      </w:r>
      <w:r w:rsidRPr="002A3021">
        <w:rPr>
          <w:rFonts w:eastAsia="Times New Roman"/>
          <w:color w:val="000000"/>
          <w:sz w:val="23"/>
          <w:szCs w:val="23"/>
          <w:lang w:eastAsia="en-AU"/>
          <w14:ligatures w14:val="standardContextual"/>
        </w:rPr>
        <w:noBreakHyphen/>
        <w:t>off or a statutory write</w:t>
      </w:r>
      <w:r w:rsidRPr="002A3021">
        <w:rPr>
          <w:rFonts w:eastAsia="Times New Roman"/>
          <w:color w:val="000000"/>
          <w:sz w:val="23"/>
          <w:szCs w:val="23"/>
          <w:lang w:eastAsia="en-AU"/>
          <w14:ligatures w14:val="standardContextual"/>
        </w:rPr>
        <w:noBreakHyphen/>
        <w:t>off;</w:t>
      </w:r>
    </w:p>
    <w:p w14:paraId="2981617F"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written</w:t>
      </w:r>
      <w:r w:rsidRPr="002A3021">
        <w:rPr>
          <w:rFonts w:eastAsia="Times New Roman"/>
          <w:b/>
          <w:bCs/>
          <w:i/>
          <w:iCs/>
          <w:color w:val="000000"/>
          <w:sz w:val="23"/>
          <w:szCs w:val="23"/>
          <w:lang w:eastAsia="en-AU"/>
          <w14:ligatures w14:val="standardContextual"/>
        </w:rPr>
        <w:noBreakHyphen/>
        <w:t>off vehicle notices</w:t>
      </w:r>
      <w:r w:rsidRPr="002A3021">
        <w:rPr>
          <w:rFonts w:eastAsia="Times New Roman"/>
          <w:color w:val="000000"/>
          <w:sz w:val="23"/>
          <w:szCs w:val="23"/>
          <w:lang w:eastAsia="en-AU"/>
          <w14:ligatures w14:val="standardContextual"/>
        </w:rPr>
        <w:t xml:space="preserve"> means notices (including labels) issued by the Registrar for the purpose of being affixed to written</w:t>
      </w:r>
      <w:r w:rsidRPr="002A3021">
        <w:rPr>
          <w:rFonts w:eastAsia="Times New Roman"/>
          <w:color w:val="000000"/>
          <w:sz w:val="23"/>
          <w:szCs w:val="23"/>
          <w:lang w:eastAsia="en-AU"/>
          <w14:ligatures w14:val="standardContextual"/>
        </w:rPr>
        <w:noBreakHyphen/>
        <w:t xml:space="preserve">off vehicles or vehicle parts in accordance with </w:t>
      </w:r>
      <w:hyperlink w:anchor="id1b6ea04c_850f_41f5_8455_1b6fc0ed8dee_2" w:history="1">
        <w:r w:rsidRPr="002A3021">
          <w:rPr>
            <w:rFonts w:eastAsia="Times New Roman"/>
            <w:color w:val="000000"/>
            <w:sz w:val="23"/>
            <w:szCs w:val="23"/>
            <w:lang w:eastAsia="en-AU"/>
            <w14:ligatures w14:val="standardContextual"/>
          </w:rPr>
          <w:t>regulation 97</w:t>
        </w:r>
      </w:hyperlink>
      <w:r w:rsidRPr="002A3021">
        <w:rPr>
          <w:rFonts w:eastAsia="Times New Roman"/>
          <w:color w:val="000000"/>
          <w:sz w:val="23"/>
          <w:szCs w:val="23"/>
          <w:lang w:eastAsia="en-AU"/>
          <w14:ligatures w14:val="standardContextual"/>
        </w:rPr>
        <w:t>.</w:t>
      </w:r>
    </w:p>
    <w:p w14:paraId="638612F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6" w:name="id222bca70_cf88_407b_9e42_77c44bc7a520_f"/>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this Part—</w:t>
      </w:r>
      <w:bookmarkEnd w:id="276"/>
    </w:p>
    <w:p w14:paraId="2993433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hail damage to a motor vehicle is of a </w:t>
      </w:r>
      <w:r w:rsidRPr="002A3021">
        <w:rPr>
          <w:rFonts w:eastAsia="Times New Roman"/>
          <w:b/>
          <w:bCs/>
          <w:i/>
          <w:iCs/>
          <w:color w:val="000000"/>
          <w:sz w:val="23"/>
          <w:szCs w:val="23"/>
          <w:lang w:eastAsia="en-AU"/>
          <w14:ligatures w14:val="standardContextual"/>
        </w:rPr>
        <w:t>cosmetic nature</w:t>
      </w:r>
      <w:r w:rsidRPr="002A3021">
        <w:rPr>
          <w:rFonts w:eastAsia="Times New Roman"/>
          <w:color w:val="000000"/>
          <w:sz w:val="23"/>
          <w:szCs w:val="23"/>
          <w:lang w:eastAsia="en-AU"/>
          <w14:ligatures w14:val="standardContextual"/>
        </w:rPr>
        <w:t xml:space="preserve"> if there is no evidence of—</w:t>
      </w:r>
    </w:p>
    <w:p w14:paraId="118542A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structural damage to the vehicle; or</w:t>
      </w:r>
    </w:p>
    <w:p w14:paraId="405B060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water damage to the interior of the vehicle;</w:t>
      </w:r>
    </w:p>
    <w:p w14:paraId="7F0393C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motor vehicle is </w:t>
      </w:r>
      <w:r w:rsidRPr="002A3021">
        <w:rPr>
          <w:rFonts w:eastAsia="Times New Roman"/>
          <w:b/>
          <w:bCs/>
          <w:i/>
          <w:iCs/>
          <w:color w:val="000000"/>
          <w:sz w:val="23"/>
          <w:szCs w:val="23"/>
          <w:lang w:eastAsia="en-AU"/>
          <w14:ligatures w14:val="standardContextual"/>
        </w:rPr>
        <w:t>written</w:t>
      </w:r>
      <w:r w:rsidRPr="002A3021">
        <w:rPr>
          <w:rFonts w:eastAsia="Times New Roman"/>
          <w:b/>
          <w:bCs/>
          <w:i/>
          <w:iCs/>
          <w:color w:val="000000"/>
          <w:sz w:val="23"/>
          <w:szCs w:val="23"/>
          <w:lang w:eastAsia="en-AU"/>
          <w14:ligatures w14:val="standardContextual"/>
        </w:rPr>
        <w:noBreakHyphen/>
        <w:t>off</w:t>
      </w:r>
      <w:r w:rsidRPr="002A3021">
        <w:rPr>
          <w:rFonts w:eastAsia="Times New Roman"/>
          <w:color w:val="000000"/>
          <w:sz w:val="23"/>
          <w:szCs w:val="23"/>
          <w:lang w:eastAsia="en-AU"/>
          <w14:ligatures w14:val="standardContextual"/>
        </w:rPr>
        <w:t xml:space="preserve"> if the vehicle—</w:t>
      </w:r>
    </w:p>
    <w:p w14:paraId="4748696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is a total loss; or</w:t>
      </w:r>
    </w:p>
    <w:p w14:paraId="4001161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is to be, or has been, wrecked or wholly or partly disassembled for salvage; or</w:t>
      </w:r>
    </w:p>
    <w:p w14:paraId="04B989F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is to be, or has been, sold or acquired for wrecking or disassembling for salvage.</w:t>
      </w:r>
    </w:p>
    <w:p w14:paraId="5CEE63C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For the purposes of this Part, the age of a motor vehicle is to be determined from the date of its manufacture.</w:t>
      </w:r>
    </w:p>
    <w:p w14:paraId="4076B91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7" w:name="Elkera_Print_TOC130"/>
      <w:bookmarkStart w:id="278" w:name="Elkera_Print_BK130"/>
      <w:r w:rsidRPr="002A3021">
        <w:rPr>
          <w:rFonts w:eastAsia="Times New Roman"/>
          <w:b/>
          <w:bCs/>
          <w:color w:val="000000"/>
          <w:sz w:val="26"/>
          <w:szCs w:val="26"/>
          <w:lang w:eastAsia="en-AU"/>
          <w14:ligatures w14:val="standardContextual"/>
        </w:rPr>
        <w:t>95—Meaning of written</w:t>
      </w:r>
      <w:r w:rsidRPr="002A3021">
        <w:rPr>
          <w:rFonts w:eastAsia="Times New Roman"/>
          <w:b/>
          <w:bCs/>
          <w:color w:val="000000"/>
          <w:sz w:val="26"/>
          <w:szCs w:val="26"/>
          <w:lang w:eastAsia="en-AU"/>
          <w14:ligatures w14:val="standardContextual"/>
        </w:rPr>
        <w:noBreakHyphen/>
        <w:t>off motor vehicle for purposes of section 145(8) of Act</w:t>
      </w:r>
      <w:bookmarkEnd w:id="277"/>
      <w:bookmarkEnd w:id="278"/>
    </w:p>
    <w:p w14:paraId="25A75B22"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145(8) of the Act, the following classes of motor vehicles are written</w:t>
      </w:r>
      <w:r w:rsidRPr="002A3021">
        <w:rPr>
          <w:rFonts w:eastAsia="Times New Roman"/>
          <w:color w:val="000000"/>
          <w:sz w:val="23"/>
          <w:szCs w:val="23"/>
          <w:lang w:eastAsia="en-AU"/>
          <w14:ligatures w14:val="standardContextual"/>
        </w:rPr>
        <w:noBreakHyphen/>
        <w:t>off vehicles:</w:t>
      </w:r>
    </w:p>
    <w:p w14:paraId="205FEE8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written</w:t>
      </w:r>
      <w:r w:rsidRPr="002A3021">
        <w:rPr>
          <w:rFonts w:eastAsia="Times New Roman"/>
          <w:color w:val="000000"/>
          <w:sz w:val="23"/>
          <w:szCs w:val="23"/>
          <w:lang w:eastAsia="en-AU"/>
          <w14:ligatures w14:val="standardContextual"/>
        </w:rPr>
        <w:noBreakHyphen/>
        <w:t>off vehicles within the meaning of this Part;</w:t>
      </w:r>
    </w:p>
    <w:p w14:paraId="1B4EC6A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interstate written</w:t>
      </w:r>
      <w:r w:rsidRPr="002A3021">
        <w:rPr>
          <w:rFonts w:eastAsia="Times New Roman"/>
          <w:color w:val="000000"/>
          <w:sz w:val="23"/>
          <w:szCs w:val="23"/>
          <w:lang w:eastAsia="en-AU"/>
          <w14:ligatures w14:val="standardContextual"/>
        </w:rPr>
        <w:noBreakHyphen/>
        <w:t>off vehicles within the meaning of this Part.</w:t>
      </w:r>
    </w:p>
    <w:p w14:paraId="3828AA9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9" w:name="Elkera_Print_TOC131"/>
      <w:bookmarkStart w:id="280" w:name="Elkera_Print_BK131"/>
      <w:r w:rsidRPr="002A3021">
        <w:rPr>
          <w:rFonts w:eastAsia="Times New Roman"/>
          <w:b/>
          <w:bCs/>
          <w:color w:val="000000"/>
          <w:sz w:val="26"/>
          <w:szCs w:val="26"/>
          <w:lang w:eastAsia="en-AU"/>
          <w14:ligatures w14:val="standardContextual"/>
        </w:rPr>
        <w:t>96—Application of Part</w:t>
      </w:r>
      <w:bookmarkEnd w:id="279"/>
      <w:bookmarkEnd w:id="280"/>
    </w:p>
    <w:p w14:paraId="0B248712" w14:textId="24D5FFEE"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This Part applies to a motor vehicle if the vehicle would be required to be registered under the Act in order to be driven on a road, whether or not the vehicle is in fact registered.</w:t>
      </w:r>
    </w:p>
    <w:p w14:paraId="40C81EE9"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35E83D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1" w:name="Elkera_Print_TOC133"/>
      <w:bookmarkStart w:id="282" w:name="id1b6ea04c_850f_41f5_8455_1b6fc0ed8dee_2"/>
      <w:r w:rsidRPr="002A3021">
        <w:rPr>
          <w:rFonts w:eastAsia="Times New Roman"/>
          <w:b/>
          <w:bCs/>
          <w:color w:val="000000"/>
          <w:sz w:val="26"/>
          <w:szCs w:val="26"/>
          <w:lang w:eastAsia="en-AU"/>
          <w14:ligatures w14:val="standardContextual"/>
        </w:rPr>
        <w:lastRenderedPageBreak/>
        <w:t>97—Registrar to be given notice of, and notices to be affixed to, written</w:t>
      </w:r>
      <w:r w:rsidRPr="002A3021">
        <w:rPr>
          <w:rFonts w:eastAsia="Times New Roman"/>
          <w:b/>
          <w:bCs/>
          <w:color w:val="000000"/>
          <w:sz w:val="26"/>
          <w:szCs w:val="26"/>
          <w:lang w:eastAsia="en-AU"/>
          <w14:ligatures w14:val="standardContextual"/>
        </w:rPr>
        <w:noBreakHyphen/>
        <w:t>off vehicles</w:t>
      </w:r>
      <w:bookmarkEnd w:id="281"/>
      <w:bookmarkEnd w:id="282"/>
    </w:p>
    <w:p w14:paraId="2BF3F7A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83" w:name="id93369dc6_8911_40d8_8b93_dc2c982d712f_1"/>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Subject to this regulation—</w:t>
      </w:r>
      <w:bookmarkEnd w:id="283"/>
    </w:p>
    <w:p w14:paraId="49710F9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4" w:name="ida93f20f6_5366_4098_8655_4add5994589a_e"/>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insurer who makes a determination that a motor vehicle is a total loss for insurance purposes must, if the vehicle is a notifiable vehicle—</w:t>
      </w:r>
      <w:bookmarkEnd w:id="284"/>
    </w:p>
    <w:p w14:paraId="116F3393"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as soon as practicable after making the determination, but before selling or otherwise disposing of the vehicle, affix written</w:t>
      </w:r>
      <w:r w:rsidRPr="002A3021">
        <w:rPr>
          <w:rFonts w:eastAsia="Times New Roman"/>
          <w:color w:val="000000"/>
          <w:sz w:val="23"/>
          <w:szCs w:val="23"/>
          <w:lang w:eastAsia="en-AU"/>
          <w14:ligatures w14:val="standardContextual"/>
        </w:rPr>
        <w:noBreakHyphen/>
        <w:t>off vehicle notices to the vehicle in accordance with this regulation; and</w:t>
      </w:r>
    </w:p>
    <w:p w14:paraId="721A5894"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within 7 days after making the determination, give notice in relation to the vehicle to the Registrar in accordance with this regulation;</w:t>
      </w:r>
    </w:p>
    <w:p w14:paraId="77C51F3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person who brings a notifiable vehicle into the State from another State or a Territory of the Commonwealth must—</w:t>
      </w:r>
    </w:p>
    <w:p w14:paraId="604BB87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as soon as practicable after bringing the vehicle into the State, but before selling or otherwise disposing of the vehicle, affix written</w:t>
      </w:r>
      <w:r w:rsidRPr="002A3021">
        <w:rPr>
          <w:rFonts w:eastAsia="Times New Roman"/>
          <w:color w:val="000000"/>
          <w:sz w:val="23"/>
          <w:szCs w:val="23"/>
          <w:lang w:eastAsia="en-AU"/>
          <w14:ligatures w14:val="standardContextual"/>
        </w:rPr>
        <w:noBreakHyphen/>
        <w:t>off vehicle notices to the vehicle in accordance with this regulation; and</w:t>
      </w:r>
    </w:p>
    <w:p w14:paraId="53F11A6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within 7 days after bringing the vehicle into the State, give notice in relation to the vehicle to the Registrar in accordance with this regulation;</w:t>
      </w:r>
    </w:p>
    <w:p w14:paraId="638DD0F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vehicle dealer who comes into possession of a notifiable vehicle must—</w:t>
      </w:r>
    </w:p>
    <w:p w14:paraId="5296190D"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as soon as practicable after coming into possession of the vehicle, but before selling or otherwise disposing of the vehicle, affix written</w:t>
      </w:r>
      <w:r w:rsidRPr="002A3021">
        <w:rPr>
          <w:rFonts w:eastAsia="Times New Roman"/>
          <w:color w:val="000000"/>
          <w:sz w:val="23"/>
          <w:szCs w:val="23"/>
          <w:lang w:eastAsia="en-AU"/>
          <w14:ligatures w14:val="standardContextual"/>
        </w:rPr>
        <w:noBreakHyphen/>
        <w:t>off vehicle notices to the vehicle in accordance with this regulation; and</w:t>
      </w:r>
    </w:p>
    <w:p w14:paraId="634BDD9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within 7 days after coming into possession of the vehicle, give notice in relation to the vehicle to the Registrar in accordance with this regulation;</w:t>
      </w:r>
    </w:p>
    <w:p w14:paraId="7080C9D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5" w:name="id98e36670_f602_414d_90b7_c9d199283b9e_a"/>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vehicle wrecker who acquires a notifiable vehicle must—</w:t>
      </w:r>
      <w:bookmarkEnd w:id="285"/>
    </w:p>
    <w:p w14:paraId="17CC0AB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as soon as practicable after acquiring the vehicle, but before commencing to dismantle the vehicle, or selling or otherwise disposing of the vehicle, affix written</w:t>
      </w:r>
      <w:r w:rsidRPr="002A3021">
        <w:rPr>
          <w:rFonts w:eastAsia="Times New Roman"/>
          <w:color w:val="000000"/>
          <w:sz w:val="23"/>
          <w:szCs w:val="23"/>
          <w:lang w:eastAsia="en-AU"/>
          <w14:ligatures w14:val="standardContextual"/>
        </w:rPr>
        <w:noBreakHyphen/>
        <w:t>off vehicle notices to the vehicle in accordance with this regulation; and</w:t>
      </w:r>
    </w:p>
    <w:p w14:paraId="09C488A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within 7 days after acquiring the vehicle, give notice in relation to the vehicle to the Registrar in accordance with this regulation;</w:t>
      </w:r>
    </w:p>
    <w:p w14:paraId="53BBCEB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6" w:name="id5dd9216c_fdbb_4c82_a256_9abce7042030_8"/>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a person (other than a person referred to in a preceding paragraph of this subregulation) who is in possession of a notifiable vehicle must, before selling or otherwise disposing of the vehicle—</w:t>
      </w:r>
      <w:bookmarkEnd w:id="286"/>
    </w:p>
    <w:p w14:paraId="66F5AD4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affix written</w:t>
      </w:r>
      <w:r w:rsidRPr="002A3021">
        <w:rPr>
          <w:rFonts w:eastAsia="Times New Roman"/>
          <w:color w:val="000000"/>
          <w:sz w:val="23"/>
          <w:szCs w:val="23"/>
          <w:lang w:eastAsia="en-AU"/>
          <w14:ligatures w14:val="standardContextual"/>
        </w:rPr>
        <w:noBreakHyphen/>
        <w:t>off vehicle notices to the vehicle in accordance with this regulation; and</w:t>
      </w:r>
    </w:p>
    <w:p w14:paraId="7A05471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give notice in relation to the vehicle to the Registrar in accordance with this regulation.</w:t>
      </w:r>
    </w:p>
    <w:p w14:paraId="3786514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 person is not required to affix written</w:t>
      </w:r>
      <w:r w:rsidRPr="002A3021">
        <w:rPr>
          <w:rFonts w:eastAsia="Times New Roman"/>
          <w:color w:val="000000"/>
          <w:sz w:val="23"/>
          <w:szCs w:val="23"/>
          <w:lang w:eastAsia="en-AU"/>
          <w14:ligatures w14:val="standardContextual"/>
        </w:rPr>
        <w:noBreakHyphen/>
        <w:t xml:space="preserve">off vehicle notices to a notifiable vehicle under </w:t>
      </w:r>
      <w:hyperlink w:anchor="id93369dc6_8911_40d8_8b93_dc2c982d712f_1"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xml:space="preserve"> if—</w:t>
      </w:r>
    </w:p>
    <w:p w14:paraId="36E98CC7" w14:textId="6A1D9DC4"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such notices are already affixed to the vehicle in accordance with this regulation and (except where the person is a person referred to in </w:t>
      </w:r>
      <w:hyperlink w:anchor="id98e36670_f602_414d_90b7_c9d199283b9e_a" w:history="1">
        <w:r w:rsidRPr="002A3021">
          <w:rPr>
            <w:rFonts w:eastAsia="Times New Roman"/>
            <w:color w:val="000000"/>
            <w:sz w:val="23"/>
            <w:szCs w:val="23"/>
            <w:lang w:eastAsia="en-AU"/>
            <w14:ligatures w14:val="standardContextual"/>
          </w:rPr>
          <w:t>subregulation (1)(d)</w:t>
        </w:r>
      </w:hyperlink>
      <w:r w:rsidRPr="002A3021">
        <w:rPr>
          <w:rFonts w:eastAsia="Times New Roman"/>
          <w:color w:val="000000"/>
          <w:sz w:val="23"/>
          <w:szCs w:val="23"/>
          <w:lang w:eastAsia="en-AU"/>
          <w14:ligatures w14:val="standardContextual"/>
        </w:rPr>
        <w:t xml:space="preserve"> or </w:t>
      </w:r>
      <w:hyperlink w:anchor="id5dd9216c_fdbb_4c82_a256_9abce7042030_8" w:history="1">
        <w:r w:rsidRPr="002A3021">
          <w:rPr>
            <w:rFonts w:eastAsia="Times New Roman"/>
            <w:color w:val="000000"/>
            <w:sz w:val="23"/>
            <w:szCs w:val="23"/>
            <w:lang w:eastAsia="en-AU"/>
            <w14:ligatures w14:val="standardContextual"/>
          </w:rPr>
          <w:t>(e)</w:t>
        </w:r>
      </w:hyperlink>
      <w:r w:rsidRPr="002A3021">
        <w:rPr>
          <w:rFonts w:eastAsia="Times New Roman"/>
          <w:color w:val="000000"/>
          <w:sz w:val="23"/>
          <w:szCs w:val="23"/>
          <w:lang w:eastAsia="en-AU"/>
          <w14:ligatures w14:val="standardContextual"/>
        </w:rPr>
        <w:t>) any identification of the vehicle as a statutory write</w:t>
      </w:r>
      <w:r w:rsidRPr="002A3021">
        <w:rPr>
          <w:rFonts w:eastAsia="Times New Roman"/>
          <w:color w:val="000000"/>
          <w:sz w:val="23"/>
          <w:szCs w:val="23"/>
          <w:lang w:eastAsia="en-AU"/>
          <w14:ligatures w14:val="standardContextual"/>
        </w:rPr>
        <w:noBreakHyphen/>
        <w:t>off or repairable write</w:t>
      </w:r>
      <w:r w:rsidRPr="002A3021">
        <w:rPr>
          <w:rFonts w:eastAsia="Times New Roman"/>
          <w:color w:val="000000"/>
          <w:sz w:val="23"/>
          <w:szCs w:val="23"/>
          <w:lang w:eastAsia="en-AU"/>
          <w14:ligatures w14:val="standardContextual"/>
        </w:rPr>
        <w:noBreakHyphen/>
        <w:t>off by the notices is correct; or</w:t>
      </w:r>
    </w:p>
    <w:p w14:paraId="0D3A5D9F"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8CA82A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in the case of an interstate written</w:t>
      </w:r>
      <w:r w:rsidRPr="002A3021">
        <w:rPr>
          <w:rFonts w:eastAsia="Times New Roman"/>
          <w:color w:val="000000"/>
          <w:sz w:val="23"/>
          <w:szCs w:val="23"/>
          <w:lang w:eastAsia="en-AU"/>
          <w14:ligatures w14:val="standardContextual"/>
        </w:rPr>
        <w:noBreakHyphen/>
        <w:t>off vehicle, the notices required to be affixed under the corresponding law of the relevant State or Territory are so affixed; or</w:t>
      </w:r>
    </w:p>
    <w:p w14:paraId="4C037B7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vehicle is a notifiable vehicle only because it has hail damage of a cosmetic nature.</w:t>
      </w:r>
    </w:p>
    <w:p w14:paraId="3CA4578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A person is not required to give notice in relation to a notifiable vehicle to the Registrar under </w:t>
      </w:r>
      <w:hyperlink w:anchor="id93369dc6_8911_40d8_8b93_dc2c982d712f_1"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xml:space="preserve"> if—</w:t>
      </w:r>
    </w:p>
    <w:p w14:paraId="07BF957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notice has already been given in relation to the vehicle to the Registrar in accordance with this regulation and (except where the person is a person referred to in </w:t>
      </w:r>
      <w:hyperlink w:anchor="id98e36670_f602_414d_90b7_c9d199283b9e_a" w:history="1">
        <w:r w:rsidRPr="002A3021">
          <w:rPr>
            <w:rFonts w:eastAsia="Times New Roman"/>
            <w:color w:val="000000"/>
            <w:sz w:val="23"/>
            <w:szCs w:val="23"/>
            <w:lang w:eastAsia="en-AU"/>
            <w14:ligatures w14:val="standardContextual"/>
          </w:rPr>
          <w:t>subregulation (1)(d)</w:t>
        </w:r>
      </w:hyperlink>
      <w:r w:rsidRPr="002A3021">
        <w:rPr>
          <w:rFonts w:eastAsia="Times New Roman"/>
          <w:color w:val="000000"/>
          <w:sz w:val="23"/>
          <w:szCs w:val="23"/>
          <w:lang w:eastAsia="en-AU"/>
          <w14:ligatures w14:val="standardContextual"/>
        </w:rPr>
        <w:t xml:space="preserve"> or </w:t>
      </w:r>
      <w:hyperlink w:anchor="id5dd9216c_fdbb_4c82_a256_9abce7042030_8" w:history="1">
        <w:r w:rsidRPr="002A3021">
          <w:rPr>
            <w:rFonts w:eastAsia="Times New Roman"/>
            <w:color w:val="000000"/>
            <w:sz w:val="23"/>
            <w:szCs w:val="23"/>
            <w:lang w:eastAsia="en-AU"/>
            <w14:ligatures w14:val="standardContextual"/>
          </w:rPr>
          <w:t>(e)</w:t>
        </w:r>
      </w:hyperlink>
      <w:r w:rsidRPr="002A3021">
        <w:rPr>
          <w:rFonts w:eastAsia="Times New Roman"/>
          <w:color w:val="000000"/>
          <w:sz w:val="23"/>
          <w:szCs w:val="23"/>
          <w:lang w:eastAsia="en-AU"/>
          <w14:ligatures w14:val="standardContextual"/>
        </w:rPr>
        <w:t>) the previous notification correctly identifies whether the vehicle is a statutory write</w:t>
      </w:r>
      <w:r w:rsidRPr="002A3021">
        <w:rPr>
          <w:rFonts w:eastAsia="Times New Roman"/>
          <w:color w:val="000000"/>
          <w:sz w:val="23"/>
          <w:szCs w:val="23"/>
          <w:lang w:eastAsia="en-AU"/>
          <w14:ligatures w14:val="standardContextual"/>
        </w:rPr>
        <w:noBreakHyphen/>
        <w:t>off or a repairable write</w:t>
      </w:r>
      <w:r w:rsidRPr="002A3021">
        <w:rPr>
          <w:rFonts w:eastAsia="Times New Roman"/>
          <w:color w:val="000000"/>
          <w:sz w:val="23"/>
          <w:szCs w:val="23"/>
          <w:lang w:eastAsia="en-AU"/>
          <w14:ligatures w14:val="standardContextual"/>
        </w:rPr>
        <w:noBreakHyphen/>
        <w:t>off; or</w:t>
      </w:r>
    </w:p>
    <w:p w14:paraId="5BD5B68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vehicle is an interstate written</w:t>
      </w:r>
      <w:r w:rsidRPr="002A3021">
        <w:rPr>
          <w:rFonts w:eastAsia="Times New Roman"/>
          <w:color w:val="000000"/>
          <w:sz w:val="23"/>
          <w:szCs w:val="23"/>
          <w:lang w:eastAsia="en-AU"/>
          <w14:ligatures w14:val="standardContextual"/>
        </w:rPr>
        <w:noBreakHyphen/>
        <w:t>off vehicle.</w:t>
      </w:r>
    </w:p>
    <w:p w14:paraId="30C7E05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Written</w:t>
      </w:r>
      <w:r w:rsidRPr="002A3021">
        <w:rPr>
          <w:rFonts w:eastAsia="Times New Roman"/>
          <w:color w:val="000000"/>
          <w:sz w:val="23"/>
          <w:szCs w:val="23"/>
          <w:lang w:eastAsia="en-AU"/>
          <w14:ligatures w14:val="standardContextual"/>
        </w:rPr>
        <w:noBreakHyphen/>
        <w:t>off vehicle notices must be affixed to a notifiable vehicle in the manner determined by the Minister and specified on the notices or on accompanying material.</w:t>
      </w:r>
    </w:p>
    <w:p w14:paraId="7EF5284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A notice required to be given to the Registrar in accordance with this regulation—</w:t>
      </w:r>
    </w:p>
    <w:p w14:paraId="1E1786D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must be given in the manner and form determined by the Minister; and</w:t>
      </w:r>
    </w:p>
    <w:p w14:paraId="079B8AA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must—</w:t>
      </w:r>
    </w:p>
    <w:p w14:paraId="75228E7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 xml:space="preserve">(except in the case of a notice given by a person referred to in </w:t>
      </w:r>
      <w:hyperlink w:anchor="id5dd9216c_fdbb_4c82_a256_9abce7042030_8" w:history="1">
        <w:r w:rsidRPr="002A3021">
          <w:rPr>
            <w:rFonts w:eastAsia="Times New Roman"/>
            <w:color w:val="000000"/>
            <w:sz w:val="23"/>
            <w:szCs w:val="23"/>
            <w:lang w:eastAsia="en-AU"/>
            <w14:ligatures w14:val="standardContextual"/>
          </w:rPr>
          <w:t>subregulation (1)(e)</w:t>
        </w:r>
      </w:hyperlink>
      <w:r w:rsidRPr="002A3021">
        <w:rPr>
          <w:rFonts w:eastAsia="Times New Roman"/>
          <w:color w:val="000000"/>
          <w:sz w:val="23"/>
          <w:szCs w:val="23"/>
          <w:lang w:eastAsia="en-AU"/>
          <w14:ligatures w14:val="standardContextual"/>
        </w:rPr>
        <w:t>) specify whether the notifiable vehicle is a statutory write</w:t>
      </w:r>
      <w:r w:rsidRPr="002A3021">
        <w:rPr>
          <w:rFonts w:eastAsia="Times New Roman"/>
          <w:color w:val="000000"/>
          <w:sz w:val="23"/>
          <w:szCs w:val="23"/>
          <w:lang w:eastAsia="en-AU"/>
          <w14:ligatures w14:val="standardContextual"/>
        </w:rPr>
        <w:noBreakHyphen/>
        <w:t>off or a repairable write</w:t>
      </w:r>
      <w:r w:rsidRPr="002A3021">
        <w:rPr>
          <w:rFonts w:eastAsia="Times New Roman"/>
          <w:color w:val="000000"/>
          <w:sz w:val="23"/>
          <w:szCs w:val="23"/>
          <w:lang w:eastAsia="en-AU"/>
          <w14:ligatures w14:val="standardContextual"/>
        </w:rPr>
        <w:noBreakHyphen/>
        <w:t>off; and</w:t>
      </w:r>
    </w:p>
    <w:p w14:paraId="49BF6F3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contain particulars of such other matters as may be determined by the Minister.</w:t>
      </w:r>
    </w:p>
    <w:p w14:paraId="501AC66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(6)</w:t>
      </w:r>
      <w:r w:rsidRPr="002A3021">
        <w:rPr>
          <w:rFonts w:eastAsia="Times New Roman"/>
          <w:color w:val="000000"/>
          <w:sz w:val="23"/>
          <w:szCs w:val="23"/>
          <w:lang w:eastAsia="en-AU"/>
          <w14:ligatures w14:val="standardContextual"/>
        </w:rPr>
        <w:tab/>
        <w:t>Written</w:t>
      </w:r>
      <w:r w:rsidRPr="002A3021">
        <w:rPr>
          <w:rFonts w:eastAsia="Times New Roman"/>
          <w:color w:val="000000"/>
          <w:sz w:val="23"/>
          <w:szCs w:val="23"/>
          <w:lang w:eastAsia="en-AU"/>
          <w14:ligatures w14:val="standardContextual"/>
        </w:rPr>
        <w:noBreakHyphen/>
        <w:t>off vehicle notices affixed to a notifiable vehicle in accordance with this regulation (or, in the case of an interstate written</w:t>
      </w:r>
      <w:r w:rsidRPr="002A3021">
        <w:rPr>
          <w:rFonts w:eastAsia="Times New Roman"/>
          <w:color w:val="000000"/>
          <w:sz w:val="23"/>
          <w:szCs w:val="23"/>
          <w:lang w:eastAsia="en-AU"/>
          <w14:ligatures w14:val="standardContextual"/>
        </w:rPr>
        <w:noBreakHyphen/>
        <w:t>off vehicle, notices affixed in accordance with the relevant corresponding law) must not be defaced, altered or removed from the vehicle except—</w:t>
      </w:r>
    </w:p>
    <w:p w14:paraId="2E396DE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at a time or in a manner determined by the Minister and (except in the case of notices affixed in accordance with a corresponding law) specified in the notice; or</w:t>
      </w:r>
    </w:p>
    <w:p w14:paraId="6C3AEC2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by or with the approval of an authorised officer.</w:t>
      </w:r>
    </w:p>
    <w:p w14:paraId="2B82397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(7)</w:t>
      </w:r>
      <w:r w:rsidRPr="002A3021">
        <w:rPr>
          <w:rFonts w:eastAsia="Times New Roman"/>
          <w:color w:val="000000"/>
          <w:sz w:val="23"/>
          <w:szCs w:val="23"/>
          <w:lang w:eastAsia="en-AU"/>
          <w14:ligatures w14:val="standardContextual"/>
        </w:rPr>
        <w:tab/>
        <w:t>A person who contravenes or fails to comply with a requirement of this regulation is guilty of an offence.</w:t>
      </w:r>
    </w:p>
    <w:p w14:paraId="3DE40F35"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Maximum penalty: </w:t>
      </w:r>
    </w:p>
    <w:p w14:paraId="712830D4" w14:textId="77777777" w:rsidR="002A3021" w:rsidRPr="002A3021" w:rsidRDefault="002A3021" w:rsidP="002A3021">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an offence committed in the course of a trade or business—$2 500;</w:t>
      </w:r>
    </w:p>
    <w:p w14:paraId="2DE62748" w14:textId="77777777" w:rsidR="002A3021" w:rsidRPr="002A3021" w:rsidRDefault="002A3021" w:rsidP="002A3021">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any other case—$1 250.</w:t>
      </w:r>
    </w:p>
    <w:p w14:paraId="717DCF2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(8)</w:t>
      </w:r>
      <w:r w:rsidRPr="002A3021">
        <w:rPr>
          <w:rFonts w:eastAsia="Times New Roman"/>
          <w:color w:val="000000"/>
          <w:sz w:val="23"/>
          <w:szCs w:val="23"/>
          <w:lang w:eastAsia="en-AU"/>
          <w14:ligatures w14:val="standardContextual"/>
        </w:rPr>
        <w:tab/>
        <w:t xml:space="preserve">Without limiting the circumstances in which an insurer referred to in </w:t>
      </w:r>
      <w:hyperlink w:anchor="ida93f20f6_5366_4098_8655_4add5994589a_e" w:history="1">
        <w:r w:rsidRPr="002A3021">
          <w:rPr>
            <w:rFonts w:eastAsia="Times New Roman"/>
            <w:color w:val="000000"/>
            <w:sz w:val="23"/>
            <w:szCs w:val="23"/>
            <w:lang w:eastAsia="en-AU"/>
            <w14:ligatures w14:val="standardContextual"/>
          </w:rPr>
          <w:t>subregulation (1)(a)</w:t>
        </w:r>
      </w:hyperlink>
      <w:r w:rsidRPr="002A3021">
        <w:rPr>
          <w:rFonts w:eastAsia="Times New Roman"/>
          <w:color w:val="000000"/>
          <w:sz w:val="23"/>
          <w:szCs w:val="23"/>
          <w:lang w:eastAsia="en-AU"/>
          <w14:ligatures w14:val="standardContextual"/>
        </w:rPr>
        <w:t xml:space="preserve"> may be taken to have determined that a motor vehicle is a total loss, an insurer will for the purposes of that subregulation be taken to have made such a determination if the insurer—</w:t>
      </w:r>
    </w:p>
    <w:p w14:paraId="02809E0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allows a claim for the full insured value of the vehicle; or</w:t>
      </w:r>
    </w:p>
    <w:p w14:paraId="1B3C29D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sells or otherwise disposes of the vehicle to a third party.</w:t>
      </w:r>
    </w:p>
    <w:p w14:paraId="6E1F1EFC" w14:textId="18760B00"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(9)</w:t>
      </w:r>
      <w:r w:rsidRPr="002A3021">
        <w:rPr>
          <w:rFonts w:eastAsia="Times New Roman"/>
          <w:color w:val="000000"/>
          <w:sz w:val="23"/>
          <w:szCs w:val="23"/>
          <w:lang w:eastAsia="en-AU"/>
          <w14:ligatures w14:val="standardContextual"/>
        </w:rPr>
        <w:tab/>
        <w:t xml:space="preserve">A reference in this regulation to </w:t>
      </w:r>
      <w:r w:rsidRPr="002A3021">
        <w:rPr>
          <w:rFonts w:eastAsia="Times New Roman"/>
          <w:b/>
          <w:bCs/>
          <w:i/>
          <w:iCs/>
          <w:color w:val="000000"/>
          <w:sz w:val="23"/>
          <w:szCs w:val="23"/>
          <w:lang w:eastAsia="en-AU"/>
          <w14:ligatures w14:val="standardContextual"/>
        </w:rPr>
        <w:t>commencing to dismantle</w:t>
      </w:r>
      <w:r w:rsidRPr="002A3021">
        <w:rPr>
          <w:rFonts w:eastAsia="Times New Roman"/>
          <w:color w:val="000000"/>
          <w:sz w:val="23"/>
          <w:szCs w:val="23"/>
          <w:lang w:eastAsia="en-AU"/>
          <w14:ligatures w14:val="standardContextual"/>
        </w:rPr>
        <w:t xml:space="preserve">, </w:t>
      </w:r>
      <w:r w:rsidRPr="002A3021">
        <w:rPr>
          <w:rFonts w:eastAsia="Times New Roman"/>
          <w:b/>
          <w:bCs/>
          <w:i/>
          <w:iCs/>
          <w:color w:val="000000"/>
          <w:sz w:val="23"/>
          <w:szCs w:val="23"/>
          <w:lang w:eastAsia="en-AU"/>
          <w14:ligatures w14:val="standardContextual"/>
        </w:rPr>
        <w:t>selling or otherwise disposing of</w:t>
      </w:r>
      <w:r w:rsidRPr="002A3021">
        <w:rPr>
          <w:rFonts w:eastAsia="Times New Roman"/>
          <w:color w:val="000000"/>
          <w:sz w:val="23"/>
          <w:szCs w:val="23"/>
          <w:lang w:eastAsia="en-AU"/>
          <w14:ligatures w14:val="standardContextual"/>
        </w:rPr>
        <w:t xml:space="preserve">, </w:t>
      </w:r>
      <w:r w:rsidRPr="002A3021">
        <w:rPr>
          <w:rFonts w:eastAsia="Times New Roman"/>
          <w:b/>
          <w:bCs/>
          <w:i/>
          <w:iCs/>
          <w:color w:val="000000"/>
          <w:sz w:val="23"/>
          <w:szCs w:val="23"/>
          <w:lang w:eastAsia="en-AU"/>
          <w14:ligatures w14:val="standardContextual"/>
        </w:rPr>
        <w:t>affixing written</w:t>
      </w:r>
      <w:r w:rsidRPr="002A3021">
        <w:rPr>
          <w:rFonts w:eastAsia="Times New Roman"/>
          <w:b/>
          <w:bCs/>
          <w:i/>
          <w:iCs/>
          <w:color w:val="000000"/>
          <w:sz w:val="23"/>
          <w:szCs w:val="23"/>
          <w:lang w:eastAsia="en-AU"/>
          <w14:ligatures w14:val="standardContextual"/>
        </w:rPr>
        <w:noBreakHyphen/>
        <w:t>off vehicle notices to</w:t>
      </w:r>
      <w:r w:rsidRPr="002A3021">
        <w:rPr>
          <w:rFonts w:eastAsia="Times New Roman"/>
          <w:color w:val="000000"/>
          <w:sz w:val="23"/>
          <w:szCs w:val="23"/>
          <w:lang w:eastAsia="en-AU"/>
          <w14:ligatures w14:val="standardContextual"/>
        </w:rPr>
        <w:t xml:space="preserve"> or </w:t>
      </w:r>
      <w:r w:rsidRPr="002A3021">
        <w:rPr>
          <w:rFonts w:eastAsia="Times New Roman"/>
          <w:b/>
          <w:bCs/>
          <w:i/>
          <w:iCs/>
          <w:color w:val="000000"/>
          <w:sz w:val="23"/>
          <w:szCs w:val="23"/>
          <w:lang w:eastAsia="en-AU"/>
          <w14:ligatures w14:val="standardContextual"/>
        </w:rPr>
        <w:t>removing written</w:t>
      </w:r>
      <w:r w:rsidRPr="002A3021">
        <w:rPr>
          <w:rFonts w:eastAsia="Times New Roman"/>
          <w:b/>
          <w:bCs/>
          <w:i/>
          <w:iCs/>
          <w:color w:val="000000"/>
          <w:sz w:val="23"/>
          <w:szCs w:val="23"/>
          <w:lang w:eastAsia="en-AU"/>
          <w14:ligatures w14:val="standardContextual"/>
        </w:rPr>
        <w:noBreakHyphen/>
        <w:t>off vehicle notices from</w:t>
      </w:r>
      <w:r w:rsidRPr="002A3021">
        <w:rPr>
          <w:rFonts w:eastAsia="Times New Roman"/>
          <w:color w:val="000000"/>
          <w:sz w:val="23"/>
          <w:szCs w:val="23"/>
          <w:lang w:eastAsia="en-AU"/>
          <w14:ligatures w14:val="standardContextual"/>
        </w:rPr>
        <w:t>, a vehicle, includes a reference to dismantling, selling or otherwise disposing of, affixing notices to or removing notices from, a part of the vehicle.</w:t>
      </w:r>
    </w:p>
    <w:p w14:paraId="0390C49D"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AF4AB9F"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7" w:name="Elkera_Print_TOC134"/>
      <w:bookmarkStart w:id="288" w:name="Elkera_Print_BK134"/>
      <w:r w:rsidRPr="002A3021">
        <w:rPr>
          <w:rFonts w:eastAsia="Times New Roman"/>
          <w:b/>
          <w:bCs/>
          <w:color w:val="000000"/>
          <w:sz w:val="26"/>
          <w:szCs w:val="26"/>
          <w:lang w:eastAsia="en-AU"/>
          <w14:ligatures w14:val="standardContextual"/>
        </w:rPr>
        <w:lastRenderedPageBreak/>
        <w:t>98—Offence to drive written</w:t>
      </w:r>
      <w:r w:rsidRPr="002A3021">
        <w:rPr>
          <w:rFonts w:eastAsia="Times New Roman"/>
          <w:b/>
          <w:bCs/>
          <w:color w:val="000000"/>
          <w:sz w:val="26"/>
          <w:szCs w:val="26"/>
          <w:lang w:eastAsia="en-AU"/>
          <w14:ligatures w14:val="standardContextual"/>
        </w:rPr>
        <w:noBreakHyphen/>
        <w:t>off vehicle on road</w:t>
      </w:r>
      <w:bookmarkEnd w:id="287"/>
      <w:bookmarkEnd w:id="288"/>
    </w:p>
    <w:p w14:paraId="5768D93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89" w:name="ida9dfc62e_efda_4739_8175_4a0b4b6e6c2f_d"/>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person must not drive a notified written</w:t>
      </w:r>
      <w:r w:rsidRPr="002A3021">
        <w:rPr>
          <w:rFonts w:eastAsia="Times New Roman"/>
          <w:color w:val="000000"/>
          <w:sz w:val="23"/>
          <w:szCs w:val="23"/>
          <w:lang w:eastAsia="en-AU"/>
          <w14:ligatures w14:val="standardContextual"/>
        </w:rPr>
        <w:noBreakHyphen/>
        <w:t>off vehicle on a road except to or from—</w:t>
      </w:r>
      <w:bookmarkEnd w:id="289"/>
    </w:p>
    <w:p w14:paraId="6C60EBE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place at which the vehicle is to be or has been repaired; or</w:t>
      </w:r>
    </w:p>
    <w:p w14:paraId="5D46616B" w14:textId="77777777" w:rsidR="002A3021" w:rsidRPr="002A3021" w:rsidRDefault="002A3021" w:rsidP="002A302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place at which the vehicle is to be or has been inspected by an authorised officer.</w:t>
      </w:r>
    </w:p>
    <w:p w14:paraId="70142CBF"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Maximum penalty: </w:t>
      </w:r>
    </w:p>
    <w:p w14:paraId="51058449" w14:textId="77777777" w:rsidR="002A3021" w:rsidRPr="002A3021" w:rsidRDefault="002A3021" w:rsidP="002A3021">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an offence committed in the course of a trade or business—$2 500;</w:t>
      </w:r>
    </w:p>
    <w:p w14:paraId="5BB0C9BF" w14:textId="77777777" w:rsidR="002A3021" w:rsidRPr="002A3021" w:rsidRDefault="002A3021" w:rsidP="002A3021">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any other case—$1 250.</w:t>
      </w:r>
    </w:p>
    <w:p w14:paraId="28388D7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r>
      <w:hyperlink w:anchor="ida9dfc62e_efda_4739_8175_4a0b4b6e6c2f_d"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xml:space="preserve"> does not apply in relation to a motor vehicle that is a notified written</w:t>
      </w:r>
      <w:r w:rsidRPr="002A3021">
        <w:rPr>
          <w:rFonts w:eastAsia="Times New Roman"/>
          <w:color w:val="000000"/>
          <w:sz w:val="23"/>
          <w:szCs w:val="23"/>
          <w:lang w:eastAsia="en-AU"/>
          <w14:ligatures w14:val="standardContextual"/>
        </w:rPr>
        <w:noBreakHyphen/>
        <w:t>off vehicle only because the vehicle has sustained hail damage of a cosmetic nature.</w:t>
      </w:r>
    </w:p>
    <w:p w14:paraId="1C96CE7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In this regulation—</w:t>
      </w:r>
    </w:p>
    <w:p w14:paraId="607C7237"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notified written</w:t>
      </w:r>
      <w:r w:rsidRPr="002A3021">
        <w:rPr>
          <w:rFonts w:eastAsia="Times New Roman"/>
          <w:b/>
          <w:bCs/>
          <w:i/>
          <w:iCs/>
          <w:color w:val="000000"/>
          <w:sz w:val="23"/>
          <w:szCs w:val="23"/>
          <w:lang w:eastAsia="en-AU"/>
          <w14:ligatures w14:val="standardContextual"/>
        </w:rPr>
        <w:noBreakHyphen/>
        <w:t>off vehicle</w:t>
      </w:r>
      <w:r w:rsidRPr="002A3021">
        <w:rPr>
          <w:rFonts w:eastAsia="Times New Roman"/>
          <w:color w:val="000000"/>
          <w:sz w:val="23"/>
          <w:szCs w:val="23"/>
          <w:lang w:eastAsia="en-AU"/>
          <w14:ligatures w14:val="standardContextual"/>
        </w:rPr>
        <w:t xml:space="preserve"> means—</w:t>
      </w:r>
    </w:p>
    <w:p w14:paraId="21369BE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motor vehicle recorded as a written</w:t>
      </w:r>
      <w:r w:rsidRPr="002A3021">
        <w:rPr>
          <w:rFonts w:eastAsia="Times New Roman"/>
          <w:color w:val="000000"/>
          <w:sz w:val="23"/>
          <w:szCs w:val="23"/>
          <w:lang w:eastAsia="en-AU"/>
          <w14:ligatures w14:val="standardContextual"/>
        </w:rPr>
        <w:noBreakHyphen/>
        <w:t>off vehicle by the Registrar following notification under this Part; or</w:t>
      </w:r>
    </w:p>
    <w:p w14:paraId="470779F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interstate written</w:t>
      </w:r>
      <w:r w:rsidRPr="002A3021">
        <w:rPr>
          <w:rFonts w:eastAsia="Times New Roman"/>
          <w:color w:val="000000"/>
          <w:sz w:val="23"/>
          <w:szCs w:val="23"/>
          <w:lang w:eastAsia="en-AU"/>
          <w14:ligatures w14:val="standardContextual"/>
        </w:rPr>
        <w:noBreakHyphen/>
        <w:t>off vehicle.</w:t>
      </w:r>
    </w:p>
    <w:p w14:paraId="04DE76B6"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90" w:name="Elkera_Print_TOC136"/>
      <w:bookmarkStart w:id="291" w:name="id62fecd66_5f5a_4869_a4f6_c439fb0d99"/>
      <w:r w:rsidRPr="002A3021">
        <w:rPr>
          <w:rFonts w:eastAsia="Times New Roman"/>
          <w:b/>
          <w:bCs/>
          <w:color w:val="000000"/>
          <w:sz w:val="32"/>
          <w:szCs w:val="32"/>
          <w:lang w:eastAsia="en-AU"/>
          <w14:ligatures w14:val="standardContextual"/>
        </w:rPr>
        <w:t>Part 7—Fees</w:t>
      </w:r>
      <w:bookmarkEnd w:id="290"/>
      <w:bookmarkEnd w:id="291"/>
    </w:p>
    <w:p w14:paraId="657CDB4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2" w:name="Elkera_Print_TOC137"/>
      <w:bookmarkStart w:id="293" w:name="Elkera_Print_BK137"/>
      <w:r w:rsidRPr="002A3021">
        <w:rPr>
          <w:rFonts w:eastAsia="Times New Roman"/>
          <w:b/>
          <w:bCs/>
          <w:color w:val="000000"/>
          <w:sz w:val="26"/>
          <w:szCs w:val="26"/>
          <w:lang w:eastAsia="en-AU"/>
          <w14:ligatures w14:val="standardContextual"/>
        </w:rPr>
        <w:t>99—Fees</w:t>
      </w:r>
      <w:bookmarkEnd w:id="292"/>
      <w:bookmarkEnd w:id="293"/>
    </w:p>
    <w:p w14:paraId="01F48D8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For the purposes of the Act and these regulations, the fees set out in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xml:space="preserve"> are prescribed.</w:t>
      </w:r>
    </w:p>
    <w:p w14:paraId="1DE74FD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The fees prescribed by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xml:space="preserve"> for searching the register and supplying information or supplying an extract of an entry in the register do not apply in relation to—</w:t>
      </w:r>
    </w:p>
    <w:p w14:paraId="4DEF8B8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provision of information for which fees are payable under a contract of a kind referred to in </w:t>
      </w:r>
      <w:hyperlink w:anchor="ida1be309d_964d_4ce5_8fdc_8c4181b3e67b_d" w:history="1">
        <w:r w:rsidRPr="002A3021">
          <w:rPr>
            <w:rFonts w:eastAsia="Times New Roman"/>
            <w:color w:val="000000"/>
            <w:sz w:val="23"/>
            <w:szCs w:val="23"/>
            <w:lang w:eastAsia="en-AU"/>
            <w14:ligatures w14:val="standardContextual"/>
          </w:rPr>
          <w:t>regulation 128(9)</w:t>
        </w:r>
      </w:hyperlink>
      <w:r w:rsidRPr="002A3021">
        <w:rPr>
          <w:rFonts w:eastAsia="Times New Roman"/>
          <w:color w:val="000000"/>
          <w:sz w:val="23"/>
          <w:szCs w:val="23"/>
          <w:lang w:eastAsia="en-AU"/>
          <w14:ligatures w14:val="standardContextual"/>
        </w:rPr>
        <w:t>; or</w:t>
      </w:r>
    </w:p>
    <w:p w14:paraId="79C7C9D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provision of information as to whether or not a particular motor vehicle is registered under the Act if the information is provided by means of a telephone enquiry service or website maintained by the Registrar for that purpose.</w:t>
      </w:r>
    </w:p>
    <w:p w14:paraId="0098737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A fee set out in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xml:space="preserve"> must be paid to—</w:t>
      </w:r>
    </w:p>
    <w:p w14:paraId="73915A3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payee specified for that fee; or</w:t>
      </w:r>
    </w:p>
    <w:p w14:paraId="2A3FCC1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if no payee is specified—the Registrar.</w:t>
      </w:r>
    </w:p>
    <w:p w14:paraId="6C85BCB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94" w:name="id66f06a53_e02d_44a5_93c3_ee08391e1b4e_6"/>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 xml:space="preserve">The Registrar may, by written notice given to a person who is liable to pay the fee prescribed by clause 22(3) of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require the person to pay the fee within the time specified in the notice (being a period of not less than 14 days from the day on which the notice is given).</w:t>
      </w:r>
      <w:bookmarkEnd w:id="294"/>
    </w:p>
    <w:p w14:paraId="61A585F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 xml:space="preserve">If a fee is not paid as required by a notice given under </w:t>
      </w:r>
      <w:hyperlink w:anchor="id66f06a53_e02d_44a5_93c3_ee08391e1b4e_6" w:history="1">
        <w:r w:rsidRPr="002A3021">
          <w:rPr>
            <w:rFonts w:eastAsia="Times New Roman"/>
            <w:color w:val="000000"/>
            <w:sz w:val="23"/>
            <w:szCs w:val="23"/>
            <w:lang w:eastAsia="en-AU"/>
            <w14:ligatures w14:val="standardContextual"/>
          </w:rPr>
          <w:t>subregulation (4)</w:t>
        </w:r>
      </w:hyperlink>
      <w:r w:rsidRPr="002A3021">
        <w:rPr>
          <w:rFonts w:eastAsia="Times New Roman"/>
          <w:color w:val="000000"/>
          <w:sz w:val="23"/>
          <w:szCs w:val="23"/>
          <w:lang w:eastAsia="en-AU"/>
          <w14:ligatures w14:val="standardContextual"/>
        </w:rPr>
        <w:t>, the Registrar may recover the fee in a court of competent jurisdiction as a debt due to the Registrar.</w:t>
      </w:r>
    </w:p>
    <w:p w14:paraId="2610DAF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5" w:name="Elkera_Print_TOC138"/>
      <w:bookmarkStart w:id="296" w:name="Elkera_Print_BK138"/>
      <w:r w:rsidRPr="002A3021">
        <w:rPr>
          <w:rFonts w:eastAsia="Times New Roman"/>
          <w:b/>
          <w:bCs/>
          <w:color w:val="000000"/>
          <w:sz w:val="26"/>
          <w:szCs w:val="26"/>
          <w:lang w:eastAsia="en-AU"/>
          <w14:ligatures w14:val="standardContextual"/>
        </w:rPr>
        <w:t>100—Reduced registration fees—prescribed amounts</w:t>
      </w:r>
      <w:bookmarkEnd w:id="295"/>
      <w:bookmarkEnd w:id="296"/>
    </w:p>
    <w:p w14:paraId="6FAC790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sections 34(1) and 37(2) of the Act, the prescribed amount is—</w:t>
      </w:r>
    </w:p>
    <w:p w14:paraId="46AC4987" w14:textId="5422423C"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the case of a heavy vehicle (other than a special purpose vehicle, truck (type 1) or truck (type 2))—40% of the prescribed registration fee;</w:t>
      </w:r>
    </w:p>
    <w:p w14:paraId="4153CA71"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A8D923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in the case of a motor vehicle that is not a heavy vehicle—50% of the prescribed registration fee.</w:t>
      </w:r>
    </w:p>
    <w:p w14:paraId="043011F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For the purposes of section 38(1) of the Act, the prescribed amount is 66.667% of the prescribed registration fee.</w:t>
      </w:r>
    </w:p>
    <w:p w14:paraId="432E087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For the purposes of sections 38A(1), 38AB(1) and 38B(1) of the Act, the prescribed amount is 50% of the prescribed registration fee.</w:t>
      </w:r>
    </w:p>
    <w:p w14:paraId="5807D855"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In this regulation—</w:t>
      </w:r>
    </w:p>
    <w:p w14:paraId="40030E92"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truck (type 1)</w:t>
      </w:r>
      <w:r w:rsidRPr="002A3021">
        <w:rPr>
          <w:rFonts w:eastAsia="Times New Roman"/>
          <w:color w:val="000000"/>
          <w:sz w:val="23"/>
          <w:szCs w:val="23"/>
          <w:lang w:eastAsia="en-AU"/>
          <w14:ligatures w14:val="standardContextual"/>
        </w:rPr>
        <w:t xml:space="preserve"> and </w:t>
      </w:r>
      <w:r w:rsidRPr="002A3021">
        <w:rPr>
          <w:rFonts w:eastAsia="Times New Roman"/>
          <w:b/>
          <w:bCs/>
          <w:i/>
          <w:iCs/>
          <w:color w:val="000000"/>
          <w:sz w:val="23"/>
          <w:szCs w:val="23"/>
          <w:lang w:eastAsia="en-AU"/>
          <w14:ligatures w14:val="standardContextual"/>
        </w:rPr>
        <w:t>truck (type 2)</w:t>
      </w:r>
      <w:r w:rsidRPr="002A3021">
        <w:rPr>
          <w:rFonts w:eastAsia="Times New Roman"/>
          <w:color w:val="000000"/>
          <w:sz w:val="23"/>
          <w:szCs w:val="23"/>
          <w:lang w:eastAsia="en-AU"/>
          <w14:ligatures w14:val="standardContextual"/>
        </w:rPr>
        <w:t xml:space="preserve"> have the same respective meanings as in the </w:t>
      </w:r>
      <w:hyperlink r:id="rId49" w:history="1">
        <w:r w:rsidRPr="002A3021">
          <w:rPr>
            <w:rFonts w:eastAsia="Times New Roman"/>
            <w:i/>
            <w:iCs/>
            <w:color w:val="000000"/>
            <w:sz w:val="23"/>
            <w:szCs w:val="23"/>
            <w:lang w:eastAsia="en-AU"/>
            <w14:ligatures w14:val="standardContextual"/>
          </w:rPr>
          <w:t>Motor Vehicles (National Heavy Vehicles Registration Fees) Regulations 2008</w:t>
        </w:r>
      </w:hyperlink>
      <w:r w:rsidRPr="002A3021">
        <w:rPr>
          <w:rFonts w:eastAsia="Times New Roman"/>
          <w:color w:val="000000"/>
          <w:sz w:val="23"/>
          <w:szCs w:val="23"/>
          <w:lang w:eastAsia="en-AU"/>
          <w14:ligatures w14:val="standardContextual"/>
        </w:rPr>
        <w:t>.</w:t>
      </w:r>
    </w:p>
    <w:p w14:paraId="5052BAC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7" w:name="Elkera_Print_TOC139"/>
      <w:bookmarkStart w:id="298" w:name="Elkera_Print_BK139"/>
      <w:r w:rsidRPr="002A3021">
        <w:rPr>
          <w:rFonts w:eastAsia="Times New Roman"/>
          <w:b/>
          <w:bCs/>
          <w:color w:val="000000"/>
          <w:sz w:val="26"/>
          <w:szCs w:val="26"/>
          <w:lang w:eastAsia="en-AU"/>
          <w14:ligatures w14:val="standardContextual"/>
        </w:rPr>
        <w:t>101—Exemption from section 41(2) of Act</w:t>
      </w:r>
      <w:bookmarkEnd w:id="297"/>
      <w:bookmarkEnd w:id="298"/>
    </w:p>
    <w:p w14:paraId="10D41F9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person who uses a motor vehicle of restricted registration contrary to the terms of an undertaking in relation to the vehicle under section 34(1)(b) of the Act is exempt from the operation of section 41(2) of the Act if—</w:t>
      </w:r>
    </w:p>
    <w:p w14:paraId="34CBA4C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purpose for which the vehicle is used is solely the carrying of primary produce to assist a charitable organisation or a sporting organisation in fundraising activities; and</w:t>
      </w:r>
    </w:p>
    <w:p w14:paraId="037DAC2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neither the owner of the vehicle nor a person using the vehicle (if not the owner) receives a monetary or other material benefit (including out of pocket expenses relating to the use of the vehicle) in relation to that use of the vehicle; and</w:t>
      </w:r>
    </w:p>
    <w:p w14:paraId="07432F8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use of the vehicle is within an area having a radius of 75 kilometres from the garage address of the vehicle.</w:t>
      </w:r>
    </w:p>
    <w:p w14:paraId="378377E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In this regulation—</w:t>
      </w:r>
    </w:p>
    <w:p w14:paraId="499BD0A7"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charitable organisation</w:t>
      </w:r>
      <w:r w:rsidRPr="002A3021">
        <w:rPr>
          <w:rFonts w:eastAsia="Times New Roman"/>
          <w:color w:val="000000"/>
          <w:sz w:val="23"/>
          <w:szCs w:val="23"/>
          <w:lang w:eastAsia="en-AU"/>
          <w14:ligatures w14:val="standardContextual"/>
        </w:rPr>
        <w:t xml:space="preserve"> means a body (whether corporate or unincorporate) established on a non</w:t>
      </w:r>
      <w:r w:rsidRPr="002A3021">
        <w:rPr>
          <w:rFonts w:eastAsia="Times New Roman"/>
          <w:color w:val="000000"/>
          <w:sz w:val="23"/>
          <w:szCs w:val="23"/>
          <w:lang w:eastAsia="en-AU"/>
          <w14:ligatures w14:val="standardContextual"/>
        </w:rPr>
        <w:noBreakHyphen/>
        <w:t>profit basis for charitable, religious, educational or benevolent purposes and includes a trustee who holds property on behalf of such a body;</w:t>
      </w:r>
    </w:p>
    <w:p w14:paraId="79A07A8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sporting organisation</w:t>
      </w:r>
      <w:r w:rsidRPr="002A3021">
        <w:rPr>
          <w:rFonts w:eastAsia="Times New Roman"/>
          <w:color w:val="000000"/>
          <w:sz w:val="23"/>
          <w:szCs w:val="23"/>
          <w:lang w:eastAsia="en-AU"/>
          <w14:ligatures w14:val="standardContextual"/>
        </w:rPr>
        <w:t xml:space="preserve"> means a body (whether corporate or unincorporate) established on a non</w:t>
      </w:r>
      <w:r w:rsidRPr="002A3021">
        <w:rPr>
          <w:rFonts w:eastAsia="Times New Roman"/>
          <w:color w:val="000000"/>
          <w:sz w:val="23"/>
          <w:szCs w:val="23"/>
          <w:lang w:eastAsia="en-AU"/>
          <w14:ligatures w14:val="standardContextual"/>
        </w:rPr>
        <w:noBreakHyphen/>
        <w:t>profit basis principally for the purpose of facilitating and coordinating the sporting activities of its members.</w:t>
      </w:r>
    </w:p>
    <w:p w14:paraId="1C8A2B92"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9" w:name="Elkera_Print_TOC140"/>
      <w:bookmarkStart w:id="300" w:name="Elkera_Print_BK140"/>
      <w:r w:rsidRPr="002A3021">
        <w:rPr>
          <w:rFonts w:eastAsia="Times New Roman"/>
          <w:b/>
          <w:bCs/>
          <w:color w:val="000000"/>
          <w:sz w:val="26"/>
          <w:szCs w:val="26"/>
          <w:lang w:eastAsia="en-AU"/>
          <w14:ligatures w14:val="standardContextual"/>
        </w:rPr>
        <w:t>102—Reduction of fee—temporary configuration certificate</w:t>
      </w:r>
      <w:bookmarkEnd w:id="299"/>
      <w:bookmarkEnd w:id="300"/>
    </w:p>
    <w:p w14:paraId="7BB64A4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This regulation applies to an application under section 43A(4) of the Act for a temporary configuration certificate in respect of a registered heavy vehicle—</w:t>
      </w:r>
    </w:p>
    <w:p w14:paraId="1B4CF95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that is a convertible B</w:t>
      </w:r>
      <w:r w:rsidRPr="002A3021">
        <w:rPr>
          <w:rFonts w:eastAsia="Times New Roman"/>
          <w:color w:val="000000"/>
          <w:sz w:val="23"/>
          <w:szCs w:val="23"/>
          <w:lang w:eastAsia="en-AU"/>
          <w14:ligatures w14:val="standardContextual"/>
        </w:rPr>
        <w:noBreakHyphen/>
        <w:t>double lead trailer; and</w:t>
      </w:r>
    </w:p>
    <w:p w14:paraId="7305326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that is to be used pursuant to the certificate as a B</w:t>
      </w:r>
      <w:r w:rsidRPr="002A3021">
        <w:rPr>
          <w:rFonts w:eastAsia="Times New Roman"/>
          <w:color w:val="000000"/>
          <w:sz w:val="23"/>
          <w:szCs w:val="23"/>
          <w:lang w:eastAsia="en-AU"/>
          <w14:ligatures w14:val="standardContextual"/>
        </w:rPr>
        <w:noBreakHyphen/>
        <w:t>double lead trailer.</w:t>
      </w:r>
    </w:p>
    <w:p w14:paraId="296C5A9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Pursuant to section 145(1)(g) of the Act, the fee payable under section 43A(4)(b) of the Act in relation to an application to which this regulation applies is reduced to—</w:t>
      </w:r>
    </w:p>
    <w:p w14:paraId="3CDB0D9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fee equal to the product obtained by multiplying the number of days in the period for which the certificate is to be in force or 28 days (whichever is the greater) by one</w:t>
      </w:r>
      <w:r w:rsidRPr="002A3021">
        <w:rPr>
          <w:rFonts w:eastAsia="Times New Roman"/>
          <w:color w:val="000000"/>
          <w:sz w:val="23"/>
          <w:szCs w:val="23"/>
          <w:lang w:eastAsia="en-AU"/>
          <w14:ligatures w14:val="standardContextual"/>
        </w:rPr>
        <w:noBreakHyphen/>
        <w:t>three hundred and sixty fifth of the difference between—</w:t>
      </w:r>
    </w:p>
    <w:p w14:paraId="3AA469EA" w14:textId="3F173DF2"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prescribed registration fee that would be payable for registration of the vehicle for 12 months if the configuration being applied for were nominated in an application for such registration; and</w:t>
      </w:r>
    </w:p>
    <w:p w14:paraId="79B03045"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080019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(ii)</w:t>
      </w:r>
      <w:r w:rsidRPr="002A3021">
        <w:rPr>
          <w:rFonts w:eastAsia="Times New Roman"/>
          <w:color w:val="000000"/>
          <w:sz w:val="23"/>
          <w:szCs w:val="23"/>
          <w:lang w:eastAsia="en-AU"/>
          <w14:ligatures w14:val="standardContextual"/>
        </w:rPr>
        <w:tab/>
        <w:t>the prescribed registration fee that would be payable for registration of the vehicle for 12 months if its registered configuration were nominated in an application for such registration,</w:t>
      </w:r>
    </w:p>
    <w:p w14:paraId="59CAA213"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fraction of 1 dollar being counted as 1 dollar); and</w:t>
      </w:r>
    </w:p>
    <w:p w14:paraId="4DB89C0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prescribed administration fee (being the fee prescribed for the purposes of section 43A(4)(b)(ii) of the Act).</w:t>
      </w:r>
    </w:p>
    <w:p w14:paraId="3E468C5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In this regulation—</w:t>
      </w:r>
    </w:p>
    <w:p w14:paraId="3381B5C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w:t>
      </w:r>
      <w:r w:rsidRPr="002A3021">
        <w:rPr>
          <w:rFonts w:eastAsia="Times New Roman"/>
          <w:b/>
          <w:bCs/>
          <w:i/>
          <w:iCs/>
          <w:color w:val="000000"/>
          <w:sz w:val="23"/>
          <w:szCs w:val="23"/>
          <w:lang w:eastAsia="en-AU"/>
          <w14:ligatures w14:val="standardContextual"/>
        </w:rPr>
        <w:noBreakHyphen/>
        <w:t>double combination</w:t>
      </w:r>
      <w:r w:rsidRPr="002A3021">
        <w:rPr>
          <w:rFonts w:eastAsia="Times New Roman"/>
          <w:color w:val="000000"/>
          <w:sz w:val="23"/>
          <w:szCs w:val="23"/>
          <w:lang w:eastAsia="en-AU"/>
          <w14:ligatures w14:val="standardContextual"/>
        </w:rPr>
        <w:t xml:space="preserve"> has the same meaning as in the </w:t>
      </w:r>
      <w:hyperlink r:id="rId50" w:history="1">
        <w:r w:rsidRPr="002A3021">
          <w:rPr>
            <w:rFonts w:eastAsia="Times New Roman"/>
            <w:i/>
            <w:iCs/>
            <w:color w:val="000000"/>
            <w:sz w:val="23"/>
            <w:szCs w:val="23"/>
            <w:lang w:eastAsia="en-AU"/>
            <w14:ligatures w14:val="standardContextual"/>
          </w:rPr>
          <w:t>Motor Vehicles (National Heavy Vehicles Registration Fees) Regulations 2008</w:t>
        </w:r>
      </w:hyperlink>
      <w:r w:rsidRPr="002A3021">
        <w:rPr>
          <w:rFonts w:eastAsia="Times New Roman"/>
          <w:color w:val="000000"/>
          <w:sz w:val="23"/>
          <w:szCs w:val="23"/>
          <w:lang w:eastAsia="en-AU"/>
          <w14:ligatures w14:val="standardContextual"/>
        </w:rPr>
        <w:t>;</w:t>
      </w:r>
    </w:p>
    <w:p w14:paraId="122654A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w:t>
      </w:r>
      <w:r w:rsidRPr="002A3021">
        <w:rPr>
          <w:rFonts w:eastAsia="Times New Roman"/>
          <w:b/>
          <w:bCs/>
          <w:i/>
          <w:iCs/>
          <w:color w:val="000000"/>
          <w:sz w:val="23"/>
          <w:szCs w:val="23"/>
          <w:lang w:eastAsia="en-AU"/>
          <w14:ligatures w14:val="standardContextual"/>
        </w:rPr>
        <w:noBreakHyphen/>
        <w:t>double lead trailer</w:t>
      </w:r>
      <w:r w:rsidRPr="002A3021">
        <w:rPr>
          <w:rFonts w:eastAsia="Times New Roman"/>
          <w:color w:val="000000"/>
          <w:sz w:val="23"/>
          <w:szCs w:val="23"/>
          <w:lang w:eastAsia="en-AU"/>
          <w14:ligatures w14:val="standardContextual"/>
        </w:rPr>
        <w:t xml:space="preserve"> means a semi</w:t>
      </w:r>
      <w:r w:rsidRPr="002A3021">
        <w:rPr>
          <w:rFonts w:eastAsia="Times New Roman"/>
          <w:color w:val="000000"/>
          <w:sz w:val="23"/>
          <w:szCs w:val="23"/>
          <w:lang w:eastAsia="en-AU"/>
          <w14:ligatures w14:val="standardContextual"/>
        </w:rPr>
        <w:noBreakHyphen/>
        <w:t>trailer used as the lead trailer in a B</w:t>
      </w:r>
      <w:r w:rsidRPr="002A3021">
        <w:rPr>
          <w:rFonts w:eastAsia="Times New Roman"/>
          <w:color w:val="000000"/>
          <w:sz w:val="23"/>
          <w:szCs w:val="23"/>
          <w:lang w:eastAsia="en-AU"/>
          <w14:ligatures w14:val="standardContextual"/>
        </w:rPr>
        <w:noBreakHyphen/>
        <w:t>double combination;</w:t>
      </w:r>
    </w:p>
    <w:p w14:paraId="638B4717"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convertible B</w:t>
      </w:r>
      <w:r w:rsidRPr="002A3021">
        <w:rPr>
          <w:rFonts w:eastAsia="Times New Roman"/>
          <w:b/>
          <w:bCs/>
          <w:i/>
          <w:iCs/>
          <w:color w:val="000000"/>
          <w:sz w:val="23"/>
          <w:szCs w:val="23"/>
          <w:lang w:eastAsia="en-AU"/>
          <w14:ligatures w14:val="standardContextual"/>
        </w:rPr>
        <w:noBreakHyphen/>
        <w:t>double lead trailer</w:t>
      </w:r>
      <w:r w:rsidRPr="002A3021">
        <w:rPr>
          <w:rFonts w:eastAsia="Times New Roman"/>
          <w:color w:val="000000"/>
          <w:sz w:val="23"/>
          <w:szCs w:val="23"/>
          <w:lang w:eastAsia="en-AU"/>
          <w14:ligatures w14:val="standardContextual"/>
        </w:rPr>
        <w:t xml:space="preserve"> means a trailer, the registered configuration of which is as a semi</w:t>
      </w:r>
      <w:r w:rsidRPr="002A3021">
        <w:rPr>
          <w:rFonts w:eastAsia="Times New Roman"/>
          <w:color w:val="000000"/>
          <w:sz w:val="23"/>
          <w:szCs w:val="23"/>
          <w:lang w:eastAsia="en-AU"/>
          <w14:ligatures w14:val="standardContextual"/>
        </w:rPr>
        <w:noBreakHyphen/>
        <w:t>trailer, that is capable of being used as a B</w:t>
      </w:r>
      <w:r w:rsidRPr="002A3021">
        <w:rPr>
          <w:rFonts w:eastAsia="Times New Roman"/>
          <w:color w:val="000000"/>
          <w:sz w:val="23"/>
          <w:szCs w:val="23"/>
          <w:lang w:eastAsia="en-AU"/>
          <w14:ligatures w14:val="standardContextual"/>
        </w:rPr>
        <w:noBreakHyphen/>
        <w:t>double lead trailer.</w:t>
      </w:r>
    </w:p>
    <w:p w14:paraId="713319D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1" w:name="Elkera_Print_TOC141"/>
      <w:bookmarkStart w:id="302" w:name="Elkera_Print_BK141"/>
      <w:r w:rsidRPr="002A3021">
        <w:rPr>
          <w:rFonts w:eastAsia="Times New Roman"/>
          <w:b/>
          <w:bCs/>
          <w:color w:val="000000"/>
          <w:sz w:val="26"/>
          <w:szCs w:val="26"/>
          <w:lang w:eastAsia="en-AU"/>
          <w14:ligatures w14:val="standardContextual"/>
        </w:rPr>
        <w:t>103—Additional amount payable where certain vehicles are altered or added to</w:t>
      </w:r>
      <w:bookmarkEnd w:id="301"/>
      <w:bookmarkEnd w:id="302"/>
    </w:p>
    <w:p w14:paraId="5072464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3" w:name="id062f679a_1839_49cb_816f_dfacf1c735bb_0"/>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If a motor vehicle is altered or added to during the period for which it is registered and the alteration or addition is such that, if it had been made before the registration, the registration fee would have been more than the amount paid, the additional amount payable under section 44(3) of the Act is an amount that bears to the difference the same proportion as the number of days in the unexpired period of registration bears to the number of days in the period of registration.</w:t>
      </w:r>
      <w:bookmarkEnd w:id="303"/>
    </w:p>
    <w:p w14:paraId="4B00276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r>
      <w:hyperlink w:anchor="id062f679a_1839_49cb_816f_dfacf1c735bb_0"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xml:space="preserve"> does not apply in relation to a heavy vehicle, motor bike, trailer or motor vehicle that is not propelled by an internal combustion engine.</w:t>
      </w:r>
    </w:p>
    <w:p w14:paraId="5FF3968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4" w:name="Elkera_Print_TOC142"/>
      <w:bookmarkStart w:id="305" w:name="Elkera_Print_BK142"/>
      <w:r w:rsidRPr="002A3021">
        <w:rPr>
          <w:rFonts w:eastAsia="Times New Roman"/>
          <w:b/>
          <w:bCs/>
          <w:color w:val="000000"/>
          <w:sz w:val="26"/>
          <w:szCs w:val="26"/>
          <w:lang w:eastAsia="en-AU"/>
          <w14:ligatures w14:val="standardContextual"/>
        </w:rPr>
        <w:t>104—Refund on cancellation of registration</w:t>
      </w:r>
      <w:bookmarkEnd w:id="304"/>
      <w:bookmarkEnd w:id="305"/>
    </w:p>
    <w:p w14:paraId="1EE3385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sections 54 and 60 of the Act, the amount to be refunded on cancellation of the registration of a motor vehicle under those sections is an amount equal to the product obtained by multiplying one three hundred and sixty</w:t>
      </w:r>
      <w:r w:rsidRPr="002A3021">
        <w:rPr>
          <w:rFonts w:eastAsia="Times New Roman"/>
          <w:color w:val="000000"/>
          <w:sz w:val="23"/>
          <w:szCs w:val="23"/>
          <w:lang w:eastAsia="en-AU"/>
          <w14:ligatures w14:val="standardContextual"/>
        </w:rPr>
        <w:noBreakHyphen/>
        <w:t>fifth of the prescribed annual registration fee by the number of days in the unexpired period of registration.</w:t>
      </w:r>
    </w:p>
    <w:p w14:paraId="0DF49C3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If—</w:t>
      </w:r>
    </w:p>
    <w:p w14:paraId="7C1A08E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registration of a motor vehicle is renewed before the expiry of the previous registration; and</w:t>
      </w:r>
    </w:p>
    <w:p w14:paraId="0DD469B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before that expiry the registered owner or the registered operator of the vehicle applies for cancellation of the renewal of registration,</w:t>
      </w:r>
    </w:p>
    <w:p w14:paraId="28E8B5F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must also refund any surcharge paid in respect of the renewal of registration.</w:t>
      </w:r>
    </w:p>
    <w:p w14:paraId="0298F9A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6" w:name="Elkera_Print_TOC143"/>
      <w:bookmarkStart w:id="307" w:name="Elkera_Print_BK143"/>
      <w:r w:rsidRPr="002A3021">
        <w:rPr>
          <w:rFonts w:eastAsia="Times New Roman"/>
          <w:b/>
          <w:bCs/>
          <w:color w:val="000000"/>
          <w:sz w:val="26"/>
          <w:szCs w:val="26"/>
          <w:lang w:eastAsia="en-AU"/>
          <w14:ligatures w14:val="standardContextual"/>
        </w:rPr>
        <w:t>105—Refund on surrender of trade plate</w:t>
      </w:r>
      <w:bookmarkEnd w:id="306"/>
      <w:bookmarkEnd w:id="307"/>
    </w:p>
    <w:p w14:paraId="41AE555B" w14:textId="2EB9D432" w:rsidR="00B23EB4"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70(5) of the Act, the amount to be refunded on the surrender of a trade plate is an amount equal to the product obtained by multiplying one three hundred and sixty</w:t>
      </w:r>
      <w:r w:rsidRPr="002A3021">
        <w:rPr>
          <w:rFonts w:eastAsia="Times New Roman"/>
          <w:color w:val="000000"/>
          <w:sz w:val="23"/>
          <w:szCs w:val="23"/>
          <w:lang w:eastAsia="en-AU"/>
          <w14:ligatures w14:val="standardContextual"/>
        </w:rPr>
        <w:noBreakHyphen/>
        <w:t>fifth of the annual fee paid for the issue of the plate by the number of days in the unexpired portion of the period for which the plate was issued.</w:t>
      </w:r>
    </w:p>
    <w:p w14:paraId="2A0E5171"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80D6E2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8" w:name="Elkera_Print_TOC144"/>
      <w:bookmarkStart w:id="309" w:name="Elkera_Print_BK144"/>
      <w:r w:rsidRPr="002A3021">
        <w:rPr>
          <w:rFonts w:eastAsia="Times New Roman"/>
          <w:b/>
          <w:bCs/>
          <w:color w:val="000000"/>
          <w:sz w:val="26"/>
          <w:szCs w:val="26"/>
          <w:lang w:eastAsia="en-AU"/>
          <w14:ligatures w14:val="standardContextual"/>
        </w:rPr>
        <w:lastRenderedPageBreak/>
        <w:t>106—Refund on surrender of licence</w:t>
      </w:r>
      <w:bookmarkEnd w:id="308"/>
      <w:bookmarkEnd w:id="309"/>
    </w:p>
    <w:p w14:paraId="1647ED2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sections 75AAA(11)(b) and 98A(4) of the Act, the amount to be refunded on the surrender of a driver's licence or motor driving instructor's licence is an amount equal to the product obtained by multiplying one quarter of the annual licence fee paid for the issue of the licence by the number of complete 3 month periods in the unexpired portion of the period for which the licence was issued.</w:t>
      </w:r>
    </w:p>
    <w:p w14:paraId="60624F0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0" w:name="Elkera_Print_TOC145"/>
      <w:bookmarkStart w:id="311" w:name="Elkera_Print_BK145"/>
      <w:r w:rsidRPr="002A3021">
        <w:rPr>
          <w:rFonts w:eastAsia="Times New Roman"/>
          <w:b/>
          <w:bCs/>
          <w:color w:val="000000"/>
          <w:sz w:val="26"/>
          <w:szCs w:val="26"/>
          <w:lang w:eastAsia="en-AU"/>
          <w14:ligatures w14:val="standardContextual"/>
        </w:rPr>
        <w:t>107—Refund of part of licence fee on eligibility for reduced fee</w:t>
      </w:r>
      <w:bookmarkEnd w:id="310"/>
      <w:bookmarkEnd w:id="311"/>
    </w:p>
    <w:p w14:paraId="367EB987"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w:t>
      </w:r>
    </w:p>
    <w:p w14:paraId="36A03EC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 driver's licence has been issued or renewed on payment of the licence fee prescribed in clause 22(1)(c) of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and</w:t>
      </w:r>
    </w:p>
    <w:p w14:paraId="3C95C7E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holder of the licence becomes, at any time during the currency of the licence, entitled to a reduction of the licence fee,</w:t>
      </w:r>
    </w:p>
    <w:p w14:paraId="5923318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may refund to the holder of the licence such part of the licence fee as the Registrar thinks just in the circumstances.</w:t>
      </w:r>
    </w:p>
    <w:p w14:paraId="362EDF0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2" w:name="Elkera_Print_TOC146"/>
      <w:bookmarkStart w:id="313" w:name="Elkera_Print_BK146"/>
      <w:r w:rsidRPr="002A3021">
        <w:rPr>
          <w:rFonts w:eastAsia="Times New Roman"/>
          <w:b/>
          <w:bCs/>
          <w:color w:val="000000"/>
          <w:sz w:val="26"/>
          <w:szCs w:val="26"/>
          <w:lang w:eastAsia="en-AU"/>
          <w14:ligatures w14:val="standardContextual"/>
        </w:rPr>
        <w:t>108—No refund of administration fees</w:t>
      </w:r>
      <w:bookmarkEnd w:id="312"/>
      <w:bookmarkEnd w:id="313"/>
    </w:p>
    <w:p w14:paraId="3F2E0B9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Administration fees are not refundable.</w:t>
      </w:r>
    </w:p>
    <w:p w14:paraId="647FA51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4" w:name="Elkera_Print_TOC147"/>
      <w:bookmarkStart w:id="315" w:name="Elkera_Print_BK147"/>
      <w:r w:rsidRPr="002A3021">
        <w:rPr>
          <w:rFonts w:eastAsia="Times New Roman"/>
          <w:b/>
          <w:bCs/>
          <w:color w:val="000000"/>
          <w:sz w:val="26"/>
          <w:szCs w:val="26"/>
          <w:lang w:eastAsia="en-AU"/>
          <w14:ligatures w14:val="standardContextual"/>
        </w:rPr>
        <w:t>109—Rounding of fees and refunds</w:t>
      </w:r>
      <w:bookmarkEnd w:id="314"/>
      <w:bookmarkEnd w:id="315"/>
    </w:p>
    <w:p w14:paraId="0FECC87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In calculating a fee or refund payable under the Act (other than a fee referred to in </w:t>
      </w:r>
      <w:hyperlink w:anchor="ided7471d2_dd41_4dc5_8df1_59781092e36f_5"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xml:space="preserve">, </w:t>
      </w:r>
      <w:hyperlink w:anchor="id58aa0dad_36ef_4e17_952d_295aa6115b32_0" w:history="1">
        <w:r w:rsidRPr="002A3021">
          <w:rPr>
            <w:rFonts w:eastAsia="Times New Roman"/>
            <w:color w:val="000000"/>
            <w:sz w:val="23"/>
            <w:szCs w:val="23"/>
            <w:lang w:eastAsia="en-AU"/>
            <w14:ligatures w14:val="standardContextual"/>
          </w:rPr>
          <w:t>(3)</w:t>
        </w:r>
      </w:hyperlink>
      <w:r w:rsidRPr="002A3021">
        <w:rPr>
          <w:rFonts w:eastAsia="Times New Roman"/>
          <w:color w:val="000000"/>
          <w:sz w:val="23"/>
          <w:szCs w:val="23"/>
          <w:lang w:eastAsia="en-AU"/>
          <w14:ligatures w14:val="standardContextual"/>
        </w:rPr>
        <w:t xml:space="preserve"> or </w:t>
      </w:r>
      <w:hyperlink w:anchor="id444e90ee_d301_4c65_8d45_27406c5d131f_0" w:history="1">
        <w:r w:rsidRPr="002A3021">
          <w:rPr>
            <w:rFonts w:eastAsia="Times New Roman"/>
            <w:color w:val="000000"/>
            <w:sz w:val="23"/>
            <w:szCs w:val="23"/>
            <w:lang w:eastAsia="en-AU"/>
            <w14:ligatures w14:val="standardContextual"/>
          </w:rPr>
          <w:t>(4)</w:t>
        </w:r>
      </w:hyperlink>
      <w:r w:rsidRPr="002A3021">
        <w:rPr>
          <w:rFonts w:eastAsia="Times New Roman"/>
          <w:color w:val="000000"/>
          <w:sz w:val="23"/>
          <w:szCs w:val="23"/>
          <w:lang w:eastAsia="en-AU"/>
          <w14:ligatures w14:val="standardContextual"/>
        </w:rPr>
        <w:t>) a fraction of 10 cents not exceeding 5 cents must be excluded and a fraction of 10 cents exceeding 5 cents is to count as 10 cents.</w:t>
      </w:r>
    </w:p>
    <w:p w14:paraId="09D3025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6" w:name="ided7471d2_dd41_4dc5_8df1_59781092e36f_5"/>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In calculating the fees payable for—</w:t>
      </w:r>
      <w:bookmarkEnd w:id="316"/>
    </w:p>
    <w:p w14:paraId="7F0D117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registration of a motor vehicle; or</w:t>
      </w:r>
    </w:p>
    <w:p w14:paraId="336461A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issue of a trade plate; or</w:t>
      </w:r>
    </w:p>
    <w:p w14:paraId="2D03A9C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issue of a replacement trade plate; or</w:t>
      </w:r>
    </w:p>
    <w:p w14:paraId="0094E3C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issue of a probationary licence or provisional licence,</w:t>
      </w:r>
    </w:p>
    <w:p w14:paraId="6AF4054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fraction of 1 dollar is to count as 1 dollar.</w:t>
      </w:r>
    </w:p>
    <w:p w14:paraId="2E7ADAB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7" w:name="id58aa0dad_36ef_4e17_952d_295aa6115b32_0"/>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The following provisions apply in relation to calculating the monthly payment to be debited to an account for the purposes of the periodic payment scheme under section 24A of the Act:</w:t>
      </w:r>
      <w:bookmarkEnd w:id="317"/>
    </w:p>
    <w:p w14:paraId="3A25A22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calculating the quarterly registration fee that is to be divided by 3, a fraction of 1 dollar is to count as 1 dollar;</w:t>
      </w:r>
    </w:p>
    <w:p w14:paraId="50C9AB4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calculating the monthly amount to be so debited, a fraction of 1 cent is to be excluded.</w:t>
      </w:r>
    </w:p>
    <w:p w14:paraId="63BD5E3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8" w:name="id444e90ee_d301_4c65_8d45_27406c5d131f_0"/>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In calculating the periodic payment (other than monthly payment) to be debited to an account for the purposes of the periodic payment scheme under section 24A of the Act, a fraction of 1 dollar is to count as 1 dollar.</w:t>
      </w:r>
      <w:bookmarkEnd w:id="318"/>
    </w:p>
    <w:p w14:paraId="72D57658" w14:textId="45057C7F"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In applying this regulation, the calculation to the nearest 10 cents or to the whole next dollar is to be applied only to the final amount payable.</w:t>
      </w:r>
    </w:p>
    <w:p w14:paraId="7E85DADE"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229F78C"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9" w:name="Elkera_Print_TOC148"/>
      <w:bookmarkStart w:id="320" w:name="Elkera_Print_BK148"/>
      <w:r w:rsidRPr="002A3021">
        <w:rPr>
          <w:rFonts w:eastAsia="Times New Roman"/>
          <w:b/>
          <w:bCs/>
          <w:color w:val="000000"/>
          <w:sz w:val="26"/>
          <w:szCs w:val="26"/>
          <w:lang w:eastAsia="en-AU"/>
          <w14:ligatures w14:val="standardContextual"/>
        </w:rPr>
        <w:lastRenderedPageBreak/>
        <w:t>110—Exemption from practical driving test fees</w:t>
      </w:r>
      <w:bookmarkEnd w:id="319"/>
      <w:bookmarkEnd w:id="320"/>
    </w:p>
    <w:p w14:paraId="1F0A66CA"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An applicant for the issue or renewal of a learner's permit or driver's licence, or the holder of a learner's permit or driver's licence, who is required to be tested otherwise than pursuant to section 72(4) or 79A of the Act, is exempt from the requirement that they pay the prescribed practical driving test fee.</w:t>
      </w:r>
    </w:p>
    <w:p w14:paraId="6D161E5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1" w:name="Elkera_Print_TOC149"/>
      <w:bookmarkStart w:id="322" w:name="Elkera_Print_BK149"/>
      <w:r w:rsidRPr="002A3021">
        <w:rPr>
          <w:rFonts w:eastAsia="Times New Roman"/>
          <w:b/>
          <w:bCs/>
          <w:color w:val="000000"/>
          <w:sz w:val="26"/>
          <w:szCs w:val="26"/>
          <w:lang w:eastAsia="en-AU"/>
          <w14:ligatures w14:val="standardContextual"/>
        </w:rPr>
        <w:t>111—Administration fee for licence subject to alcohol interlock scheme conditions</w:t>
      </w:r>
      <w:bookmarkEnd w:id="321"/>
      <w:bookmarkEnd w:id="322"/>
    </w:p>
    <w:p w14:paraId="0495C61F"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The administration fee prescribed by clause 40 of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xml:space="preserve"> for the issue of a licence subject to alcohol interlock scheme conditions—</w:t>
      </w:r>
    </w:p>
    <w:p w14:paraId="00DE4BD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is payable in addition to any other fee prescribed by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xml:space="preserve"> for the issue of a licence; and</w:t>
      </w:r>
    </w:p>
    <w:p w14:paraId="6B10098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must be paid—</w:t>
      </w:r>
    </w:p>
    <w:p w14:paraId="614AC0D5"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in the case of a licence that is to be subject to alcohol interlock scheme conditions for a period of 12 months or less—before the issue of the licence; or</w:t>
      </w:r>
    </w:p>
    <w:p w14:paraId="0BD49EB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any other case—on or before 1 or more dates determined by the Registrar.</w:t>
      </w:r>
    </w:p>
    <w:p w14:paraId="76D8DB0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3" w:name="Elkera_Print_TOC151"/>
      <w:bookmarkStart w:id="324" w:name="idbbc836cf_a626_490f_917f_195fbbf50a6f_e"/>
      <w:r w:rsidRPr="002A3021">
        <w:rPr>
          <w:rFonts w:eastAsia="Times New Roman"/>
          <w:b/>
          <w:bCs/>
          <w:color w:val="000000"/>
          <w:sz w:val="26"/>
          <w:szCs w:val="26"/>
          <w:lang w:eastAsia="en-AU"/>
          <w14:ligatures w14:val="standardContextual"/>
        </w:rPr>
        <w:t>112—Remission and reduction of fees</w:t>
      </w:r>
      <w:bookmarkEnd w:id="323"/>
      <w:bookmarkEnd w:id="324"/>
    </w:p>
    <w:p w14:paraId="785820A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The Registrar may, for reasonable cause, remit or reduce any of the following fees:</w:t>
      </w:r>
    </w:p>
    <w:p w14:paraId="67EA1AB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administration fee payable under the Act or these regulations;</w:t>
      </w:r>
    </w:p>
    <w:p w14:paraId="1B0F82D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fee payable for registration of a motor vehicle following cancellation of a current authority issued under the law of another State or a Territory by virtue of which the vehicle may be driven on roads within that State or Territory;</w:t>
      </w:r>
    </w:p>
    <w:p w14:paraId="3D1A8FC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fee payable for the issue of a driver's licence following the surrender of a current interstate licence;</w:t>
      </w:r>
    </w:p>
    <w:p w14:paraId="3F0B795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fee payable for the issue or renewal of a learner's permit;</w:t>
      </w:r>
    </w:p>
    <w:p w14:paraId="363A346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a fee payable for an examination of a motor vehicle for the purposes of section 139(1)(d) of the Act or </w:t>
      </w:r>
      <w:hyperlink w:anchor="id49e47efb_ee08_4a07_b7e3_9b264f38bf40_8" w:history="1">
        <w:r w:rsidRPr="002A3021">
          <w:rPr>
            <w:rFonts w:eastAsia="Times New Roman"/>
            <w:color w:val="000000"/>
            <w:sz w:val="23"/>
            <w:szCs w:val="23"/>
            <w:lang w:eastAsia="en-AU"/>
            <w14:ligatures w14:val="standardContextual"/>
          </w:rPr>
          <w:t>regulation 20</w:t>
        </w:r>
      </w:hyperlink>
      <w:r w:rsidRPr="002A3021">
        <w:rPr>
          <w:rFonts w:eastAsia="Times New Roman"/>
          <w:color w:val="000000"/>
          <w:sz w:val="23"/>
          <w:szCs w:val="23"/>
          <w:lang w:eastAsia="en-AU"/>
          <w14:ligatures w14:val="standardContextual"/>
        </w:rPr>
        <w:t>;</w:t>
      </w:r>
    </w:p>
    <w:p w14:paraId="71FA1A2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a fee payable for motor bike driver training conducted by the Transport Department for the purposes of section 75A(2)(a)(v)(A) or 79A(3)(c) of the Act.</w:t>
      </w:r>
    </w:p>
    <w:p w14:paraId="22CB35B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The Registrar may, for reasonable cause, reduce a fee payable under section 139BD of the Act for personal service of a notice of disqualification.</w:t>
      </w:r>
    </w:p>
    <w:p w14:paraId="68D8B9F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The Registrar may remit or reduce a fee payable for registration under section 24 of the Act of a converter dolly or low loader dolly.</w:t>
      </w:r>
    </w:p>
    <w:p w14:paraId="5D634F0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5" w:name="idad006760_b660_43cf_8652_7ee486454fc7_6"/>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The Registrar must remit the registration fee payable in relation to registration of an electric vehicle if the Registrar is satisfied that registration of the vehicle meets the remission eligibility criteria determined by the Treasurer for the purposes of this provision.</w:t>
      </w:r>
      <w:bookmarkEnd w:id="325"/>
    </w:p>
    <w:p w14:paraId="45DBF45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 xml:space="preserve">In </w:t>
      </w:r>
      <w:hyperlink w:anchor="idad006760_b660_43cf_8652_7ee486454fc7_6" w:history="1">
        <w:r w:rsidRPr="002A3021">
          <w:rPr>
            <w:rFonts w:eastAsia="Times New Roman"/>
            <w:color w:val="000000"/>
            <w:sz w:val="23"/>
            <w:szCs w:val="23"/>
            <w:lang w:eastAsia="en-AU"/>
            <w14:ligatures w14:val="standardContextual"/>
          </w:rPr>
          <w:t>subregulation (4)</w:t>
        </w:r>
      </w:hyperlink>
      <w:r w:rsidRPr="002A3021">
        <w:rPr>
          <w:rFonts w:eastAsia="Times New Roman"/>
          <w:color w:val="000000"/>
          <w:sz w:val="23"/>
          <w:szCs w:val="23"/>
          <w:lang w:eastAsia="en-AU"/>
          <w14:ligatures w14:val="standardContextual"/>
        </w:rPr>
        <w:t>—</w:t>
      </w:r>
    </w:p>
    <w:p w14:paraId="2239B94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electric vehicle</w:t>
      </w:r>
      <w:r w:rsidRPr="002A3021">
        <w:rPr>
          <w:rFonts w:eastAsia="Times New Roman"/>
          <w:color w:val="000000"/>
          <w:sz w:val="23"/>
          <w:szCs w:val="23"/>
          <w:lang w:eastAsia="en-AU"/>
          <w14:ligatures w14:val="standardContextual"/>
        </w:rPr>
        <w:t xml:space="preserve"> means a motor vehicle that is powered wholly by electricity from an external source (commonly known as a battery electric vehicle) or by hydrogen (commonly known as a fuel cell vehicle or a fuel cell electric vehicle) but does not include—</w:t>
      </w:r>
    </w:p>
    <w:p w14:paraId="1B857C16" w14:textId="6841B798" w:rsidR="00B23EB4" w:rsidRDefault="002A3021" w:rsidP="00B23EB4">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heavy vehicle; or</w:t>
      </w:r>
    </w:p>
    <w:p w14:paraId="3C2D1E89" w14:textId="77777777" w:rsidR="00B23EB4" w:rsidRDefault="00B23EB4" w:rsidP="00B23EB4">
      <w:pPr>
        <w:spacing w:after="0" w:line="6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AF620A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a motor bike; or</w:t>
      </w:r>
    </w:p>
    <w:p w14:paraId="7F5047A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special purpose vehicle.</w:t>
      </w:r>
    </w:p>
    <w:p w14:paraId="45DA353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(6)</w:t>
      </w:r>
      <w:r w:rsidRPr="002A3021">
        <w:rPr>
          <w:rFonts w:eastAsia="Times New Roman"/>
          <w:color w:val="000000"/>
          <w:sz w:val="23"/>
          <w:szCs w:val="23"/>
          <w:lang w:eastAsia="en-AU"/>
          <w14:ligatures w14:val="standardContextual"/>
        </w:rPr>
        <w:tab/>
        <w:t>The Registrar may remit the following fees payable by an Aboriginal person who ordinarily resides in a remote area:</w:t>
      </w:r>
    </w:p>
    <w:p w14:paraId="5F38BE4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administration fee payable under the Act or these regulations;</w:t>
      </w:r>
    </w:p>
    <w:p w14:paraId="1EE852D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fee for the issue or renewal of a learner's permit;</w:t>
      </w:r>
    </w:p>
    <w:p w14:paraId="51BF63B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fee for the issue or renewal of a licence;</w:t>
      </w:r>
    </w:p>
    <w:p w14:paraId="36613A4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fee for an approved theoretical examination;</w:t>
      </w:r>
    </w:p>
    <w:p w14:paraId="4B0469C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a fee for a practical driving test (including any booking fee that may be payable).</w:t>
      </w:r>
    </w:p>
    <w:p w14:paraId="035A46B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(7)</w:t>
      </w:r>
      <w:r w:rsidRPr="002A3021">
        <w:rPr>
          <w:rFonts w:eastAsia="Times New Roman"/>
          <w:color w:val="000000"/>
          <w:sz w:val="23"/>
          <w:szCs w:val="23"/>
          <w:lang w:eastAsia="en-AU"/>
          <w14:ligatures w14:val="standardContextual"/>
        </w:rPr>
        <w:tab/>
        <w:t xml:space="preserve">In this regulation, </w:t>
      </w:r>
      <w:r w:rsidRPr="002A3021">
        <w:rPr>
          <w:rFonts w:eastAsia="Times New Roman"/>
          <w:b/>
          <w:bCs/>
          <w:i/>
          <w:iCs/>
          <w:color w:val="000000"/>
          <w:sz w:val="23"/>
          <w:szCs w:val="23"/>
          <w:lang w:eastAsia="en-AU"/>
          <w14:ligatures w14:val="standardContextual"/>
        </w:rPr>
        <w:t>Aboriginal person</w:t>
      </w:r>
      <w:r w:rsidRPr="002A3021">
        <w:rPr>
          <w:rFonts w:eastAsia="Times New Roman"/>
          <w:color w:val="000000"/>
          <w:sz w:val="23"/>
          <w:szCs w:val="23"/>
          <w:lang w:eastAsia="en-AU"/>
          <w14:ligatures w14:val="standardContextual"/>
        </w:rPr>
        <w:t xml:space="preserve"> and </w:t>
      </w:r>
      <w:r w:rsidRPr="002A3021">
        <w:rPr>
          <w:rFonts w:eastAsia="Times New Roman"/>
          <w:b/>
          <w:bCs/>
          <w:i/>
          <w:iCs/>
          <w:color w:val="000000"/>
          <w:sz w:val="23"/>
          <w:szCs w:val="23"/>
          <w:lang w:eastAsia="en-AU"/>
          <w14:ligatures w14:val="standardContextual"/>
        </w:rPr>
        <w:t>remote area</w:t>
      </w:r>
      <w:r w:rsidRPr="002A3021">
        <w:rPr>
          <w:rFonts w:eastAsia="Times New Roman"/>
          <w:color w:val="000000"/>
          <w:sz w:val="23"/>
          <w:szCs w:val="23"/>
          <w:lang w:eastAsia="en-AU"/>
          <w14:ligatures w14:val="standardContextual"/>
        </w:rPr>
        <w:t xml:space="preserve"> have the same respective meanings as in section 98AAG of the Act.</w:t>
      </w:r>
    </w:p>
    <w:p w14:paraId="3958A5E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6" w:name="Elkera_Print_TOC152"/>
      <w:bookmarkStart w:id="327" w:name="Elkera_Print_BK152"/>
      <w:r w:rsidRPr="002A3021">
        <w:rPr>
          <w:rFonts w:eastAsia="Times New Roman"/>
          <w:b/>
          <w:bCs/>
          <w:color w:val="000000"/>
          <w:sz w:val="26"/>
          <w:szCs w:val="26"/>
          <w:lang w:eastAsia="en-AU"/>
          <w14:ligatures w14:val="standardContextual"/>
        </w:rPr>
        <w:t>113—Exemption from section 42(1) of Act</w:t>
      </w:r>
      <w:bookmarkEnd w:id="326"/>
      <w:bookmarkEnd w:id="327"/>
    </w:p>
    <w:p w14:paraId="18E0DE8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Section 42(1) of the Act does not apply to a motor vehicle that has been registered without payment of a fee in accordance with </w:t>
      </w:r>
      <w:hyperlink w:anchor="idad006760_b660_43cf_8652_7ee486454fc7_6" w:history="1">
        <w:r w:rsidRPr="002A3021">
          <w:rPr>
            <w:rFonts w:eastAsia="Times New Roman"/>
            <w:color w:val="000000"/>
            <w:sz w:val="23"/>
            <w:szCs w:val="23"/>
            <w:lang w:eastAsia="en-AU"/>
            <w14:ligatures w14:val="standardContextual"/>
          </w:rPr>
          <w:t>regulation 112(4)</w:t>
        </w:r>
      </w:hyperlink>
      <w:r w:rsidRPr="002A3021">
        <w:rPr>
          <w:rFonts w:eastAsia="Times New Roman"/>
          <w:color w:val="000000"/>
          <w:sz w:val="23"/>
          <w:szCs w:val="23"/>
          <w:lang w:eastAsia="en-AU"/>
          <w14:ligatures w14:val="standardContextual"/>
        </w:rPr>
        <w:t>.</w:t>
      </w:r>
    </w:p>
    <w:p w14:paraId="05C53AC2"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28" w:name="Elkera_Print_TOC153"/>
      <w:bookmarkStart w:id="329" w:name="Elkera_Print_BK153"/>
      <w:r w:rsidRPr="002A3021">
        <w:rPr>
          <w:rFonts w:eastAsia="Times New Roman"/>
          <w:b/>
          <w:bCs/>
          <w:color w:val="000000"/>
          <w:sz w:val="32"/>
          <w:szCs w:val="32"/>
          <w:lang w:eastAsia="en-AU"/>
          <w14:ligatures w14:val="standardContextual"/>
        </w:rPr>
        <w:t>Part 8—Miscellaneous</w:t>
      </w:r>
      <w:bookmarkEnd w:id="328"/>
      <w:bookmarkEnd w:id="329"/>
    </w:p>
    <w:p w14:paraId="7A6BDEEB"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0" w:name="Elkera_Print_TOC154"/>
      <w:bookmarkStart w:id="331" w:name="Elkera_Print_BK154"/>
      <w:r w:rsidRPr="002A3021">
        <w:rPr>
          <w:rFonts w:eastAsia="Times New Roman"/>
          <w:b/>
          <w:bCs/>
          <w:color w:val="000000"/>
          <w:sz w:val="26"/>
          <w:szCs w:val="26"/>
          <w:lang w:eastAsia="en-AU"/>
          <w14:ligatures w14:val="standardContextual"/>
        </w:rPr>
        <w:t>114—Proof by statutory declaration and prescribed circumstances</w:t>
      </w:r>
      <w:bookmarkEnd w:id="330"/>
      <w:bookmarkEnd w:id="331"/>
    </w:p>
    <w:p w14:paraId="1753D14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statutory declaration furnished by a person to the Commissioner of Police under section 9(1b) or 102(1b) of the Act (or both of those sections) must comply with the following prescribed requirements:</w:t>
      </w:r>
    </w:p>
    <w:p w14:paraId="0590B75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statutory declaration must include—</w:t>
      </w:r>
    </w:p>
    <w:p w14:paraId="1BD7161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person's full name and address; and</w:t>
      </w:r>
    </w:p>
    <w:p w14:paraId="2577701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if it relates to an expiation notice—the expiation notice number; and</w:t>
      </w:r>
    </w:p>
    <w:p w14:paraId="7214B065"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the motor vehicle registration number; and</w:t>
      </w:r>
    </w:p>
    <w:p w14:paraId="1EC004C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details that establish that—</w:t>
      </w:r>
    </w:p>
    <w:p w14:paraId="47854540"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if the statutory declaration is furnished under section 9(1b) of the Act—section 9(1a) of the Act applies; or</w:t>
      </w:r>
    </w:p>
    <w:p w14:paraId="5EBE9019"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if the statutory declaration is furnished under section 102(1b) of the Act—section 102(1a) of the Act applies; or</w:t>
      </w:r>
    </w:p>
    <w:p w14:paraId="4FAB05D8"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if the statutory declaration is furnished under both sections 9(1b) and 102(1b) of the Act—sections 9(1a) and 102(1a) of the Act apply;</w:t>
      </w:r>
    </w:p>
    <w:p w14:paraId="6F0C057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statutory declaration must be furnished—</w:t>
      </w:r>
    </w:p>
    <w:p w14:paraId="3B3B53F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if it relates to an expiation notice—before the due date for payment specified in the expiation notice or expiation reminder notice; or</w:t>
      </w:r>
    </w:p>
    <w:p w14:paraId="6E11168D" w14:textId="0755E4FE" w:rsidR="00B23EB4"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in any other case—within 21 days after the date of issue of the summons.</w:t>
      </w:r>
    </w:p>
    <w:p w14:paraId="053EA431"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09B07A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The following circumstances are declared to be prescribed circumstances in accordance with section 9(6b)(b) and section 102(3d)(b) of the Act:</w:t>
      </w:r>
    </w:p>
    <w:p w14:paraId="7682336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circumstances where the person is not an owner or the registered operator of the vehicle and the person is required by another person to whom the person is answerable in working as a volunteer to drive the vehicle, or to cause the vehicle to stand, in the course of such work;</w:t>
      </w:r>
    </w:p>
    <w:p w14:paraId="7BFB52D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circumstances where the person is not an owner or the registered operator of the vehicle and the person is reasonably required to drive the vehicle, or to cause the vehicle to stand, in the course of undertaking work required by a contract of service as a self</w:t>
      </w:r>
      <w:r w:rsidRPr="002A3021">
        <w:rPr>
          <w:rFonts w:eastAsia="Times New Roman"/>
          <w:color w:val="000000"/>
          <w:sz w:val="23"/>
          <w:szCs w:val="23"/>
          <w:lang w:eastAsia="en-AU"/>
          <w14:ligatures w14:val="standardContextual"/>
        </w:rPr>
        <w:noBreakHyphen/>
        <w:t>employed person.</w:t>
      </w:r>
    </w:p>
    <w:p w14:paraId="73A6846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2" w:name="Elkera_Print_TOC155"/>
      <w:bookmarkStart w:id="333" w:name="Elkera_Print_BK155"/>
      <w:r w:rsidRPr="002A3021">
        <w:rPr>
          <w:rFonts w:eastAsia="Times New Roman"/>
          <w:b/>
          <w:bCs/>
          <w:color w:val="000000"/>
          <w:sz w:val="26"/>
          <w:szCs w:val="26"/>
          <w:lang w:eastAsia="en-AU"/>
          <w14:ligatures w14:val="standardContextual"/>
        </w:rPr>
        <w:t>115—Offence to alter, deface etc permits, labels or certificates</w:t>
      </w:r>
      <w:bookmarkEnd w:id="332"/>
      <w:bookmarkEnd w:id="333"/>
    </w:p>
    <w:p w14:paraId="563181EF"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 person must not, without lawful authority, wilfully alter, deface, damage or destroy a permit, label or certificate issued under the Act.</w:t>
      </w:r>
    </w:p>
    <w:p w14:paraId="4452A20A" w14:textId="77777777" w:rsidR="002A3021" w:rsidRPr="002A3021" w:rsidRDefault="002A3021" w:rsidP="002A302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Maximum penalty: $1 250.</w:t>
      </w:r>
    </w:p>
    <w:p w14:paraId="311F28E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4" w:name="Elkera_Print_TOC156"/>
      <w:bookmarkStart w:id="335" w:name="Elkera_Print_BK156"/>
      <w:r w:rsidRPr="002A3021">
        <w:rPr>
          <w:rFonts w:eastAsia="Times New Roman"/>
          <w:b/>
          <w:bCs/>
          <w:color w:val="000000"/>
          <w:sz w:val="26"/>
          <w:szCs w:val="26"/>
          <w:lang w:eastAsia="en-AU"/>
          <w14:ligatures w14:val="standardContextual"/>
        </w:rPr>
        <w:t>116—Forms determined by the Minister</w:t>
      </w:r>
      <w:bookmarkEnd w:id="334"/>
      <w:bookmarkEnd w:id="335"/>
    </w:p>
    <w:p w14:paraId="13712CDE"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following documents will be in the form determined by the Minister:</w:t>
      </w:r>
    </w:p>
    <w:p w14:paraId="77D2F94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an application for a permit under section 16 of the Act;</w:t>
      </w:r>
    </w:p>
    <w:p w14:paraId="73B2985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an application for the issue, transfer or replacement of a trade plate;</w:t>
      </w:r>
    </w:p>
    <w:p w14:paraId="258C648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an application for a duplicate driver's licence or learner's permit;</w:t>
      </w:r>
    </w:p>
    <w:p w14:paraId="15F97E2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certificate of issue of a trade plate;</w:t>
      </w:r>
    </w:p>
    <w:p w14:paraId="1F69D30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a motor driving instructor's licence.</w:t>
      </w:r>
    </w:p>
    <w:p w14:paraId="39D2394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6" w:name="Elkera_Print_TOC157"/>
      <w:bookmarkStart w:id="337" w:name="Elkera_Print_BK157"/>
      <w:r w:rsidRPr="002A3021">
        <w:rPr>
          <w:rFonts w:eastAsia="Times New Roman"/>
          <w:b/>
          <w:bCs/>
          <w:color w:val="000000"/>
          <w:sz w:val="26"/>
          <w:szCs w:val="26"/>
          <w:lang w:eastAsia="en-AU"/>
          <w14:ligatures w14:val="standardContextual"/>
        </w:rPr>
        <w:t>117—Appointment of authorised examiners</w:t>
      </w:r>
      <w:bookmarkEnd w:id="336"/>
      <w:bookmarkEnd w:id="337"/>
    </w:p>
    <w:p w14:paraId="50EBD19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The Registrar may, when appointing a person as an authorised examiner, or at any time by notice in writing to an authorised examiner, impose conditions limiting the kinds of tests that the authorised examiner may conduct as required by the Registrar under section 80 of the Act to assess the ability or fitness of applicants for the issue or renewal of licences and learner's permits.</w:t>
      </w:r>
    </w:p>
    <w:p w14:paraId="01D4CA0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8" w:name="idff5f719a_8f3a_45ff_9d8c_da07b26f2b8a_0"/>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The Registrar may, for the purpose of testing the proficiency of an applicant for appointment as an authorised examiner, require the applicant to undergo such tests (whether written, oral or practical) as the Registrar considers necessary.</w:t>
      </w:r>
      <w:bookmarkEnd w:id="338"/>
    </w:p>
    <w:p w14:paraId="5B563FA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An applicant for appointment as an authorised examiner (other than an employee in the Transport Department) is not entitled to undergo a proficiency test required by the Registrar under </w:t>
      </w:r>
      <w:hyperlink w:anchor="idff5f719a_8f3a_45ff_9d8c_da07b26f2b8a_0"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xml:space="preserve"> unless they have paid the appropriate fees set out in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w:t>
      </w:r>
    </w:p>
    <w:p w14:paraId="16D51230"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9" w:name="Elkera_Print_TOC158"/>
      <w:bookmarkStart w:id="340" w:name="Elkera_Print_BK158"/>
      <w:r w:rsidRPr="002A3021">
        <w:rPr>
          <w:rFonts w:eastAsia="Times New Roman"/>
          <w:b/>
          <w:bCs/>
          <w:color w:val="000000"/>
          <w:sz w:val="26"/>
          <w:szCs w:val="26"/>
          <w:lang w:eastAsia="en-AU"/>
          <w14:ligatures w14:val="standardContextual"/>
        </w:rPr>
        <w:t>118—Exemption from requirements as to display of disabled person's parking permit</w:t>
      </w:r>
      <w:bookmarkEnd w:id="339"/>
      <w:bookmarkEnd w:id="340"/>
    </w:p>
    <w:p w14:paraId="0727731D" w14:textId="068ED43A"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41" w:name="id60e8227f_eb5d_4493_8d5f_5905d33f45b5_0"/>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holder of a disabled person's parking permit under Part 3D of the Act who has been issued with a prescribed Australian Disability Parking Permit is exempt from the operation of section 98T(1b)(b) and (1c) of the Act if that prescribed Australian Disability Parking Permit is hung from the rear vision mirror on the inside of the windscreen of the vehicle so that the permit number and the expiry date of the permit are easily legible to a person standing in front of the vehicle.</w:t>
      </w:r>
      <w:bookmarkEnd w:id="341"/>
    </w:p>
    <w:p w14:paraId="307073A3"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F77D17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(2)</w:t>
      </w:r>
      <w:r w:rsidRPr="002A3021">
        <w:rPr>
          <w:rFonts w:eastAsia="Times New Roman"/>
          <w:color w:val="000000"/>
          <w:sz w:val="23"/>
          <w:szCs w:val="23"/>
          <w:lang w:eastAsia="en-AU"/>
          <w14:ligatures w14:val="standardContextual"/>
        </w:rPr>
        <w:tab/>
        <w:t>In this regulation—</w:t>
      </w:r>
    </w:p>
    <w:p w14:paraId="02AA8E7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Australian Disability Parking Permit</w:t>
      </w:r>
      <w:r w:rsidRPr="002A3021">
        <w:rPr>
          <w:rFonts w:eastAsia="Times New Roman"/>
          <w:color w:val="000000"/>
          <w:sz w:val="23"/>
          <w:szCs w:val="23"/>
          <w:lang w:eastAsia="en-AU"/>
          <w14:ligatures w14:val="standardContextual"/>
        </w:rPr>
        <w:t xml:space="preserve"> means a disabled person's parking permit that includes the following:</w:t>
      </w:r>
    </w:p>
    <w:p w14:paraId="6428C18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words "Australian Disability Parking Permit";</w:t>
      </w:r>
    </w:p>
    <w:p w14:paraId="0A951E6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 people with disabilities symbol as defined in the </w:t>
      </w:r>
      <w:hyperlink r:id="rId51" w:history="1">
        <w:r w:rsidRPr="002A3021">
          <w:rPr>
            <w:rFonts w:eastAsia="Times New Roman"/>
            <w:i/>
            <w:iCs/>
            <w:color w:val="000000"/>
            <w:sz w:val="23"/>
            <w:szCs w:val="23"/>
            <w:lang w:eastAsia="en-AU"/>
            <w14:ligatures w14:val="standardContextual"/>
          </w:rPr>
          <w:t>Australian Road Rules</w:t>
        </w:r>
      </w:hyperlink>
      <w:r w:rsidRPr="002A3021">
        <w:rPr>
          <w:rFonts w:eastAsia="Times New Roman"/>
          <w:color w:val="000000"/>
          <w:sz w:val="23"/>
          <w:szCs w:val="23"/>
          <w:lang w:eastAsia="en-AU"/>
          <w14:ligatures w14:val="standardContextual"/>
        </w:rPr>
        <w:t>;</w:t>
      </w:r>
    </w:p>
    <w:p w14:paraId="15BC356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permit number;</w:t>
      </w:r>
    </w:p>
    <w:p w14:paraId="70597E0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an expiry date;</w:t>
      </w:r>
    </w:p>
    <w:p w14:paraId="34454CBB"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prescribed Australian Disability Parking Permit</w:t>
      </w:r>
      <w:r w:rsidRPr="002A3021">
        <w:rPr>
          <w:rFonts w:eastAsia="Times New Roman"/>
          <w:color w:val="000000"/>
          <w:sz w:val="23"/>
          <w:szCs w:val="23"/>
          <w:lang w:eastAsia="en-AU"/>
          <w14:ligatures w14:val="standardContextual"/>
        </w:rPr>
        <w:t xml:space="preserve"> means an Australian Disability Parking Permit that is designed to be hung from a rear vision mirror.</w:t>
      </w:r>
    </w:p>
    <w:p w14:paraId="619D6897"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2" w:name="Elkera_Print_TOC159"/>
      <w:bookmarkStart w:id="343" w:name="Elkera_Print_BK159"/>
      <w:r w:rsidRPr="002A3021">
        <w:rPr>
          <w:rFonts w:eastAsia="Times New Roman"/>
          <w:b/>
          <w:bCs/>
          <w:color w:val="000000"/>
          <w:sz w:val="26"/>
          <w:szCs w:val="26"/>
          <w:lang w:eastAsia="en-AU"/>
          <w14:ligatures w14:val="standardContextual"/>
        </w:rPr>
        <w:t>119—Application for review under Part 3E of Act</w:t>
      </w:r>
      <w:bookmarkEnd w:id="342"/>
      <w:bookmarkEnd w:id="343"/>
    </w:p>
    <w:p w14:paraId="6EC24DB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98Z(2) of the Act, an application for a review must—</w:t>
      </w:r>
    </w:p>
    <w:p w14:paraId="2F2C055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be in writing; and</w:t>
      </w:r>
    </w:p>
    <w:p w14:paraId="46D522A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set out the decision to which the application relates; and</w:t>
      </w:r>
    </w:p>
    <w:p w14:paraId="799E86C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set out the grounds on which the applicant seeks the review and the decision sought on the review; and</w:t>
      </w:r>
    </w:p>
    <w:p w14:paraId="51A4752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be accompanied by any information that the applicant considers should be taken into account on the review; and</w:t>
      </w:r>
    </w:p>
    <w:p w14:paraId="2D2F275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be accompanied by the appropriate fee prescribed by </w:t>
      </w:r>
      <w:hyperlink w:anchor="idd8884914_a747_416b_be31_c653f866f897_4" w:history="1">
        <w:r w:rsidRPr="002A3021">
          <w:rPr>
            <w:rFonts w:eastAsia="Times New Roman"/>
            <w:color w:val="000000"/>
            <w:sz w:val="23"/>
            <w:szCs w:val="23"/>
            <w:lang w:eastAsia="en-AU"/>
            <w14:ligatures w14:val="standardContextual"/>
          </w:rPr>
          <w:t>Schedule 1</w:t>
        </w:r>
      </w:hyperlink>
      <w:r w:rsidRPr="002A3021">
        <w:rPr>
          <w:rFonts w:eastAsia="Times New Roman"/>
          <w:color w:val="000000"/>
          <w:sz w:val="23"/>
          <w:szCs w:val="23"/>
          <w:lang w:eastAsia="en-AU"/>
          <w14:ligatures w14:val="standardContextual"/>
        </w:rPr>
        <w:t>; and</w:t>
      </w:r>
    </w:p>
    <w:p w14:paraId="0504399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be lodged with the Registrar.</w:t>
      </w:r>
    </w:p>
    <w:p w14:paraId="0E218C8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4" w:name="Elkera_Print_TOC160"/>
      <w:bookmarkStart w:id="345" w:name="Elkera_Print_BK160"/>
      <w:r w:rsidRPr="002A3021">
        <w:rPr>
          <w:rFonts w:eastAsia="Times New Roman"/>
          <w:b/>
          <w:bCs/>
          <w:color w:val="000000"/>
          <w:sz w:val="26"/>
          <w:szCs w:val="26"/>
          <w:lang w:eastAsia="en-AU"/>
          <w14:ligatures w14:val="standardContextual"/>
        </w:rPr>
        <w:t>120—Meaning of uninsured motor vehicle</w:t>
      </w:r>
      <w:bookmarkEnd w:id="344"/>
      <w:bookmarkEnd w:id="345"/>
    </w:p>
    <w:p w14:paraId="3817EB02"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116(1)(f) of the Act, motor vehicles that are electric personal transporters are motor vehicles of a prescribed class.</w:t>
      </w:r>
    </w:p>
    <w:p w14:paraId="089F83C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6" w:name="Elkera_Print_TOC161"/>
      <w:bookmarkStart w:id="347" w:name="Elkera_Print_BK161"/>
      <w:r w:rsidRPr="002A3021">
        <w:rPr>
          <w:rFonts w:eastAsia="Times New Roman"/>
          <w:b/>
          <w:bCs/>
          <w:color w:val="000000"/>
          <w:sz w:val="26"/>
          <w:szCs w:val="26"/>
          <w:lang w:eastAsia="en-AU"/>
          <w14:ligatures w14:val="standardContextual"/>
        </w:rPr>
        <w:t>121—Prescribed documents</w:t>
      </w:r>
      <w:bookmarkEnd w:id="346"/>
      <w:bookmarkEnd w:id="347"/>
    </w:p>
    <w:p w14:paraId="6A8EE073"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124(5) of the Act the prescribed documents relating to a motor vehicle are a current certificate of registration (or current duplicate certificate of registration), a current permit or a current registration details certificate for the vehicle.</w:t>
      </w:r>
    </w:p>
    <w:p w14:paraId="06458B5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8" w:name="Elkera_Print_TOC162"/>
      <w:bookmarkStart w:id="349" w:name="Elkera_Print_BK162"/>
      <w:r w:rsidRPr="002A3021">
        <w:rPr>
          <w:rFonts w:eastAsia="Times New Roman"/>
          <w:b/>
          <w:bCs/>
          <w:color w:val="000000"/>
          <w:sz w:val="26"/>
          <w:szCs w:val="26"/>
          <w:lang w:eastAsia="en-AU"/>
          <w14:ligatures w14:val="standardContextual"/>
        </w:rPr>
        <w:t>122—Manner of giving Registrar notice of change of name, address etc under section 136 of Act</w:t>
      </w:r>
      <w:bookmarkEnd w:id="348"/>
      <w:bookmarkEnd w:id="349"/>
    </w:p>
    <w:p w14:paraId="34FF9A9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Notice under section 136 of the Act is to be given by a person to the Registrar in a following manner:</w:t>
      </w:r>
    </w:p>
    <w:p w14:paraId="4CD9803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writing;</w:t>
      </w:r>
    </w:p>
    <w:p w14:paraId="4F18D27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by telephone to a telephone number nominated by the Registrar for the purposes of giving notice;</w:t>
      </w:r>
    </w:p>
    <w:p w14:paraId="064FDFB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by fax to a fax number nominated by the Registrar for the purpose of giving notice by fax;</w:t>
      </w:r>
    </w:p>
    <w:p w14:paraId="4145AB25" w14:textId="387A3CC5"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by other telephonic or electronic means made available by the Registrar to members of the public for the purpose of giving notice in such manner.</w:t>
      </w:r>
    </w:p>
    <w:p w14:paraId="447A14C7"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8C3917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0" w:name="Elkera_Print_TOC163"/>
      <w:bookmarkStart w:id="351" w:name="Elkera_Print_BK163"/>
      <w:r w:rsidRPr="002A3021">
        <w:rPr>
          <w:rFonts w:eastAsia="Times New Roman"/>
          <w:b/>
          <w:bCs/>
          <w:color w:val="000000"/>
          <w:sz w:val="26"/>
          <w:szCs w:val="26"/>
          <w:lang w:eastAsia="en-AU"/>
          <w14:ligatures w14:val="standardContextual"/>
        </w:rPr>
        <w:lastRenderedPageBreak/>
        <w:t>123—Power of Registrar to require destruction of a document or thing issued or renewed in consequence of a void transaction</w:t>
      </w:r>
      <w:bookmarkEnd w:id="350"/>
      <w:bookmarkEnd w:id="351"/>
    </w:p>
    <w:p w14:paraId="71B07910"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If a transaction is void by virtue of section 138B of the Act, the Registrar may require the person who is liable to make the payment to destroy the licence, permit, label, certificate, plate or other document or thing issued or renewed by the Registrar in consequence of the purported transaction and to produce evidence of the destruction to the satisfaction of the Registrar.</w:t>
      </w:r>
    </w:p>
    <w:p w14:paraId="1A215E2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2" w:name="Elkera_Print_TOC164"/>
      <w:bookmarkStart w:id="353" w:name="Elkera_Print_BK164"/>
      <w:r w:rsidRPr="002A3021">
        <w:rPr>
          <w:rFonts w:eastAsia="Times New Roman"/>
          <w:b/>
          <w:bCs/>
          <w:color w:val="000000"/>
          <w:sz w:val="26"/>
          <w:szCs w:val="26"/>
          <w:lang w:eastAsia="en-AU"/>
          <w14:ligatures w14:val="standardContextual"/>
        </w:rPr>
        <w:t>124—Power of Registrar to issue directions on certain audio visual recordings</w:t>
      </w:r>
      <w:bookmarkEnd w:id="352"/>
      <w:bookmarkEnd w:id="353"/>
    </w:p>
    <w:p w14:paraId="0D2634C6"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Registrar may issue directions in respect of the making of audio visual recordings (including the installation, use and maintenance of recording devices) of—</w:t>
      </w:r>
    </w:p>
    <w:p w14:paraId="0DC3364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driver training activities undertaken by a person holding a licence under section 98A of the Act; and</w:t>
      </w:r>
    </w:p>
    <w:p w14:paraId="1506B51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practical driving tests conducted by an authorised examiner.</w:t>
      </w:r>
    </w:p>
    <w:p w14:paraId="3D5DDEA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4" w:name="Elkera_Print_TOC165"/>
      <w:bookmarkStart w:id="355" w:name="Elkera_Print_BK165"/>
      <w:r w:rsidRPr="002A3021">
        <w:rPr>
          <w:rFonts w:eastAsia="Times New Roman"/>
          <w:b/>
          <w:bCs/>
          <w:color w:val="000000"/>
          <w:sz w:val="26"/>
          <w:szCs w:val="26"/>
          <w:lang w:eastAsia="en-AU"/>
          <w14:ligatures w14:val="standardContextual"/>
        </w:rPr>
        <w:t>125—Places at which receipt of notice of disqualification may be personally acknowledged</w:t>
      </w:r>
      <w:bookmarkEnd w:id="354"/>
      <w:bookmarkEnd w:id="355"/>
    </w:p>
    <w:p w14:paraId="5533F92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sections 139BD(3)(a)(i)(A) and 141(2a)(a)(i) of the Act, places of the following kinds are prescribed:</w:t>
      </w:r>
    </w:p>
    <w:p w14:paraId="45E9F50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offices known as Service SA Customer Service Centres;</w:t>
      </w:r>
    </w:p>
    <w:p w14:paraId="3B69FFA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Australia Post outlets that have electronic point of sale (EPOS) systems;</w:t>
      </w:r>
    </w:p>
    <w:p w14:paraId="6C81C25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PY Ku Centre at Amata;</w:t>
      </w:r>
    </w:p>
    <w:p w14:paraId="490A976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a mobile station in a remote area (as defined in section 98AAG of the Act) established by the Registrar for the purpose of enabling persons to personally acknowledge receipt of a notice of disqualification in the remote area.</w:t>
      </w:r>
    </w:p>
    <w:p w14:paraId="365ED24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6" w:name="Elkera_Print_TOC166"/>
      <w:bookmarkStart w:id="357" w:name="Elkera_Print_BK166"/>
      <w:r w:rsidRPr="002A3021">
        <w:rPr>
          <w:rFonts w:eastAsia="Times New Roman"/>
          <w:b/>
          <w:bCs/>
          <w:color w:val="000000"/>
          <w:sz w:val="26"/>
          <w:szCs w:val="26"/>
          <w:lang w:eastAsia="en-AU"/>
          <w14:ligatures w14:val="standardContextual"/>
        </w:rPr>
        <w:t>126—Exemption from cumulative application of new section 139BD notice of disqualification if existing suspension is under prescribed provision</w:t>
      </w:r>
      <w:bookmarkEnd w:id="356"/>
      <w:bookmarkEnd w:id="357"/>
    </w:p>
    <w:p w14:paraId="6EB6172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58" w:name="id364f2a98_3c3d_4149_859d_dd238cc4b0e6_8"/>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Subject to </w:t>
      </w:r>
      <w:hyperlink w:anchor="id8162d046_0c08_4547_b1e0_082e7787f9fe_f" w:history="1">
        <w:r w:rsidRPr="002A3021">
          <w:rPr>
            <w:rFonts w:eastAsia="Times New Roman"/>
            <w:color w:val="000000"/>
            <w:sz w:val="23"/>
            <w:szCs w:val="23"/>
            <w:lang w:eastAsia="en-AU"/>
            <w14:ligatures w14:val="standardContextual"/>
          </w:rPr>
          <w:t>subregulation (2)</w:t>
        </w:r>
      </w:hyperlink>
      <w:r w:rsidRPr="002A3021">
        <w:rPr>
          <w:rFonts w:eastAsia="Times New Roman"/>
          <w:color w:val="000000"/>
          <w:sz w:val="23"/>
          <w:szCs w:val="23"/>
          <w:lang w:eastAsia="en-AU"/>
          <w14:ligatures w14:val="standardContextual"/>
        </w:rPr>
        <w:t>, if—</w:t>
      </w:r>
      <w:bookmarkEnd w:id="358"/>
    </w:p>
    <w:p w14:paraId="5AA23A4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has been given, or is given, a notice of disqualification within the meaning of section 139BD of the Act; and</w:t>
      </w:r>
    </w:p>
    <w:p w14:paraId="1CA3C32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at the time that the notice is (but for the operation of section 139BD(9)) due to take effect, the person holds a licence or learner's permit that is already suspended under a prescribed provision,</w:t>
      </w:r>
    </w:p>
    <w:p w14:paraId="5181F8C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person is exempt from the requirement of section 139BD(9) of the Act that the notice of disqualification will instead take effect on the termination of that prior suspension.</w:t>
      </w:r>
    </w:p>
    <w:p w14:paraId="02317C5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59" w:name="id8162d046_0c08_4547_b1e0_082e7787f9fe_f"/>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r>
      <w:hyperlink w:anchor="id364f2a98_3c3d_4149_859d_dd238cc4b0e6_8" w:history="1">
        <w:r w:rsidRPr="002A3021">
          <w:rPr>
            <w:rFonts w:eastAsia="Times New Roman"/>
            <w:color w:val="000000"/>
            <w:sz w:val="23"/>
            <w:szCs w:val="23"/>
            <w:lang w:eastAsia="en-AU"/>
            <w14:ligatures w14:val="standardContextual"/>
          </w:rPr>
          <w:t>Subregulation (1)</w:t>
        </w:r>
      </w:hyperlink>
      <w:r w:rsidRPr="002A3021">
        <w:rPr>
          <w:rFonts w:eastAsia="Times New Roman"/>
          <w:color w:val="000000"/>
          <w:sz w:val="23"/>
          <w:szCs w:val="23"/>
          <w:lang w:eastAsia="en-AU"/>
          <w14:ligatures w14:val="standardContextual"/>
        </w:rPr>
        <w:t xml:space="preserve"> does not apply if—</w:t>
      </w:r>
      <w:bookmarkEnd w:id="359"/>
    </w:p>
    <w:p w14:paraId="3F7C59E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notice of disqualification is a notice under section 81BC(2) of the Act; and</w:t>
      </w:r>
    </w:p>
    <w:p w14:paraId="2092625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prescribed provision under which the licence or permit is suspended is section 45D of the </w:t>
      </w:r>
      <w:hyperlink r:id="rId52"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and</w:t>
      </w:r>
    </w:p>
    <w:p w14:paraId="2AD29505" w14:textId="2ECADE1C"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notice of disqualification relates to the same offence as the notice under section 45D giving rise to the suspension.</w:t>
      </w:r>
    </w:p>
    <w:p w14:paraId="37B79D68"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BABA14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(3)</w:t>
      </w:r>
      <w:r w:rsidRPr="002A3021">
        <w:rPr>
          <w:rFonts w:eastAsia="Times New Roman"/>
          <w:color w:val="000000"/>
          <w:sz w:val="23"/>
          <w:szCs w:val="23"/>
          <w:lang w:eastAsia="en-AU"/>
          <w14:ligatures w14:val="standardContextual"/>
        </w:rPr>
        <w:tab/>
        <w:t>In this regulation—</w:t>
      </w:r>
    </w:p>
    <w:p w14:paraId="32561C8C"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prescribed provision</w:t>
      </w:r>
      <w:r w:rsidRPr="002A3021">
        <w:rPr>
          <w:rFonts w:eastAsia="Times New Roman"/>
          <w:color w:val="000000"/>
          <w:sz w:val="23"/>
          <w:szCs w:val="23"/>
          <w:lang w:eastAsia="en-AU"/>
          <w14:ligatures w14:val="standardContextual"/>
        </w:rPr>
        <w:t xml:space="preserve"> means—</w:t>
      </w:r>
    </w:p>
    <w:p w14:paraId="2C91E9E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section 38(1) of the </w:t>
      </w:r>
      <w:hyperlink r:id="rId53" w:history="1">
        <w:r w:rsidRPr="002A3021">
          <w:rPr>
            <w:rFonts w:eastAsia="Times New Roman"/>
            <w:i/>
            <w:iCs/>
            <w:color w:val="000000"/>
            <w:sz w:val="23"/>
            <w:szCs w:val="23"/>
            <w:lang w:eastAsia="en-AU"/>
            <w14:ligatures w14:val="standardContextual"/>
          </w:rPr>
          <w:t>Fines Enforcement and Debt Recovery Act 2017</w:t>
        </w:r>
      </w:hyperlink>
      <w:r w:rsidRPr="002A3021">
        <w:rPr>
          <w:rFonts w:eastAsia="Times New Roman"/>
          <w:color w:val="000000"/>
          <w:sz w:val="23"/>
          <w:szCs w:val="23"/>
          <w:lang w:eastAsia="en-AU"/>
          <w14:ligatures w14:val="standardContextual"/>
        </w:rPr>
        <w:t>; or</w:t>
      </w:r>
    </w:p>
    <w:p w14:paraId="74C7CC0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section 80(2a)(e) of the </w:t>
      </w:r>
      <w:hyperlink r:id="rId54" w:history="1">
        <w:r w:rsidRPr="002A3021">
          <w:rPr>
            <w:rFonts w:eastAsia="Times New Roman"/>
            <w:i/>
            <w:iCs/>
            <w:color w:val="000000"/>
            <w:sz w:val="23"/>
            <w:szCs w:val="23"/>
            <w:lang w:eastAsia="en-AU"/>
            <w14:ligatures w14:val="standardContextual"/>
          </w:rPr>
          <w:t>Motor Vehicles Act 1959</w:t>
        </w:r>
      </w:hyperlink>
      <w:r w:rsidRPr="002A3021">
        <w:rPr>
          <w:rFonts w:eastAsia="Times New Roman"/>
          <w:color w:val="000000"/>
          <w:sz w:val="23"/>
          <w:szCs w:val="23"/>
          <w:lang w:eastAsia="en-AU"/>
          <w14:ligatures w14:val="standardContextual"/>
        </w:rPr>
        <w:t>; or</w:t>
      </w:r>
    </w:p>
    <w:p w14:paraId="2FEA81A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section 82(1)(b) of the </w:t>
      </w:r>
      <w:hyperlink r:id="rId55" w:history="1">
        <w:r w:rsidRPr="002A3021">
          <w:rPr>
            <w:rFonts w:eastAsia="Times New Roman"/>
            <w:i/>
            <w:iCs/>
            <w:color w:val="000000"/>
            <w:sz w:val="23"/>
            <w:szCs w:val="23"/>
            <w:lang w:eastAsia="en-AU"/>
            <w14:ligatures w14:val="standardContextual"/>
          </w:rPr>
          <w:t>Motor Vehicles Act 1959</w:t>
        </w:r>
      </w:hyperlink>
      <w:r w:rsidRPr="002A3021">
        <w:rPr>
          <w:rFonts w:eastAsia="Times New Roman"/>
          <w:color w:val="000000"/>
          <w:sz w:val="23"/>
          <w:szCs w:val="23"/>
          <w:lang w:eastAsia="en-AU"/>
          <w14:ligatures w14:val="standardContextual"/>
        </w:rPr>
        <w:t>; or</w:t>
      </w:r>
    </w:p>
    <w:p w14:paraId="527CD98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 xml:space="preserve">section 83 of the </w:t>
      </w:r>
      <w:hyperlink r:id="rId56" w:history="1">
        <w:r w:rsidRPr="002A3021">
          <w:rPr>
            <w:rFonts w:eastAsia="Times New Roman"/>
            <w:i/>
            <w:iCs/>
            <w:color w:val="000000"/>
            <w:sz w:val="23"/>
            <w:szCs w:val="23"/>
            <w:lang w:eastAsia="en-AU"/>
            <w14:ligatures w14:val="standardContextual"/>
          </w:rPr>
          <w:t>Motor Vehicles Act 1959</w:t>
        </w:r>
      </w:hyperlink>
      <w:r w:rsidRPr="002A3021">
        <w:rPr>
          <w:rFonts w:eastAsia="Times New Roman"/>
          <w:color w:val="000000"/>
          <w:sz w:val="23"/>
          <w:szCs w:val="23"/>
          <w:lang w:eastAsia="en-AU"/>
          <w14:ligatures w14:val="standardContextual"/>
        </w:rPr>
        <w:t>; or</w:t>
      </w:r>
    </w:p>
    <w:p w14:paraId="1AB2058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section 45B of the </w:t>
      </w:r>
      <w:hyperlink r:id="rId57"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or</w:t>
      </w:r>
    </w:p>
    <w:p w14:paraId="3A8B050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 xml:space="preserve">section 45D of the </w:t>
      </w:r>
      <w:hyperlink r:id="rId58"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or</w:t>
      </w:r>
    </w:p>
    <w:p w14:paraId="024DAAF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 xml:space="preserve">section 47IAA of the </w:t>
      </w:r>
      <w:hyperlink r:id="rId59"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w:t>
      </w:r>
    </w:p>
    <w:p w14:paraId="78A4F7D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0" w:name="Elkera_Print_TOC167"/>
      <w:bookmarkStart w:id="361" w:name="Elkera_Print_BK167"/>
      <w:r w:rsidRPr="002A3021">
        <w:rPr>
          <w:rFonts w:eastAsia="Times New Roman"/>
          <w:b/>
          <w:bCs/>
          <w:color w:val="000000"/>
          <w:sz w:val="26"/>
          <w:szCs w:val="26"/>
          <w:lang w:eastAsia="en-AU"/>
          <w14:ligatures w14:val="standardContextual"/>
        </w:rPr>
        <w:t>127—Confidentiality—prescribed public authorities</w:t>
      </w:r>
      <w:bookmarkEnd w:id="360"/>
      <w:bookmarkEnd w:id="361"/>
    </w:p>
    <w:p w14:paraId="6BC49D5D"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139D(1)(d) of the Act, South Australia Police is prescribed as a public authority.</w:t>
      </w:r>
    </w:p>
    <w:p w14:paraId="70D5FAC8"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2" w:name="Elkera_Print_TOC169"/>
      <w:bookmarkStart w:id="363" w:name="id68a1e022_a3c2_48b6_ab97_5d3375069a8f_b"/>
      <w:r w:rsidRPr="002A3021">
        <w:rPr>
          <w:rFonts w:eastAsia="Times New Roman"/>
          <w:b/>
          <w:bCs/>
          <w:color w:val="000000"/>
          <w:sz w:val="26"/>
          <w:szCs w:val="26"/>
          <w:lang w:eastAsia="en-AU"/>
          <w14:ligatures w14:val="standardContextual"/>
        </w:rPr>
        <w:t>128—Guidelines for disclosure of information</w:t>
      </w:r>
      <w:bookmarkEnd w:id="362"/>
      <w:bookmarkEnd w:id="363"/>
    </w:p>
    <w:p w14:paraId="5C02D08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In this regulation—</w:t>
      </w:r>
    </w:p>
    <w:p w14:paraId="7307A1D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Australian jurisdiction</w:t>
      </w:r>
      <w:r w:rsidRPr="002A3021">
        <w:rPr>
          <w:rFonts w:eastAsia="Times New Roman"/>
          <w:color w:val="000000"/>
          <w:sz w:val="23"/>
          <w:szCs w:val="23"/>
          <w:lang w:eastAsia="en-AU"/>
          <w14:ligatures w14:val="standardContextual"/>
        </w:rPr>
        <w:t xml:space="preserve"> means the Commonwealth or a State or Territory of the Commonwealth;</w:t>
      </w:r>
    </w:p>
    <w:p w14:paraId="06D88F2C"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confidential information</w:t>
      </w:r>
      <w:r w:rsidRPr="002A3021">
        <w:rPr>
          <w:rFonts w:eastAsia="Times New Roman"/>
          <w:color w:val="000000"/>
          <w:sz w:val="23"/>
          <w:szCs w:val="23"/>
          <w:lang w:eastAsia="en-AU"/>
          <w14:ligatures w14:val="standardContextual"/>
        </w:rPr>
        <w:t xml:space="preserve"> means information obtained in the administration of the Act or the </w:t>
      </w:r>
      <w:hyperlink r:id="rId60"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w:t>
      </w:r>
    </w:p>
    <w:p w14:paraId="3CF94B5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personal information</w:t>
      </w:r>
      <w:r w:rsidRPr="002A3021">
        <w:rPr>
          <w:rFonts w:eastAsia="Times New Roman"/>
          <w:color w:val="000000"/>
          <w:sz w:val="23"/>
          <w:szCs w:val="23"/>
          <w:lang w:eastAsia="en-AU"/>
          <w14:ligatures w14:val="standardContextual"/>
        </w:rPr>
        <w:t xml:space="preserve"> means information pertaining to a natural person or body corporate;</w:t>
      </w:r>
    </w:p>
    <w:p w14:paraId="42CC704C"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person concerned</w:t>
      </w:r>
      <w:r w:rsidRPr="002A3021">
        <w:rPr>
          <w:rFonts w:eastAsia="Times New Roman"/>
          <w:color w:val="000000"/>
          <w:sz w:val="23"/>
          <w:szCs w:val="23"/>
          <w:lang w:eastAsia="en-AU"/>
          <w14:ligatures w14:val="standardContextual"/>
        </w:rPr>
        <w:t>—</w:t>
      </w:r>
    </w:p>
    <w:p w14:paraId="37FCDAB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 relation to personal information, means the natural person to whom the information pertains, or the body corporate to which the information pertains, as the case may be;</w:t>
      </w:r>
    </w:p>
    <w:p w14:paraId="7A5F86C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in relation to information relating to a motor vehicle, means the owner of the vehicle.</w:t>
      </w:r>
    </w:p>
    <w:p w14:paraId="3DC27A8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Pursuant to section 139D(1)(f) of the Act, confidential information the disclosure of which is not authorised by a preceding paragraph of section 139D(1) may, subject to such conditions as the Registrar thinks fit, be disclosed in accordance with this regulation.</w:t>
      </w:r>
    </w:p>
    <w:p w14:paraId="68E2643A"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Personal information or information relating to a motor vehicle may be disclosed to a person other than the person concerned if the person concerned has been made aware, or is reasonably likely to be aware, that—</w:t>
      </w:r>
    </w:p>
    <w:p w14:paraId="502BFC3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information is generally used for the purpose for which it is to be released; or</w:t>
      </w:r>
    </w:p>
    <w:p w14:paraId="42774FC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information is generally passed on to those persons or bodies to whom it is to be released.</w:t>
      </w:r>
    </w:p>
    <w:p w14:paraId="763B521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Personal information or information relating to a motor vehicle may be disclosed to a person other than the person concerned if—</w:t>
      </w:r>
    </w:p>
    <w:p w14:paraId="5CC81D6E" w14:textId="4612B1AE"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 making the disclosure believes on reasonable grounds that the disclosure is necessary to prevent or lessen a serious threat to the life or health of the person concerned or some other person; or</w:t>
      </w:r>
    </w:p>
    <w:p w14:paraId="563741B1" w14:textId="77777777" w:rsidR="00B23EB4" w:rsidRDefault="00B23EB4" w:rsidP="00B23EB4">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41DFB4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the disclosure is reasonably necessary to protect the public revenue; or</w:t>
      </w:r>
    </w:p>
    <w:p w14:paraId="0D3D7F0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disclosure is reasonably necessary to protect the interests of the Crown as an employer; or</w:t>
      </w:r>
    </w:p>
    <w:p w14:paraId="0B3E034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disclosure is made to a public authority responsible under the law of another Australian jurisdiction for the registration of motor vehicles or the licensing of drivers of motor vehicles; or</w:t>
      </w:r>
    </w:p>
    <w:p w14:paraId="6510CAA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the disclosure is made to a public authority of an Australian jurisdiction—</w:t>
      </w:r>
    </w:p>
    <w:p w14:paraId="503B5F4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authorised under a law of that jurisdiction to obtain the information directly from the person concerned; or</w:t>
      </w:r>
    </w:p>
    <w:p w14:paraId="10C3153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under an arrangement providing for the exchange of personal information; or</w:t>
      </w:r>
    </w:p>
    <w:p w14:paraId="271294F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(iii)</w:t>
      </w:r>
      <w:r w:rsidRPr="002A3021">
        <w:rPr>
          <w:rFonts w:eastAsia="Times New Roman"/>
          <w:color w:val="000000"/>
          <w:sz w:val="23"/>
          <w:szCs w:val="23"/>
          <w:lang w:eastAsia="en-AU"/>
          <w14:ligatures w14:val="standardContextual"/>
        </w:rPr>
        <w:tab/>
        <w:t>to enable the authority to ascertain whether a motor vehicle has been abandoned; or</w:t>
      </w:r>
    </w:p>
    <w:p w14:paraId="0EE9660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(iv)</w:t>
      </w:r>
      <w:r w:rsidRPr="002A3021">
        <w:rPr>
          <w:rFonts w:eastAsia="Times New Roman"/>
          <w:color w:val="000000"/>
          <w:sz w:val="23"/>
          <w:szCs w:val="23"/>
          <w:lang w:eastAsia="en-AU"/>
          <w14:ligatures w14:val="standardContextual"/>
        </w:rPr>
        <w:tab/>
        <w:t>to enable the authority to exercise or perform statutory powers or functions in relation to a motor vehicle that has been abandoned; or</w:t>
      </w:r>
    </w:p>
    <w:p w14:paraId="2AFAF687"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w:t>
      </w:r>
      <w:r w:rsidRPr="002A3021">
        <w:rPr>
          <w:rFonts w:eastAsia="Times New Roman"/>
          <w:color w:val="000000"/>
          <w:sz w:val="23"/>
          <w:szCs w:val="23"/>
          <w:lang w:eastAsia="en-AU"/>
          <w14:ligatures w14:val="standardContextual"/>
        </w:rPr>
        <w:tab/>
        <w:t>in connection with the administration of either of the following Acts:</w:t>
      </w:r>
    </w:p>
    <w:p w14:paraId="78D05B6D"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w:t>
      </w:r>
      <w:hyperlink r:id="rId61" w:history="1">
        <w:r w:rsidRPr="002A3021">
          <w:rPr>
            <w:rFonts w:eastAsia="Times New Roman"/>
            <w:i/>
            <w:iCs/>
            <w:color w:val="000000"/>
            <w:sz w:val="23"/>
            <w:szCs w:val="23"/>
            <w:lang w:eastAsia="en-AU"/>
            <w14:ligatures w14:val="standardContextual"/>
          </w:rPr>
          <w:t>Harbors and Navigation Act 1993</w:t>
        </w:r>
      </w:hyperlink>
      <w:r w:rsidRPr="002A3021">
        <w:rPr>
          <w:rFonts w:eastAsia="Times New Roman"/>
          <w:color w:val="000000"/>
          <w:sz w:val="23"/>
          <w:szCs w:val="23"/>
          <w:lang w:eastAsia="en-AU"/>
          <w14:ligatures w14:val="standardContextual"/>
        </w:rPr>
        <w:t>;</w:t>
      </w:r>
    </w:p>
    <w:p w14:paraId="6C506240"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w:t>
      </w:r>
      <w:hyperlink r:id="rId62" w:history="1">
        <w:r w:rsidRPr="002A3021">
          <w:rPr>
            <w:rFonts w:eastAsia="Times New Roman"/>
            <w:i/>
            <w:iCs/>
            <w:color w:val="000000"/>
            <w:sz w:val="23"/>
            <w:szCs w:val="23"/>
            <w:lang w:eastAsia="en-AU"/>
            <w14:ligatures w14:val="standardContextual"/>
          </w:rPr>
          <w:t>Passenger Transport Act 1994</w:t>
        </w:r>
      </w:hyperlink>
      <w:r w:rsidRPr="002A3021">
        <w:rPr>
          <w:rFonts w:eastAsia="Times New Roman"/>
          <w:color w:val="000000"/>
          <w:sz w:val="23"/>
          <w:szCs w:val="23"/>
          <w:lang w:eastAsia="en-AU"/>
          <w14:ligatures w14:val="standardContextual"/>
        </w:rPr>
        <w:t>; or</w:t>
      </w:r>
    </w:p>
    <w:p w14:paraId="62D6229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the disclosure is made to a public authority of the Commonwealth for the purposes of investigating or confirming whether—</w:t>
      </w:r>
    </w:p>
    <w:p w14:paraId="4BFADA7E"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a motor vehicle is registered to a person without fee pursuant to section 31(1)(j) of the Act; or</w:t>
      </w:r>
    </w:p>
    <w:p w14:paraId="719CFE7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 xml:space="preserve">an eligible person has been issued a licence for the purposes of </w:t>
      </w:r>
      <w:hyperlink w:anchor="iddea4e26c_6d5f_44ee_952b_9bb36acb71" w:history="1">
        <w:r w:rsidRPr="002A3021">
          <w:rPr>
            <w:rFonts w:eastAsia="Times New Roman"/>
            <w:color w:val="000000"/>
            <w:sz w:val="23"/>
            <w:szCs w:val="23"/>
            <w:lang w:eastAsia="en-AU"/>
            <w14:ligatures w14:val="standardContextual"/>
          </w:rPr>
          <w:t>regulation 19</w:t>
        </w:r>
      </w:hyperlink>
      <w:r w:rsidRPr="002A3021">
        <w:rPr>
          <w:rFonts w:eastAsia="Times New Roman"/>
          <w:color w:val="000000"/>
          <w:sz w:val="23"/>
          <w:szCs w:val="23"/>
          <w:lang w:eastAsia="en-AU"/>
          <w14:ligatures w14:val="standardContextual"/>
        </w:rPr>
        <w:t>; or</w:t>
      </w:r>
    </w:p>
    <w:p w14:paraId="2EDB349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the disclosure is made to Austroads Ltd; or</w:t>
      </w:r>
    </w:p>
    <w:p w14:paraId="2A7E179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(h)</w:t>
      </w:r>
      <w:r w:rsidRPr="002A3021">
        <w:rPr>
          <w:rFonts w:eastAsia="Times New Roman"/>
          <w:color w:val="000000"/>
          <w:sz w:val="23"/>
          <w:szCs w:val="23"/>
          <w:lang w:eastAsia="en-AU"/>
          <w14:ligatures w14:val="standardContextual"/>
        </w:rPr>
        <w:tab/>
        <w:t>the disclosure is made to a person or body engaged in research related to road transport and the disclosure is made for the purposes of the research; or</w:t>
      </w:r>
    </w:p>
    <w:p w14:paraId="425CE52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the disclosure—</w:t>
      </w:r>
    </w:p>
    <w:p w14:paraId="00D02ACB"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consists of information other than medical information about the person concerned or information about that person's history of driving or driving</w:t>
      </w:r>
      <w:r w:rsidRPr="002A3021">
        <w:rPr>
          <w:rFonts w:eastAsia="Times New Roman"/>
          <w:color w:val="000000"/>
          <w:sz w:val="23"/>
          <w:szCs w:val="23"/>
          <w:lang w:eastAsia="en-AU"/>
          <w14:ligatures w14:val="standardContextual"/>
        </w:rPr>
        <w:noBreakHyphen/>
        <w:t>related offences; and</w:t>
      </w:r>
    </w:p>
    <w:p w14:paraId="4D065981"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is made to—</w:t>
      </w:r>
    </w:p>
    <w:p w14:paraId="07A486B4"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person acting under a power of attorney granted by the person concerned; or</w:t>
      </w:r>
    </w:p>
    <w:p w14:paraId="4DD0685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person acting under an authorisation signed by the person concerned; or</w:t>
      </w:r>
    </w:p>
    <w:p w14:paraId="4F40310A"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a legal practitioner acting on behalf of the person concerned; or</w:t>
      </w:r>
    </w:p>
    <w:p w14:paraId="6CA63F7F" w14:textId="0AA2092A" w:rsidR="00B23EB4"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where the person is deceased—an executor or administrator of the deceased estate; or</w:t>
      </w:r>
    </w:p>
    <w:p w14:paraId="0546533F"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0DED66F" w14:textId="77777777" w:rsidR="002A3021" w:rsidRPr="002A3021" w:rsidRDefault="002A3021" w:rsidP="002A30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(E)</w:t>
      </w:r>
      <w:r w:rsidRPr="002A3021">
        <w:rPr>
          <w:rFonts w:eastAsia="Times New Roman"/>
          <w:color w:val="000000"/>
          <w:sz w:val="23"/>
          <w:szCs w:val="23"/>
          <w:lang w:eastAsia="en-AU"/>
          <w14:ligatures w14:val="standardContextual"/>
        </w:rPr>
        <w:tab/>
        <w:t>where the person becomes bankrupt—the registered trustee of the bankrupt estate.</w:t>
      </w:r>
    </w:p>
    <w:p w14:paraId="3FD53E5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If a health professional has furnished information about a person to the Registrar in pursuance of section 148(1) of the Act, the health professional may be informed of the action taken (if any) by the Registrar as a result of the information.</w:t>
      </w:r>
    </w:p>
    <w:p w14:paraId="72C627AF"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(6)</w:t>
      </w:r>
      <w:r w:rsidRPr="002A3021">
        <w:rPr>
          <w:rFonts w:eastAsia="Times New Roman"/>
          <w:color w:val="000000"/>
          <w:sz w:val="23"/>
          <w:szCs w:val="23"/>
          <w:lang w:eastAsia="en-AU"/>
          <w14:ligatures w14:val="standardContextual"/>
        </w:rPr>
        <w:tab/>
        <w:t>Any of the following information may be disclosed to any person:</w:t>
      </w:r>
    </w:p>
    <w:p w14:paraId="36ED63B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information comprised of statistical data that could not reasonably be expected to lead to the identification of any person to whom it pertains;</w:t>
      </w:r>
    </w:p>
    <w:p w14:paraId="4C17B9D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whether a particular motor vehicle is registered;</w:t>
      </w:r>
    </w:p>
    <w:p w14:paraId="4541AD8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date on which the registration of a particular motor vehicle is due to expire;</w:t>
      </w:r>
    </w:p>
    <w:p w14:paraId="03AAB28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whether the registration of a particular motor vehicle has expired;</w:t>
      </w:r>
    </w:p>
    <w:p w14:paraId="46902F3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the date on which the registration of a particular motor vehicle expired;</w:t>
      </w:r>
    </w:p>
    <w:p w14:paraId="246F93E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whether the registration of a particular motor vehicle has been suspended or cancelled;</w:t>
      </w:r>
    </w:p>
    <w:p w14:paraId="678A506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whether a particular motor vehicle is, or has been, a written</w:t>
      </w:r>
      <w:r w:rsidRPr="002A3021">
        <w:rPr>
          <w:rFonts w:eastAsia="Times New Roman"/>
          <w:color w:val="000000"/>
          <w:sz w:val="23"/>
          <w:szCs w:val="23"/>
          <w:lang w:eastAsia="en-AU"/>
          <w14:ligatures w14:val="standardContextual"/>
        </w:rPr>
        <w:noBreakHyphen/>
        <w:t>off vehicle;</w:t>
      </w:r>
    </w:p>
    <w:p w14:paraId="403C25F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(h)</w:t>
      </w:r>
      <w:r w:rsidRPr="002A3021">
        <w:rPr>
          <w:rFonts w:eastAsia="Times New Roman"/>
          <w:color w:val="000000"/>
          <w:sz w:val="23"/>
          <w:szCs w:val="23"/>
          <w:lang w:eastAsia="en-AU"/>
          <w14:ligatures w14:val="standardContextual"/>
        </w:rPr>
        <w:tab/>
        <w:t>whether a particular motor vehicle that is, or has been, a written</w:t>
      </w:r>
      <w:r w:rsidRPr="002A3021">
        <w:rPr>
          <w:rFonts w:eastAsia="Times New Roman"/>
          <w:color w:val="000000"/>
          <w:sz w:val="23"/>
          <w:szCs w:val="23"/>
          <w:lang w:eastAsia="en-AU"/>
          <w14:ligatures w14:val="standardContextual"/>
        </w:rPr>
        <w:noBreakHyphen/>
        <w:t>off vehicle, is eligible for registration in the future;</w:t>
      </w:r>
    </w:p>
    <w:p w14:paraId="5E892954"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whether a particular motor vehicle is recorded as stolen;</w:t>
      </w:r>
    </w:p>
    <w:p w14:paraId="4F0368F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(j)</w:t>
      </w:r>
      <w:r w:rsidRPr="002A3021">
        <w:rPr>
          <w:rFonts w:eastAsia="Times New Roman"/>
          <w:color w:val="000000"/>
          <w:sz w:val="23"/>
          <w:szCs w:val="23"/>
          <w:lang w:eastAsia="en-AU"/>
          <w14:ligatures w14:val="standardContextual"/>
        </w:rPr>
        <w:tab/>
        <w:t xml:space="preserve">whether a particular motor vehicle is the subject of a current defect notice under section 145 of the </w:t>
      </w:r>
      <w:hyperlink r:id="rId63"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w:t>
      </w:r>
    </w:p>
    <w:p w14:paraId="50DF73D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(k)</w:t>
      </w:r>
      <w:r w:rsidRPr="002A3021">
        <w:rPr>
          <w:rFonts w:eastAsia="Times New Roman"/>
          <w:color w:val="000000"/>
          <w:sz w:val="23"/>
          <w:szCs w:val="23"/>
          <w:lang w:eastAsia="en-AU"/>
          <w14:ligatures w14:val="standardContextual"/>
        </w:rPr>
        <w:tab/>
        <w:t>whether a particular number or number plate is the subject of an agreement under section 47A(4) of the Act and the commencement and expiry dates of any such agreement;</w:t>
      </w:r>
    </w:p>
    <w:p w14:paraId="276C1FA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(l)</w:t>
      </w:r>
      <w:r w:rsidRPr="002A3021">
        <w:rPr>
          <w:rFonts w:eastAsia="Times New Roman"/>
          <w:color w:val="000000"/>
          <w:sz w:val="23"/>
          <w:szCs w:val="23"/>
          <w:lang w:eastAsia="en-AU"/>
          <w14:ligatures w14:val="standardContextual"/>
        </w:rPr>
        <w:tab/>
        <w:t>whether an agreement under section 47A(4) of the Act relating to a particular number or number plate of a particular class provides for the assignment of rights conferred under the agreement and, if so, the nature of the assignment and details of any conditions imposed on the assignment;</w:t>
      </w:r>
    </w:p>
    <w:p w14:paraId="7A081380" w14:textId="77777777" w:rsidR="002A3021" w:rsidRPr="002A3021" w:rsidRDefault="002A3021" w:rsidP="002A302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Example—</w:t>
      </w:r>
    </w:p>
    <w:p w14:paraId="22E105AB" w14:textId="77777777" w:rsidR="002A3021" w:rsidRPr="002A3021" w:rsidRDefault="002A3021" w:rsidP="002A302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An agreement under section 47A(4) may permit a particular number or number plate of a particular class to be transferred or sold to a person not party to the agreement. Such an assignment of the rights conferred under the agreement may, however, be subject to such conditions as may be specified by the Registrar in the agreement.</w:t>
      </w:r>
    </w:p>
    <w:p w14:paraId="2DA347D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(m)</w:t>
      </w:r>
      <w:r w:rsidRPr="002A3021">
        <w:rPr>
          <w:rFonts w:eastAsia="Times New Roman"/>
          <w:color w:val="000000"/>
          <w:sz w:val="23"/>
          <w:szCs w:val="23"/>
          <w:lang w:eastAsia="en-AU"/>
          <w14:ligatures w14:val="standardContextual"/>
        </w:rPr>
        <w:tab/>
        <w:t>whether a particular motor vehicle is a high powered vehicle for the purposes of the Act;</w:t>
      </w:r>
    </w:p>
    <w:p w14:paraId="6C06D67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(n)</w:t>
      </w:r>
      <w:r w:rsidRPr="002A3021">
        <w:rPr>
          <w:rFonts w:eastAsia="Times New Roman"/>
          <w:color w:val="000000"/>
          <w:sz w:val="23"/>
          <w:szCs w:val="23"/>
          <w:lang w:eastAsia="en-AU"/>
          <w14:ligatures w14:val="standardContextual"/>
        </w:rPr>
        <w:tab/>
        <w:t>whether a particular motor vehicle is an ultra high powered vehicle for the purposes of the Act;</w:t>
      </w:r>
    </w:p>
    <w:p w14:paraId="5D5EA69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(o)</w:t>
      </w:r>
      <w:r w:rsidRPr="002A3021">
        <w:rPr>
          <w:rFonts w:eastAsia="Times New Roman"/>
          <w:color w:val="000000"/>
          <w:sz w:val="23"/>
          <w:szCs w:val="23"/>
          <w:lang w:eastAsia="en-AU"/>
          <w14:ligatures w14:val="standardContextual"/>
        </w:rPr>
        <w:tab/>
        <w:t>the name of, and contact details for, the approved insurer for a particular motor vehicle;</w:t>
      </w:r>
    </w:p>
    <w:p w14:paraId="132AB9F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(p)</w:t>
      </w:r>
      <w:r w:rsidRPr="002A3021">
        <w:rPr>
          <w:rFonts w:eastAsia="Times New Roman"/>
          <w:color w:val="000000"/>
          <w:sz w:val="23"/>
          <w:szCs w:val="23"/>
          <w:lang w:eastAsia="en-AU"/>
          <w14:ligatures w14:val="standardContextual"/>
        </w:rPr>
        <w:tab/>
        <w:t>the 4 last digits of a particular motor vehicle's vehicle identification number;</w:t>
      </w:r>
    </w:p>
    <w:p w14:paraId="692D05E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(q)</w:t>
      </w:r>
      <w:r w:rsidRPr="002A3021">
        <w:rPr>
          <w:rFonts w:eastAsia="Times New Roman"/>
          <w:color w:val="000000"/>
          <w:sz w:val="23"/>
          <w:szCs w:val="23"/>
          <w:lang w:eastAsia="en-AU"/>
          <w14:ligatures w14:val="standardContextual"/>
        </w:rPr>
        <w:tab/>
        <w:t>a particular motor vehicle's registered configuration;</w:t>
      </w:r>
    </w:p>
    <w:p w14:paraId="7F487290" w14:textId="299ED3B0"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(r)</w:t>
      </w:r>
      <w:r w:rsidRPr="002A3021">
        <w:rPr>
          <w:rFonts w:eastAsia="Times New Roman"/>
          <w:color w:val="000000"/>
          <w:sz w:val="23"/>
          <w:szCs w:val="23"/>
          <w:lang w:eastAsia="en-AU"/>
          <w14:ligatures w14:val="standardContextual"/>
        </w:rPr>
        <w:tab/>
        <w:t>a particular motor vehicle's make;</w:t>
      </w:r>
    </w:p>
    <w:p w14:paraId="4D2BC594"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96003F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(s)</w:t>
      </w:r>
      <w:r w:rsidRPr="002A3021">
        <w:rPr>
          <w:rFonts w:eastAsia="Times New Roman"/>
          <w:color w:val="000000"/>
          <w:sz w:val="23"/>
          <w:szCs w:val="23"/>
          <w:lang w:eastAsia="en-AU"/>
          <w14:ligatures w14:val="standardContextual"/>
        </w:rPr>
        <w:tab/>
        <w:t>a particular motor vehicle's colour and body type;</w:t>
      </w:r>
    </w:p>
    <w:p w14:paraId="1385B63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(t)</w:t>
      </w:r>
      <w:r w:rsidRPr="002A3021">
        <w:rPr>
          <w:rFonts w:eastAsia="Times New Roman"/>
          <w:color w:val="000000"/>
          <w:sz w:val="23"/>
          <w:szCs w:val="23"/>
          <w:lang w:eastAsia="en-AU"/>
          <w14:ligatures w14:val="standardContextual"/>
        </w:rPr>
        <w:tab/>
        <w:t>a particular motor vehicle's CTP insurance premium class;</w:t>
      </w:r>
    </w:p>
    <w:p w14:paraId="0BAB088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(u)</w:t>
      </w:r>
      <w:r w:rsidRPr="002A3021">
        <w:rPr>
          <w:rFonts w:eastAsia="Times New Roman"/>
          <w:color w:val="000000"/>
          <w:sz w:val="23"/>
          <w:szCs w:val="23"/>
          <w:lang w:eastAsia="en-AU"/>
          <w14:ligatures w14:val="standardContextual"/>
        </w:rPr>
        <w:tab/>
        <w:t>a particular motor vehicle's gross vehicle mass;</w:t>
      </w:r>
    </w:p>
    <w:p w14:paraId="3B7332F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(v)</w:t>
      </w:r>
      <w:r w:rsidRPr="002A3021">
        <w:rPr>
          <w:rFonts w:eastAsia="Times New Roman"/>
          <w:color w:val="000000"/>
          <w:sz w:val="23"/>
          <w:szCs w:val="23"/>
          <w:lang w:eastAsia="en-AU"/>
          <w14:ligatures w14:val="standardContextual"/>
        </w:rPr>
        <w:tab/>
        <w:t>a particular motor vehicle's gross combination mass;</w:t>
      </w:r>
    </w:p>
    <w:p w14:paraId="4D779E6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(w)</w:t>
      </w:r>
      <w:r w:rsidRPr="002A3021">
        <w:rPr>
          <w:rFonts w:eastAsia="Times New Roman"/>
          <w:color w:val="000000"/>
          <w:sz w:val="23"/>
          <w:szCs w:val="23"/>
          <w:lang w:eastAsia="en-AU"/>
          <w14:ligatures w14:val="standardContextual"/>
        </w:rPr>
        <w:tab/>
        <w:t>in the case of a particular special purpose vehicle—the conditions to which the registration of the vehicle is subject.</w:t>
      </w:r>
    </w:p>
    <w:p w14:paraId="0104996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(7)</w:t>
      </w:r>
      <w:r w:rsidRPr="002A3021">
        <w:rPr>
          <w:rFonts w:eastAsia="Times New Roman"/>
          <w:color w:val="000000"/>
          <w:sz w:val="23"/>
          <w:szCs w:val="23"/>
          <w:lang w:eastAsia="en-AU"/>
          <w14:ligatures w14:val="standardContextual"/>
        </w:rPr>
        <w:tab/>
        <w:t>The name and address of the registered owner of a motor vehicle may be disclosed—</w:t>
      </w:r>
    </w:p>
    <w:p w14:paraId="287CEE6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to the manufacturer of the vehicle for the purposes of a safety</w:t>
      </w:r>
      <w:r w:rsidRPr="002A3021">
        <w:rPr>
          <w:rFonts w:eastAsia="Times New Roman"/>
          <w:color w:val="000000"/>
          <w:sz w:val="23"/>
          <w:szCs w:val="23"/>
          <w:lang w:eastAsia="en-AU"/>
          <w14:ligatures w14:val="standardContextual"/>
        </w:rPr>
        <w:noBreakHyphen/>
        <w:t>related recall of vehicles; or</w:t>
      </w:r>
    </w:p>
    <w:p w14:paraId="5BD3199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to a legal practitioner or insurer, or an investigation agent acting on behalf of a legal practitioner or insurer, where the information is required to identify the registered owner of a vehicle involved in an accident; or</w:t>
      </w:r>
    </w:p>
    <w:p w14:paraId="4C8AC82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to a person, or the agent of a person, registered under the </w:t>
      </w:r>
      <w:r w:rsidRPr="002A3021">
        <w:rPr>
          <w:rFonts w:eastAsia="Times New Roman"/>
          <w:i/>
          <w:iCs/>
          <w:color w:val="000000"/>
          <w:sz w:val="23"/>
          <w:szCs w:val="23"/>
          <w:lang w:eastAsia="en-AU"/>
          <w14:ligatures w14:val="standardContextual"/>
        </w:rPr>
        <w:t>Personal Property Securities Act 2009</w:t>
      </w:r>
      <w:r w:rsidRPr="002A3021">
        <w:rPr>
          <w:rFonts w:eastAsia="Times New Roman"/>
          <w:color w:val="000000"/>
          <w:sz w:val="23"/>
          <w:szCs w:val="23"/>
          <w:lang w:eastAsia="en-AU"/>
          <w14:ligatures w14:val="standardContextual"/>
        </w:rPr>
        <w:t xml:space="preserve"> of the Commonwealth as a secured party in relation to a security interest for which the vehicle is collateral; or</w:t>
      </w:r>
    </w:p>
    <w:p w14:paraId="032E85F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to a person who has obtained a judgment in a court, or a legal practitioner acting on behalf of such a person, where the information is reasonably required to enforce the judgment and the judgment contains reference to property in the ownership or possession of the registered owner of the vehicle.</w:t>
      </w:r>
    </w:p>
    <w:p w14:paraId="2AD56AB5"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(8)</w:t>
      </w:r>
      <w:r w:rsidRPr="002A3021">
        <w:rPr>
          <w:rFonts w:eastAsia="Times New Roman"/>
          <w:color w:val="000000"/>
          <w:sz w:val="23"/>
          <w:szCs w:val="23"/>
          <w:lang w:eastAsia="en-AU"/>
          <w14:ligatures w14:val="standardContextual"/>
        </w:rPr>
        <w:tab/>
        <w:t>If—</w:t>
      </w:r>
    </w:p>
    <w:p w14:paraId="586B7AC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prescribed offence is committed, or allegedly committed, by a person driving a heavy vehicle; and</w:t>
      </w:r>
    </w:p>
    <w:p w14:paraId="2E51C05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offence has not been detected by use of a photographic detection device,</w:t>
      </w:r>
    </w:p>
    <w:p w14:paraId="114BBAB8"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the following information relating to the offence, or alleged offence, may be disclosed by a police officer to a person who the police officer believes is a relevant person in relation to the heavy vehicle:</w:t>
      </w:r>
    </w:p>
    <w:p w14:paraId="2146EFC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the name and date of birth of the person who was driving, or who is alleged to have been driving, the heavy vehicle;</w:t>
      </w:r>
    </w:p>
    <w:p w14:paraId="39694AF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the time, date, location and nature of the offence, or alleged offence;</w:t>
      </w:r>
    </w:p>
    <w:p w14:paraId="176E670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the registration number of the heavy vehicle or, if the heavy vehicle is a combination, of any vehicles in the combination;</w:t>
      </w:r>
    </w:p>
    <w:p w14:paraId="017394A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details of action taken in relation to the offence, or alleged offence (such as, for example, arrest of the driver, clamping or impounding of the vehicle or issue of expiation notice or summons).</w:t>
      </w:r>
    </w:p>
    <w:p w14:paraId="4A1B3A2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64" w:name="ida1be309d_964d_4ce5_8fdc_8c4181b3e67b_d"/>
      <w:r w:rsidRPr="002A3021">
        <w:rPr>
          <w:rFonts w:eastAsia="Times New Roman"/>
          <w:color w:val="000000"/>
          <w:sz w:val="23"/>
          <w:szCs w:val="23"/>
          <w:lang w:eastAsia="en-AU"/>
          <w14:ligatures w14:val="standardContextual"/>
        </w:rPr>
        <w:tab/>
        <w:t>(9)</w:t>
      </w:r>
      <w:r w:rsidRPr="002A3021">
        <w:rPr>
          <w:rFonts w:eastAsia="Times New Roman"/>
          <w:color w:val="000000"/>
          <w:sz w:val="23"/>
          <w:szCs w:val="23"/>
          <w:lang w:eastAsia="en-AU"/>
          <w14:ligatures w14:val="standardContextual"/>
        </w:rPr>
        <w:tab/>
        <w:t>Information relating to a motor vehicle (not including personal information) may be disclosed in accordance with a contract entered into by the Minister under which the Minister agrees to provide such information for commercial use by a person or body that is a party to that contract.</w:t>
      </w:r>
      <w:bookmarkEnd w:id="364"/>
    </w:p>
    <w:p w14:paraId="11923EA4" w14:textId="2D4E5233" w:rsidR="00B23EB4"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(10)</w:t>
      </w:r>
      <w:r w:rsidRPr="002A3021">
        <w:rPr>
          <w:rFonts w:eastAsia="Times New Roman"/>
          <w:color w:val="000000"/>
          <w:sz w:val="23"/>
          <w:szCs w:val="23"/>
          <w:lang w:eastAsia="en-AU"/>
          <w14:ligatures w14:val="standardContextual"/>
        </w:rPr>
        <w:tab/>
        <w:t>Information sufficient to confirm the identity of a motor vehicle (such as the make, model and colour of the vehicle) may be disclosed to a person who is seeking disclosure of confidential information relating to that vehicle.</w:t>
      </w:r>
    </w:p>
    <w:p w14:paraId="30B4339D"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279C41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(11)</w:t>
      </w:r>
      <w:r w:rsidRPr="002A3021">
        <w:rPr>
          <w:rFonts w:eastAsia="Times New Roman"/>
          <w:color w:val="000000"/>
          <w:sz w:val="23"/>
          <w:szCs w:val="23"/>
          <w:lang w:eastAsia="en-AU"/>
          <w14:ligatures w14:val="standardContextual"/>
        </w:rPr>
        <w:tab/>
        <w:t>In this regulation—</w:t>
      </w:r>
    </w:p>
    <w:p w14:paraId="04637348"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prescribed offence</w:t>
      </w:r>
      <w:r w:rsidRPr="002A3021">
        <w:rPr>
          <w:rFonts w:eastAsia="Times New Roman"/>
          <w:color w:val="000000"/>
          <w:sz w:val="23"/>
          <w:szCs w:val="23"/>
          <w:lang w:eastAsia="en-AU"/>
          <w14:ligatures w14:val="standardContextual"/>
        </w:rPr>
        <w:t xml:space="preserve"> means—</w:t>
      </w:r>
    </w:p>
    <w:p w14:paraId="764A3FF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an offence against section 45, 45A, 45C, 46, 47, 47B, 47BA, 47E or 47EAA of the </w:t>
      </w:r>
      <w:hyperlink r:id="rId64" w:history="1">
        <w:r w:rsidRPr="002A3021">
          <w:rPr>
            <w:rFonts w:eastAsia="Times New Roman"/>
            <w:i/>
            <w:iCs/>
            <w:color w:val="000000"/>
            <w:sz w:val="23"/>
            <w:szCs w:val="23"/>
            <w:lang w:eastAsia="en-AU"/>
            <w14:ligatures w14:val="standardContextual"/>
          </w:rPr>
          <w:t>Road Traffic Act 1961</w:t>
        </w:r>
      </w:hyperlink>
      <w:r w:rsidRPr="002A3021">
        <w:rPr>
          <w:rFonts w:eastAsia="Times New Roman"/>
          <w:color w:val="000000"/>
          <w:sz w:val="23"/>
          <w:szCs w:val="23"/>
          <w:lang w:eastAsia="en-AU"/>
          <w14:ligatures w14:val="standardContextual"/>
        </w:rPr>
        <w:t>; or</w:t>
      </w:r>
    </w:p>
    <w:p w14:paraId="1985948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an offence against section 74 or 91 of the </w:t>
      </w:r>
      <w:hyperlink r:id="rId65" w:history="1">
        <w:r w:rsidRPr="002A3021">
          <w:rPr>
            <w:rFonts w:eastAsia="Times New Roman"/>
            <w:i/>
            <w:iCs/>
            <w:color w:val="000000"/>
            <w:sz w:val="23"/>
            <w:szCs w:val="23"/>
            <w:lang w:eastAsia="en-AU"/>
            <w14:ligatures w14:val="standardContextual"/>
          </w:rPr>
          <w:t>Motor Vehicles Act 1959</w:t>
        </w:r>
      </w:hyperlink>
      <w:r w:rsidRPr="002A3021">
        <w:rPr>
          <w:rFonts w:eastAsia="Times New Roman"/>
          <w:color w:val="000000"/>
          <w:sz w:val="23"/>
          <w:szCs w:val="23"/>
          <w:lang w:eastAsia="en-AU"/>
          <w14:ligatures w14:val="standardContextual"/>
        </w:rPr>
        <w:t>;</w:t>
      </w:r>
    </w:p>
    <w:p w14:paraId="34A064D9"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relevant person</w:t>
      </w:r>
      <w:r w:rsidRPr="002A3021">
        <w:rPr>
          <w:rFonts w:eastAsia="Times New Roman"/>
          <w:color w:val="000000"/>
          <w:sz w:val="23"/>
          <w:szCs w:val="23"/>
          <w:lang w:eastAsia="en-AU"/>
          <w14:ligatures w14:val="standardContextual"/>
        </w:rPr>
        <w:t>—each of the following is a relevant person in relation to a heavy vehicle:</w:t>
      </w:r>
    </w:p>
    <w:p w14:paraId="0849B63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65" w:name="id6f5438dd_f07d_4ddf_acaf_aa2d677d2cf7_4"/>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a registered owner or registered operator of the heavy vehicle or, if the heavy vehicle is a combination, of any vehicle in the combination;</w:t>
      </w:r>
      <w:bookmarkEnd w:id="365"/>
    </w:p>
    <w:p w14:paraId="0EDF5C1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66" w:name="id56d4c4ff_0648_49e2_a391_d5abe40de27c_a"/>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 person who is responsible for controlling or directing the use of the heavy vehicle or, if the heavy vehicle is a combination, of any vehicle in the combination;</w:t>
      </w:r>
      <w:bookmarkEnd w:id="366"/>
    </w:p>
    <w:p w14:paraId="29DC42C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an officer or employee of a person referred to in </w:t>
      </w:r>
      <w:hyperlink w:anchor="id6f5438dd_f07d_4ddf_acaf_aa2d677d2cf7_4" w:history="1">
        <w:r w:rsidRPr="002A3021">
          <w:rPr>
            <w:rFonts w:eastAsia="Times New Roman"/>
            <w:color w:val="000000"/>
            <w:sz w:val="23"/>
            <w:szCs w:val="23"/>
            <w:lang w:eastAsia="en-AU"/>
            <w14:ligatures w14:val="standardContextual"/>
          </w:rPr>
          <w:t>paragraph (a)</w:t>
        </w:r>
      </w:hyperlink>
      <w:r w:rsidRPr="002A3021">
        <w:rPr>
          <w:rFonts w:eastAsia="Times New Roman"/>
          <w:color w:val="000000"/>
          <w:sz w:val="23"/>
          <w:szCs w:val="23"/>
          <w:lang w:eastAsia="en-AU"/>
          <w14:ligatures w14:val="standardContextual"/>
        </w:rPr>
        <w:t xml:space="preserve"> or </w:t>
      </w:r>
      <w:hyperlink w:anchor="id56d4c4ff_0648_49e2_a391_d5abe40de27c_a" w:history="1">
        <w:r w:rsidRPr="002A3021">
          <w:rPr>
            <w:rFonts w:eastAsia="Times New Roman"/>
            <w:color w:val="000000"/>
            <w:sz w:val="23"/>
            <w:szCs w:val="23"/>
            <w:lang w:eastAsia="en-AU"/>
            <w14:ligatures w14:val="standardContextual"/>
          </w:rPr>
          <w:t>(b)</w:t>
        </w:r>
      </w:hyperlink>
      <w:r w:rsidRPr="002A3021">
        <w:rPr>
          <w:rFonts w:eastAsia="Times New Roman"/>
          <w:color w:val="000000"/>
          <w:sz w:val="23"/>
          <w:szCs w:val="23"/>
          <w:lang w:eastAsia="en-AU"/>
          <w14:ligatures w14:val="standardContextual"/>
        </w:rPr>
        <w:t>.</w:t>
      </w:r>
    </w:p>
    <w:p w14:paraId="01FAD27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7" w:name="Elkera_Print_TOC170"/>
      <w:bookmarkStart w:id="368" w:name="Elkera_Print_BK170"/>
      <w:r w:rsidRPr="002A3021">
        <w:rPr>
          <w:rFonts w:eastAsia="Times New Roman"/>
          <w:b/>
          <w:bCs/>
          <w:color w:val="000000"/>
          <w:sz w:val="26"/>
          <w:szCs w:val="26"/>
          <w:lang w:eastAsia="en-AU"/>
          <w14:ligatures w14:val="standardContextual"/>
        </w:rPr>
        <w:t>129—Corresponding laws declared for purposes of section 141(2) of Act</w:t>
      </w:r>
      <w:bookmarkEnd w:id="367"/>
      <w:bookmarkEnd w:id="368"/>
    </w:p>
    <w:p w14:paraId="0E69EB77"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For the purposes of section 141(2) of the Act, the following laws are declared to be corresponding laws:</w:t>
      </w:r>
    </w:p>
    <w:p w14:paraId="107AF6D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Motor Vehicles Act 1949</w:t>
      </w:r>
      <w:r w:rsidRPr="002A3021">
        <w:rPr>
          <w:rFonts w:eastAsia="Times New Roman"/>
          <w:color w:val="000000"/>
          <w:sz w:val="23"/>
          <w:szCs w:val="23"/>
          <w:lang w:eastAsia="en-AU"/>
          <w14:ligatures w14:val="standardContextual"/>
        </w:rPr>
        <w:t xml:space="preserve"> of the Northern Territory;</w:t>
      </w:r>
    </w:p>
    <w:p w14:paraId="585C994E"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Safety Act 1986</w:t>
      </w:r>
      <w:r w:rsidRPr="002A3021">
        <w:rPr>
          <w:rFonts w:eastAsia="Times New Roman"/>
          <w:color w:val="000000"/>
          <w:sz w:val="23"/>
          <w:szCs w:val="23"/>
          <w:lang w:eastAsia="en-AU"/>
          <w14:ligatures w14:val="standardContextual"/>
        </w:rPr>
        <w:t xml:space="preserve"> of Victoria;</w:t>
      </w:r>
    </w:p>
    <w:p w14:paraId="7372213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Traffic (Authorisation to Drive) Act 2008</w:t>
      </w:r>
      <w:r w:rsidRPr="002A3021">
        <w:rPr>
          <w:rFonts w:eastAsia="Times New Roman"/>
          <w:color w:val="000000"/>
          <w:sz w:val="23"/>
          <w:szCs w:val="23"/>
          <w:lang w:eastAsia="en-AU"/>
          <w14:ligatures w14:val="standardContextual"/>
        </w:rPr>
        <w:t xml:space="preserve"> of Western Australia;</w:t>
      </w:r>
    </w:p>
    <w:p w14:paraId="7C706F8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Traffic (Vehicles) Act 2012</w:t>
      </w:r>
      <w:r w:rsidRPr="002A3021">
        <w:rPr>
          <w:rFonts w:eastAsia="Times New Roman"/>
          <w:color w:val="000000"/>
          <w:sz w:val="23"/>
          <w:szCs w:val="23"/>
          <w:lang w:eastAsia="en-AU"/>
          <w14:ligatures w14:val="standardContextual"/>
        </w:rPr>
        <w:t xml:space="preserve"> of Western Australia;</w:t>
      </w:r>
    </w:p>
    <w:p w14:paraId="00736B5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Transport Act 2013</w:t>
      </w:r>
      <w:r w:rsidRPr="002A3021">
        <w:rPr>
          <w:rFonts w:eastAsia="Times New Roman"/>
          <w:color w:val="000000"/>
          <w:sz w:val="23"/>
          <w:szCs w:val="23"/>
          <w:lang w:eastAsia="en-AU"/>
          <w14:ligatures w14:val="standardContextual"/>
        </w:rPr>
        <w:t xml:space="preserve"> of New South Wales;</w:t>
      </w:r>
    </w:p>
    <w:p w14:paraId="66E954E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Transport (Driver Licensing) Act 1999</w:t>
      </w:r>
      <w:r w:rsidRPr="002A3021">
        <w:rPr>
          <w:rFonts w:eastAsia="Times New Roman"/>
          <w:color w:val="000000"/>
          <w:sz w:val="23"/>
          <w:szCs w:val="23"/>
          <w:lang w:eastAsia="en-AU"/>
          <w14:ligatures w14:val="standardContextual"/>
        </w:rPr>
        <w:t xml:space="preserve"> of the Australian Capital Territory;</w:t>
      </w:r>
    </w:p>
    <w:p w14:paraId="206ADE2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Road Transport (Vehicle Registration) Act 1999</w:t>
      </w:r>
      <w:r w:rsidRPr="002A3021">
        <w:rPr>
          <w:rFonts w:eastAsia="Times New Roman"/>
          <w:color w:val="000000"/>
          <w:sz w:val="23"/>
          <w:szCs w:val="23"/>
          <w:lang w:eastAsia="en-AU"/>
          <w14:ligatures w14:val="standardContextual"/>
        </w:rPr>
        <w:t xml:space="preserve"> of the Australian Capital Territory;</w:t>
      </w:r>
    </w:p>
    <w:p w14:paraId="3ED9B1B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(h)</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Transport Operations (Road Use Management) Act 1995</w:t>
      </w:r>
      <w:r w:rsidRPr="002A3021">
        <w:rPr>
          <w:rFonts w:eastAsia="Times New Roman"/>
          <w:color w:val="000000"/>
          <w:sz w:val="23"/>
          <w:szCs w:val="23"/>
          <w:lang w:eastAsia="en-AU"/>
          <w14:ligatures w14:val="standardContextual"/>
        </w:rPr>
        <w:t xml:space="preserve"> of Queensland;</w:t>
      </w:r>
    </w:p>
    <w:p w14:paraId="4082DB9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 xml:space="preserve">the </w:t>
      </w:r>
      <w:r w:rsidRPr="002A3021">
        <w:rPr>
          <w:rFonts w:eastAsia="Times New Roman"/>
          <w:i/>
          <w:iCs/>
          <w:color w:val="000000"/>
          <w:sz w:val="23"/>
          <w:szCs w:val="23"/>
          <w:lang w:eastAsia="en-AU"/>
          <w14:ligatures w14:val="standardContextual"/>
        </w:rPr>
        <w:t>Vehicle and Traffic Act 1999</w:t>
      </w:r>
      <w:r w:rsidRPr="002A3021">
        <w:rPr>
          <w:rFonts w:eastAsia="Times New Roman"/>
          <w:color w:val="000000"/>
          <w:sz w:val="23"/>
          <w:szCs w:val="23"/>
          <w:lang w:eastAsia="en-AU"/>
          <w14:ligatures w14:val="standardContextual"/>
        </w:rPr>
        <w:t xml:space="preserve"> of Tasmania.</w:t>
      </w:r>
    </w:p>
    <w:p w14:paraId="772F3F9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9" w:name="Elkera_Print_TOC171"/>
      <w:bookmarkStart w:id="370" w:name="Elkera_Print_BK171"/>
      <w:r w:rsidRPr="002A3021">
        <w:rPr>
          <w:rFonts w:eastAsia="Times New Roman"/>
          <w:b/>
          <w:bCs/>
          <w:color w:val="000000"/>
          <w:sz w:val="26"/>
          <w:szCs w:val="26"/>
          <w:lang w:eastAsia="en-AU"/>
          <w14:ligatures w14:val="standardContextual"/>
        </w:rPr>
        <w:t>130—Prescribed form of notice for Schedule 1 clause 3</w:t>
      </w:r>
      <w:bookmarkEnd w:id="369"/>
      <w:bookmarkEnd w:id="370"/>
    </w:p>
    <w:p w14:paraId="6AA68659"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For the purposes of Schedule 1 clause 3 of the Act, a notice that accompanies an expiation notice, expiation reminder notice or summons must be in the form set out in Schedule 1 Form 7 of the </w:t>
      </w:r>
      <w:hyperlink r:id="rId66" w:history="1">
        <w:r w:rsidRPr="002A3021">
          <w:rPr>
            <w:rFonts w:eastAsia="Times New Roman"/>
            <w:i/>
            <w:iCs/>
            <w:color w:val="000000"/>
            <w:sz w:val="23"/>
            <w:szCs w:val="23"/>
            <w:lang w:eastAsia="en-AU"/>
            <w14:ligatures w14:val="standardContextual"/>
          </w:rPr>
          <w:t>Road Traffic (Miscellaneous) Regulations 2014</w:t>
        </w:r>
      </w:hyperlink>
      <w:r w:rsidRPr="002A3021">
        <w:rPr>
          <w:rFonts w:eastAsia="Times New Roman"/>
          <w:color w:val="000000"/>
          <w:sz w:val="23"/>
          <w:szCs w:val="23"/>
          <w:lang w:eastAsia="en-AU"/>
          <w14:ligatures w14:val="standardContextual"/>
        </w:rPr>
        <w:t xml:space="preserve"> and contain the information and instructions set out in that form.</w:t>
      </w:r>
    </w:p>
    <w:p w14:paraId="117CFB1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1" w:name="Elkera_Print_TOC172"/>
      <w:bookmarkStart w:id="372" w:name="Elkera_Print_BK172"/>
      <w:r w:rsidRPr="002A3021">
        <w:rPr>
          <w:rFonts w:eastAsia="Times New Roman"/>
          <w:b/>
          <w:bCs/>
          <w:color w:val="000000"/>
          <w:sz w:val="26"/>
          <w:szCs w:val="26"/>
          <w:lang w:eastAsia="en-AU"/>
          <w14:ligatures w14:val="standardContextual"/>
        </w:rPr>
        <w:t>131—Definition of emergency worker</w:t>
      </w:r>
      <w:bookmarkEnd w:id="371"/>
      <w:bookmarkEnd w:id="372"/>
    </w:p>
    <w:p w14:paraId="02B99DB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73" w:name="id39635e9b_9c7e_4466_a10c_5c59fffaaf94_c"/>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For the purposes of Schedule 2 clause 2 of the Act, the following are emergency workers:</w:t>
      </w:r>
      <w:bookmarkEnd w:id="373"/>
    </w:p>
    <w:p w14:paraId="25E5233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 xml:space="preserve">members of an emergency services organisation within the meaning of the </w:t>
      </w:r>
      <w:hyperlink r:id="rId67" w:history="1">
        <w:r w:rsidRPr="002A3021">
          <w:rPr>
            <w:rFonts w:eastAsia="Times New Roman"/>
            <w:i/>
            <w:iCs/>
            <w:color w:val="000000"/>
            <w:sz w:val="23"/>
            <w:szCs w:val="23"/>
            <w:lang w:eastAsia="en-AU"/>
            <w14:ligatures w14:val="standardContextual"/>
          </w:rPr>
          <w:t>Fire and Emergency Services Act 2005</w:t>
        </w:r>
      </w:hyperlink>
      <w:r w:rsidRPr="002A3021">
        <w:rPr>
          <w:rFonts w:eastAsia="Times New Roman"/>
          <w:color w:val="000000"/>
          <w:sz w:val="23"/>
          <w:szCs w:val="23"/>
          <w:lang w:eastAsia="en-AU"/>
          <w14:ligatures w14:val="standardContextual"/>
        </w:rPr>
        <w:t>;</w:t>
      </w:r>
    </w:p>
    <w:p w14:paraId="6284E0B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 xml:space="preserve">authorised officers under the </w:t>
      </w:r>
      <w:hyperlink r:id="rId68" w:history="1">
        <w:r w:rsidRPr="002A3021">
          <w:rPr>
            <w:rFonts w:eastAsia="Times New Roman"/>
            <w:i/>
            <w:iCs/>
            <w:color w:val="000000"/>
            <w:sz w:val="23"/>
            <w:szCs w:val="23"/>
            <w:lang w:eastAsia="en-AU"/>
            <w14:ligatures w14:val="standardContextual"/>
          </w:rPr>
          <w:t>Emergency Management Act 2004</w:t>
        </w:r>
      </w:hyperlink>
      <w:r w:rsidRPr="002A3021">
        <w:rPr>
          <w:rFonts w:eastAsia="Times New Roman"/>
          <w:color w:val="000000"/>
          <w:sz w:val="23"/>
          <w:szCs w:val="23"/>
          <w:lang w:eastAsia="en-AU"/>
          <w14:ligatures w14:val="standardContextual"/>
        </w:rPr>
        <w:t>;</w:t>
      </w:r>
    </w:p>
    <w:p w14:paraId="1EAE380F" w14:textId="10A596F2" w:rsidR="00B23EB4"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 xml:space="preserve">persons engaged in the provision of emergency ambulance services under section 57(1) of the </w:t>
      </w:r>
      <w:hyperlink r:id="rId69" w:history="1">
        <w:r w:rsidRPr="002A3021">
          <w:rPr>
            <w:rFonts w:eastAsia="Times New Roman"/>
            <w:i/>
            <w:iCs/>
            <w:color w:val="000000"/>
            <w:sz w:val="23"/>
            <w:szCs w:val="23"/>
            <w:lang w:eastAsia="en-AU"/>
            <w14:ligatures w14:val="standardContextual"/>
          </w:rPr>
          <w:t>Health Care Act 2008</w:t>
        </w:r>
      </w:hyperlink>
      <w:r w:rsidRPr="002A3021">
        <w:rPr>
          <w:rFonts w:eastAsia="Times New Roman"/>
          <w:color w:val="000000"/>
          <w:sz w:val="23"/>
          <w:szCs w:val="23"/>
          <w:lang w:eastAsia="en-AU"/>
          <w14:ligatures w14:val="standardContextual"/>
        </w:rPr>
        <w:t xml:space="preserve"> on behalf of SA Ambulance Service Inc or any other persons engaged in the provision of emergency ambulance services under section 57(1) of that Act;</w:t>
      </w:r>
    </w:p>
    <w:p w14:paraId="3B9C8EA4" w14:textId="77777777" w:rsidR="00B23EB4" w:rsidRDefault="00B23EB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CA94DE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(d)</w:t>
      </w:r>
      <w:r w:rsidRPr="002A3021">
        <w:rPr>
          <w:rFonts w:eastAsia="Times New Roman"/>
          <w:color w:val="000000"/>
          <w:sz w:val="23"/>
          <w:szCs w:val="23"/>
          <w:lang w:eastAsia="en-AU"/>
          <w14:ligatures w14:val="standardContextual"/>
        </w:rPr>
        <w:tab/>
        <w:t xml:space="preserve">persons engaged in the provision of emergency ambulance services under section 57(2)(a) of the </w:t>
      </w:r>
      <w:hyperlink r:id="rId70" w:history="1">
        <w:r w:rsidRPr="002A3021">
          <w:rPr>
            <w:rFonts w:eastAsia="Times New Roman"/>
            <w:i/>
            <w:iCs/>
            <w:color w:val="000000"/>
            <w:sz w:val="23"/>
            <w:szCs w:val="23"/>
            <w:lang w:eastAsia="en-AU"/>
            <w14:ligatures w14:val="standardContextual"/>
          </w:rPr>
          <w:t>Health Care Act 2008</w:t>
        </w:r>
      </w:hyperlink>
      <w:r w:rsidRPr="002A3021">
        <w:rPr>
          <w:rFonts w:eastAsia="Times New Roman"/>
          <w:color w:val="000000"/>
          <w:sz w:val="23"/>
          <w:szCs w:val="23"/>
          <w:lang w:eastAsia="en-AU"/>
          <w14:ligatures w14:val="standardContextual"/>
        </w:rPr>
        <w:t>;</w:t>
      </w:r>
    </w:p>
    <w:p w14:paraId="261F329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74" w:name="id82cbdb92_d29d_4038_b162_057f0fccad2b_4"/>
      <w:r w:rsidRPr="002A3021">
        <w:rPr>
          <w:rFonts w:eastAsia="Times New Roman"/>
          <w:color w:val="000000"/>
          <w:sz w:val="23"/>
          <w:szCs w:val="23"/>
          <w:lang w:eastAsia="en-AU"/>
          <w14:ligatures w14:val="standardContextual"/>
        </w:rPr>
        <w:tab/>
        <w:t>(e)</w:t>
      </w:r>
      <w:r w:rsidRPr="002A3021">
        <w:rPr>
          <w:rFonts w:eastAsia="Times New Roman"/>
          <w:color w:val="000000"/>
          <w:sz w:val="23"/>
          <w:szCs w:val="23"/>
          <w:lang w:eastAsia="en-AU"/>
          <w14:ligatures w14:val="standardContextual"/>
        </w:rPr>
        <w:tab/>
        <w:t>members of the Australian Federal Police or Australian Border Force;</w:t>
      </w:r>
      <w:bookmarkEnd w:id="374"/>
    </w:p>
    <w:p w14:paraId="15E4E59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(f)</w:t>
      </w:r>
      <w:r w:rsidRPr="002A3021">
        <w:rPr>
          <w:rFonts w:eastAsia="Times New Roman"/>
          <w:color w:val="000000"/>
          <w:sz w:val="23"/>
          <w:szCs w:val="23"/>
          <w:lang w:eastAsia="en-AU"/>
          <w14:ligatures w14:val="standardContextual"/>
        </w:rPr>
        <w:tab/>
        <w:t>members of the armed forces of the Commonwealth engaged in police, fire fighting or ambulance duties or duties in connection with the urgent disposal of explosives or any emergency;</w:t>
      </w:r>
    </w:p>
    <w:p w14:paraId="09486258"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(g)</w:t>
      </w:r>
      <w:r w:rsidRPr="002A3021">
        <w:rPr>
          <w:rFonts w:eastAsia="Times New Roman"/>
          <w:color w:val="000000"/>
          <w:sz w:val="23"/>
          <w:szCs w:val="23"/>
          <w:lang w:eastAsia="en-AU"/>
          <w14:ligatures w14:val="standardContextual"/>
        </w:rPr>
        <w:tab/>
        <w:t>employees of Airservices Australia engaged in fire fighting duties or duties in connection with any emergency.</w:t>
      </w:r>
    </w:p>
    <w:p w14:paraId="38F17BF2"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For the purposes of </w:t>
      </w:r>
      <w:hyperlink w:anchor="id82cbdb92_d29d_4038_b162_057f0fccad2b_4" w:history="1">
        <w:r w:rsidRPr="002A3021">
          <w:rPr>
            <w:rFonts w:eastAsia="Times New Roman"/>
            <w:color w:val="000000"/>
            <w:sz w:val="23"/>
            <w:szCs w:val="23"/>
            <w:lang w:eastAsia="en-AU"/>
            <w14:ligatures w14:val="standardContextual"/>
          </w:rPr>
          <w:t>subregulation (1)(e)</w:t>
        </w:r>
      </w:hyperlink>
      <w:r w:rsidRPr="002A3021">
        <w:rPr>
          <w:rFonts w:eastAsia="Times New Roman"/>
          <w:color w:val="000000"/>
          <w:sz w:val="23"/>
          <w:szCs w:val="23"/>
          <w:lang w:eastAsia="en-AU"/>
          <w14:ligatures w14:val="standardContextual"/>
        </w:rPr>
        <w:t>, a person is a member of the Australian Border Force if—</w:t>
      </w:r>
    </w:p>
    <w:p w14:paraId="232CD2A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w:t>
      </w:r>
    </w:p>
    <w:p w14:paraId="099AEF92"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 xml:space="preserve">the person is covered by paragraph (a) of the definition of </w:t>
      </w:r>
      <w:r w:rsidRPr="002A3021">
        <w:rPr>
          <w:rFonts w:eastAsia="Times New Roman"/>
          <w:b/>
          <w:bCs/>
          <w:i/>
          <w:iCs/>
          <w:color w:val="000000"/>
          <w:sz w:val="23"/>
          <w:szCs w:val="23"/>
          <w:lang w:eastAsia="en-AU"/>
          <w14:ligatures w14:val="standardContextual"/>
        </w:rPr>
        <w:t>Immigration and Border Protection worker</w:t>
      </w:r>
      <w:r w:rsidRPr="002A3021">
        <w:rPr>
          <w:rFonts w:eastAsia="Times New Roman"/>
          <w:color w:val="000000"/>
          <w:sz w:val="23"/>
          <w:szCs w:val="23"/>
          <w:lang w:eastAsia="en-AU"/>
          <w14:ligatures w14:val="standardContextual"/>
        </w:rPr>
        <w:t xml:space="preserve"> in section 4 of the </w:t>
      </w:r>
      <w:r w:rsidRPr="002A3021">
        <w:rPr>
          <w:rFonts w:eastAsia="Times New Roman"/>
          <w:i/>
          <w:iCs/>
          <w:color w:val="000000"/>
          <w:sz w:val="23"/>
          <w:szCs w:val="23"/>
          <w:lang w:eastAsia="en-AU"/>
          <w14:ligatures w14:val="standardContextual"/>
        </w:rPr>
        <w:t>Australian Border Force Act 2015</w:t>
      </w:r>
      <w:r w:rsidRPr="002A3021">
        <w:rPr>
          <w:rFonts w:eastAsia="Times New Roman"/>
          <w:color w:val="000000"/>
          <w:sz w:val="23"/>
          <w:szCs w:val="23"/>
          <w:lang w:eastAsia="en-AU"/>
          <w14:ligatures w14:val="standardContextual"/>
        </w:rPr>
        <w:t xml:space="preserve"> of the Commonwealth; and</w:t>
      </w:r>
    </w:p>
    <w:p w14:paraId="17E57AC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person is in the Australian Border Force (as defined in that Act); or</w:t>
      </w:r>
    </w:p>
    <w:p w14:paraId="59A3C36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w:t>
      </w:r>
    </w:p>
    <w:p w14:paraId="7A8B956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 xml:space="preserve">the person is covered by paragraph (b), (c) or (d) of the definition of </w:t>
      </w:r>
      <w:r w:rsidRPr="002A3021">
        <w:rPr>
          <w:rFonts w:eastAsia="Times New Roman"/>
          <w:b/>
          <w:bCs/>
          <w:i/>
          <w:iCs/>
          <w:color w:val="000000"/>
          <w:sz w:val="23"/>
          <w:szCs w:val="23"/>
          <w:lang w:eastAsia="en-AU"/>
          <w14:ligatures w14:val="standardContextual"/>
        </w:rPr>
        <w:t>Immigration and Border Protection worker</w:t>
      </w:r>
      <w:r w:rsidRPr="002A3021">
        <w:rPr>
          <w:rFonts w:eastAsia="Times New Roman"/>
          <w:color w:val="000000"/>
          <w:sz w:val="23"/>
          <w:szCs w:val="23"/>
          <w:lang w:eastAsia="en-AU"/>
          <w14:ligatures w14:val="standardContextual"/>
        </w:rPr>
        <w:t xml:space="preserve"> in section 4 of the </w:t>
      </w:r>
      <w:r w:rsidRPr="002A3021">
        <w:rPr>
          <w:rFonts w:eastAsia="Times New Roman"/>
          <w:i/>
          <w:iCs/>
          <w:color w:val="000000"/>
          <w:sz w:val="23"/>
          <w:szCs w:val="23"/>
          <w:lang w:eastAsia="en-AU"/>
          <w14:ligatures w14:val="standardContextual"/>
        </w:rPr>
        <w:t>Australian Border Force Act 2015</w:t>
      </w:r>
      <w:r w:rsidRPr="002A3021">
        <w:rPr>
          <w:rFonts w:eastAsia="Times New Roman"/>
          <w:color w:val="000000"/>
          <w:sz w:val="23"/>
          <w:szCs w:val="23"/>
          <w:lang w:eastAsia="en-AU"/>
          <w14:ligatures w14:val="standardContextual"/>
        </w:rPr>
        <w:t xml:space="preserve"> of the Commonwealth; and</w:t>
      </w:r>
    </w:p>
    <w:p w14:paraId="57EFE54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the person's services have been made available to the Australian Border Force or the person is performing services for the Australian Border Force.</w:t>
      </w:r>
    </w:p>
    <w:p w14:paraId="293C235F"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5" w:name="Elkera_Print_TOC173"/>
      <w:bookmarkStart w:id="376" w:name="Elkera_Print_BK173"/>
      <w:r w:rsidRPr="002A3021">
        <w:rPr>
          <w:rFonts w:eastAsia="Times New Roman"/>
          <w:b/>
          <w:bCs/>
          <w:color w:val="000000"/>
          <w:sz w:val="26"/>
          <w:szCs w:val="26"/>
          <w:lang w:eastAsia="en-AU"/>
          <w14:ligatures w14:val="standardContextual"/>
        </w:rPr>
        <w:t>132—Expiation of alleged offences</w:t>
      </w:r>
      <w:bookmarkEnd w:id="375"/>
      <w:bookmarkEnd w:id="376"/>
    </w:p>
    <w:p w14:paraId="0325C50A"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The expiation fees set out in </w:t>
      </w:r>
      <w:hyperlink w:anchor="ida690f220_5005_4a19_8325_e88a2a9d2dd6_1" w:history="1">
        <w:r w:rsidRPr="002A3021">
          <w:rPr>
            <w:rFonts w:eastAsia="Times New Roman"/>
            <w:color w:val="000000"/>
            <w:sz w:val="23"/>
            <w:szCs w:val="23"/>
            <w:lang w:eastAsia="en-AU"/>
            <w14:ligatures w14:val="standardContextual"/>
          </w:rPr>
          <w:t>Schedule 5</w:t>
        </w:r>
      </w:hyperlink>
      <w:r w:rsidRPr="002A3021">
        <w:rPr>
          <w:rFonts w:eastAsia="Times New Roman"/>
          <w:color w:val="000000"/>
          <w:sz w:val="23"/>
          <w:szCs w:val="23"/>
          <w:lang w:eastAsia="en-AU"/>
          <w14:ligatures w14:val="standardContextual"/>
        </w:rPr>
        <w:t xml:space="preserve"> are fixed for alleged offences against the Act or these regulations specified in that Schedule.</w:t>
      </w:r>
    </w:p>
    <w:p w14:paraId="5B04B5B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Text set out in italic type under a heading in </w:t>
      </w:r>
      <w:hyperlink w:anchor="ida690f220_5005_4a19_8325_e88a2a9d2dd6_1" w:history="1">
        <w:r w:rsidRPr="002A3021">
          <w:rPr>
            <w:rFonts w:eastAsia="Times New Roman"/>
            <w:color w:val="000000"/>
            <w:sz w:val="23"/>
            <w:szCs w:val="23"/>
            <w:lang w:eastAsia="en-AU"/>
            <w14:ligatures w14:val="standardContextual"/>
          </w:rPr>
          <w:t>Schedule 5</w:t>
        </w:r>
      </w:hyperlink>
      <w:r w:rsidRPr="002A3021">
        <w:rPr>
          <w:rFonts w:eastAsia="Times New Roman"/>
          <w:color w:val="000000"/>
          <w:sz w:val="23"/>
          <w:szCs w:val="23"/>
          <w:lang w:eastAsia="en-AU"/>
          <w14:ligatures w14:val="standardContextual"/>
        </w:rPr>
        <w:t xml:space="preserve"> commencing with the words "Description of offence" is a description for convenience purposes only and is not to be taken to define the offence for which a particular amount is fixed as the expiation fee.</w:t>
      </w:r>
    </w:p>
    <w:p w14:paraId="5EBC50AD"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77" w:name="Elkera_Print_TOC175"/>
      <w:bookmarkStart w:id="378" w:name="idd8884914_a747_416b_be31_c653f866f897_4"/>
      <w:r w:rsidRPr="002A3021">
        <w:rPr>
          <w:rFonts w:eastAsia="Times New Roman"/>
          <w:b/>
          <w:bCs/>
          <w:color w:val="000000"/>
          <w:sz w:val="32"/>
          <w:szCs w:val="32"/>
          <w:lang w:eastAsia="en-AU"/>
          <w14:ligatures w14:val="standardContextual"/>
        </w:rPr>
        <w:t>Schedule 1—Fees</w:t>
      </w:r>
      <w:bookmarkEnd w:id="377"/>
      <w:bookmarkEnd w:id="378"/>
    </w:p>
    <w:p w14:paraId="796FDED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B2E13" w:rsidRPr="002A3021" w14:paraId="32C5817F" w14:textId="77777777" w:rsidTr="002B2E13">
        <w:trPr>
          <w:cantSplit/>
        </w:trPr>
        <w:tc>
          <w:tcPr>
            <w:tcW w:w="8785" w:type="dxa"/>
            <w:gridSpan w:val="3"/>
            <w:tcBorders>
              <w:top w:val="nil"/>
              <w:left w:val="nil"/>
              <w:bottom w:val="nil"/>
              <w:right w:val="nil"/>
            </w:tcBorders>
          </w:tcPr>
          <w:p w14:paraId="53C5418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1—Interpretation</w:t>
            </w:r>
          </w:p>
        </w:tc>
      </w:tr>
      <w:tr w:rsidR="002A3021" w:rsidRPr="002A3021" w14:paraId="7857E13A" w14:textId="77777777" w:rsidTr="00911011">
        <w:trPr>
          <w:cantSplit/>
        </w:trPr>
        <w:tc>
          <w:tcPr>
            <w:tcW w:w="663" w:type="dxa"/>
            <w:tcBorders>
              <w:top w:val="nil"/>
              <w:left w:val="nil"/>
              <w:bottom w:val="nil"/>
              <w:right w:val="nil"/>
            </w:tcBorders>
          </w:tcPr>
          <w:p w14:paraId="5E05C2F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E14A7A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In this Schedule—</w:t>
            </w:r>
          </w:p>
        </w:tc>
        <w:tc>
          <w:tcPr>
            <w:tcW w:w="1705" w:type="dxa"/>
            <w:tcBorders>
              <w:top w:val="nil"/>
              <w:left w:val="nil"/>
              <w:bottom w:val="nil"/>
              <w:right w:val="nil"/>
            </w:tcBorders>
          </w:tcPr>
          <w:p w14:paraId="196FFD5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796CAD6" w14:textId="77777777" w:rsidTr="00911011">
        <w:trPr>
          <w:cantSplit/>
        </w:trPr>
        <w:tc>
          <w:tcPr>
            <w:tcW w:w="663" w:type="dxa"/>
            <w:tcBorders>
              <w:top w:val="nil"/>
              <w:left w:val="nil"/>
              <w:bottom w:val="nil"/>
              <w:right w:val="nil"/>
            </w:tcBorders>
          </w:tcPr>
          <w:p w14:paraId="5E68655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605347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emergency response vehicle</w:t>
            </w:r>
            <w:r w:rsidRPr="002A3021">
              <w:rPr>
                <w:rFonts w:eastAsia="Times New Roman"/>
                <w:color w:val="000000"/>
                <w:sz w:val="20"/>
                <w:szCs w:val="20"/>
                <w:lang w:eastAsia="en-AU"/>
                <w14:ligatures w14:val="standardContextual"/>
              </w:rPr>
              <w:t xml:space="preserve"> has the same meaning as in </w:t>
            </w:r>
            <w:hyperlink w:anchor="iddc0d646f_217c_4dde_9112_8eb8a8e8d86d_7" w:history="1">
              <w:r w:rsidRPr="002A3021">
                <w:rPr>
                  <w:rFonts w:eastAsia="Times New Roman"/>
                  <w:color w:val="000000"/>
                  <w:sz w:val="20"/>
                  <w:szCs w:val="20"/>
                  <w:lang w:eastAsia="en-AU"/>
                  <w14:ligatures w14:val="standardContextual"/>
                </w:rPr>
                <w:t>regulation 22</w:t>
              </w:r>
            </w:hyperlink>
            <w:r w:rsidRPr="002A3021">
              <w:rPr>
                <w:rFonts w:eastAsia="Times New Roman"/>
                <w:color w:val="000000"/>
                <w:sz w:val="20"/>
                <w:szCs w:val="20"/>
                <w:lang w:eastAsia="en-AU"/>
                <w14:ligatures w14:val="standardContextual"/>
              </w:rPr>
              <w:t>;</w:t>
            </w:r>
          </w:p>
        </w:tc>
        <w:tc>
          <w:tcPr>
            <w:tcW w:w="1705" w:type="dxa"/>
            <w:tcBorders>
              <w:top w:val="nil"/>
              <w:left w:val="nil"/>
              <w:bottom w:val="nil"/>
              <w:right w:val="nil"/>
            </w:tcBorders>
          </w:tcPr>
          <w:p w14:paraId="70BB96D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A8BC180" w14:textId="77777777" w:rsidTr="00911011">
        <w:trPr>
          <w:cantSplit/>
        </w:trPr>
        <w:tc>
          <w:tcPr>
            <w:tcW w:w="663" w:type="dxa"/>
            <w:tcBorders>
              <w:top w:val="nil"/>
              <w:left w:val="nil"/>
              <w:bottom w:val="nil"/>
              <w:right w:val="nil"/>
            </w:tcBorders>
          </w:tcPr>
          <w:p w14:paraId="1EF0630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71339D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government authorised examiner</w:t>
            </w:r>
            <w:r w:rsidRPr="002A3021">
              <w:rPr>
                <w:rFonts w:eastAsia="Times New Roman"/>
                <w:color w:val="000000"/>
                <w:sz w:val="20"/>
                <w:szCs w:val="20"/>
                <w:lang w:eastAsia="en-AU"/>
                <w14:ligatures w14:val="standardContextual"/>
              </w:rPr>
              <w:t xml:space="preserve"> means an authorised examiner who is—</w:t>
            </w:r>
          </w:p>
        </w:tc>
        <w:tc>
          <w:tcPr>
            <w:tcW w:w="1705" w:type="dxa"/>
            <w:tcBorders>
              <w:top w:val="nil"/>
              <w:left w:val="nil"/>
              <w:bottom w:val="nil"/>
              <w:right w:val="nil"/>
            </w:tcBorders>
          </w:tcPr>
          <w:p w14:paraId="079DC49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E9AB5B7" w14:textId="77777777" w:rsidTr="00911011">
        <w:trPr>
          <w:cantSplit/>
        </w:trPr>
        <w:tc>
          <w:tcPr>
            <w:tcW w:w="663" w:type="dxa"/>
            <w:tcBorders>
              <w:top w:val="nil"/>
              <w:left w:val="nil"/>
              <w:bottom w:val="nil"/>
              <w:right w:val="nil"/>
            </w:tcBorders>
          </w:tcPr>
          <w:p w14:paraId="6E8B33D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D51F33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police officer; or</w:t>
            </w:r>
          </w:p>
        </w:tc>
        <w:tc>
          <w:tcPr>
            <w:tcW w:w="1705" w:type="dxa"/>
            <w:tcBorders>
              <w:top w:val="nil"/>
              <w:left w:val="nil"/>
              <w:bottom w:val="nil"/>
              <w:right w:val="nil"/>
            </w:tcBorders>
          </w:tcPr>
          <w:p w14:paraId="7BEB57F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22E4932" w14:textId="77777777" w:rsidTr="00911011">
        <w:trPr>
          <w:cantSplit/>
        </w:trPr>
        <w:tc>
          <w:tcPr>
            <w:tcW w:w="663" w:type="dxa"/>
            <w:tcBorders>
              <w:top w:val="nil"/>
              <w:left w:val="nil"/>
              <w:bottom w:val="nil"/>
              <w:right w:val="nil"/>
            </w:tcBorders>
          </w:tcPr>
          <w:p w14:paraId="6039E14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783682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an employee in the Transport Department; or</w:t>
            </w:r>
          </w:p>
        </w:tc>
        <w:tc>
          <w:tcPr>
            <w:tcW w:w="1705" w:type="dxa"/>
            <w:tcBorders>
              <w:top w:val="nil"/>
              <w:left w:val="nil"/>
              <w:bottom w:val="nil"/>
              <w:right w:val="nil"/>
            </w:tcBorders>
          </w:tcPr>
          <w:p w14:paraId="773FB5C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ED9F031" w14:textId="77777777" w:rsidTr="00911011">
        <w:trPr>
          <w:cantSplit/>
        </w:trPr>
        <w:tc>
          <w:tcPr>
            <w:tcW w:w="663" w:type="dxa"/>
            <w:tcBorders>
              <w:top w:val="nil"/>
              <w:left w:val="nil"/>
              <w:bottom w:val="nil"/>
              <w:right w:val="nil"/>
            </w:tcBorders>
          </w:tcPr>
          <w:p w14:paraId="24BAE73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1442F7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a person appointed as an authorised examiner by some public authority and approved by the Registrar;</w:t>
            </w:r>
          </w:p>
        </w:tc>
        <w:tc>
          <w:tcPr>
            <w:tcW w:w="1705" w:type="dxa"/>
            <w:tcBorders>
              <w:top w:val="nil"/>
              <w:left w:val="nil"/>
              <w:bottom w:val="nil"/>
              <w:right w:val="nil"/>
            </w:tcBorders>
          </w:tcPr>
          <w:p w14:paraId="1FDD10C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F91E4EB" w14:textId="77777777" w:rsidTr="00911011">
        <w:trPr>
          <w:cantSplit/>
        </w:trPr>
        <w:tc>
          <w:tcPr>
            <w:tcW w:w="663" w:type="dxa"/>
            <w:tcBorders>
              <w:top w:val="nil"/>
              <w:left w:val="nil"/>
              <w:bottom w:val="nil"/>
              <w:right w:val="nil"/>
            </w:tcBorders>
          </w:tcPr>
          <w:p w14:paraId="09E08DB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6A8D64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level 1 fee</w:t>
            </w:r>
            <w:r w:rsidRPr="002A3021">
              <w:rPr>
                <w:rFonts w:eastAsia="Times New Roman"/>
                <w:color w:val="000000"/>
                <w:sz w:val="20"/>
                <w:szCs w:val="20"/>
                <w:lang w:eastAsia="en-AU"/>
                <w14:ligatures w14:val="standardContextual"/>
              </w:rPr>
              <w:t xml:space="preserve"> means an administration fee of $10.00;</w:t>
            </w:r>
          </w:p>
        </w:tc>
        <w:tc>
          <w:tcPr>
            <w:tcW w:w="1705" w:type="dxa"/>
            <w:tcBorders>
              <w:top w:val="nil"/>
              <w:left w:val="nil"/>
              <w:bottom w:val="nil"/>
              <w:right w:val="nil"/>
            </w:tcBorders>
          </w:tcPr>
          <w:p w14:paraId="1631623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08FBACC" w14:textId="77777777" w:rsidTr="00911011">
        <w:trPr>
          <w:cantSplit/>
        </w:trPr>
        <w:tc>
          <w:tcPr>
            <w:tcW w:w="663" w:type="dxa"/>
            <w:tcBorders>
              <w:top w:val="nil"/>
              <w:left w:val="nil"/>
              <w:bottom w:val="nil"/>
              <w:right w:val="nil"/>
            </w:tcBorders>
          </w:tcPr>
          <w:p w14:paraId="1B07FEC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CC54E3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level 2 fee</w:t>
            </w:r>
            <w:r w:rsidRPr="002A3021">
              <w:rPr>
                <w:rFonts w:eastAsia="Times New Roman"/>
                <w:color w:val="000000"/>
                <w:sz w:val="20"/>
                <w:szCs w:val="20"/>
                <w:lang w:eastAsia="en-AU"/>
                <w14:ligatures w14:val="standardContextual"/>
              </w:rPr>
              <w:t xml:space="preserve"> means an administration fee of $20.00;</w:t>
            </w:r>
          </w:p>
        </w:tc>
        <w:tc>
          <w:tcPr>
            <w:tcW w:w="1705" w:type="dxa"/>
            <w:tcBorders>
              <w:top w:val="nil"/>
              <w:left w:val="nil"/>
              <w:bottom w:val="nil"/>
              <w:right w:val="nil"/>
            </w:tcBorders>
          </w:tcPr>
          <w:p w14:paraId="58556EF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bl>
    <w:p w14:paraId="0F62BFEC" w14:textId="77777777" w:rsidR="00E87C16" w:rsidRDefault="00E87C16">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3E32FB9D" w14:textId="77777777" w:rsidTr="00911011">
        <w:trPr>
          <w:cantSplit/>
        </w:trPr>
        <w:tc>
          <w:tcPr>
            <w:tcW w:w="663" w:type="dxa"/>
            <w:tcBorders>
              <w:top w:val="nil"/>
              <w:left w:val="nil"/>
              <w:bottom w:val="nil"/>
              <w:right w:val="nil"/>
            </w:tcBorders>
          </w:tcPr>
          <w:p w14:paraId="04FE0A9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0E9EF1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level 3 fee</w:t>
            </w:r>
            <w:r w:rsidRPr="002A3021">
              <w:rPr>
                <w:rFonts w:eastAsia="Times New Roman"/>
                <w:color w:val="000000"/>
                <w:sz w:val="20"/>
                <w:szCs w:val="20"/>
                <w:lang w:eastAsia="en-AU"/>
                <w14:ligatures w14:val="standardContextual"/>
              </w:rPr>
              <w:t xml:space="preserve"> means an administration fee of $31.00;</w:t>
            </w:r>
          </w:p>
        </w:tc>
        <w:tc>
          <w:tcPr>
            <w:tcW w:w="1705" w:type="dxa"/>
            <w:tcBorders>
              <w:top w:val="nil"/>
              <w:left w:val="nil"/>
              <w:bottom w:val="nil"/>
              <w:right w:val="nil"/>
            </w:tcBorders>
          </w:tcPr>
          <w:p w14:paraId="49863F3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5FD2759" w14:textId="77777777" w:rsidTr="00911011">
        <w:trPr>
          <w:cantSplit/>
        </w:trPr>
        <w:tc>
          <w:tcPr>
            <w:tcW w:w="663" w:type="dxa"/>
            <w:tcBorders>
              <w:top w:val="nil"/>
              <w:left w:val="nil"/>
              <w:bottom w:val="nil"/>
              <w:right w:val="nil"/>
            </w:tcBorders>
          </w:tcPr>
          <w:p w14:paraId="44EB947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CAAAE2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special purpose vehicle (type O)</w:t>
            </w:r>
            <w:r w:rsidRPr="002A3021">
              <w:rPr>
                <w:rFonts w:eastAsia="Times New Roman"/>
                <w:color w:val="000000"/>
                <w:sz w:val="20"/>
                <w:szCs w:val="20"/>
                <w:lang w:eastAsia="en-AU"/>
                <w14:ligatures w14:val="standardContextual"/>
              </w:rPr>
              <w:t xml:space="preserve"> has the same meaning as in the </w:t>
            </w:r>
            <w:hyperlink r:id="rId71" w:history="1">
              <w:r w:rsidRPr="002A3021">
                <w:rPr>
                  <w:rFonts w:eastAsia="Times New Roman"/>
                  <w:i/>
                  <w:iCs/>
                  <w:color w:val="000000"/>
                  <w:sz w:val="20"/>
                  <w:szCs w:val="20"/>
                  <w:lang w:eastAsia="en-AU"/>
                  <w14:ligatures w14:val="standardContextual"/>
                </w:rPr>
                <w:t>Motor Vehicles (National Heavy Vehicles Registration Fees) Regulations 2008</w:t>
              </w:r>
            </w:hyperlink>
            <w:r w:rsidRPr="002A3021">
              <w:rPr>
                <w:rFonts w:eastAsia="Times New Roman"/>
                <w:color w:val="000000"/>
                <w:sz w:val="20"/>
                <w:szCs w:val="20"/>
                <w:lang w:eastAsia="en-AU"/>
                <w14:ligatures w14:val="standardContextual"/>
              </w:rPr>
              <w:t>;</w:t>
            </w:r>
          </w:p>
        </w:tc>
        <w:tc>
          <w:tcPr>
            <w:tcW w:w="1705" w:type="dxa"/>
            <w:tcBorders>
              <w:top w:val="nil"/>
              <w:left w:val="nil"/>
              <w:bottom w:val="nil"/>
              <w:right w:val="nil"/>
            </w:tcBorders>
          </w:tcPr>
          <w:p w14:paraId="5AE81F1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5654F17" w14:textId="77777777" w:rsidTr="00911011">
        <w:trPr>
          <w:cantSplit/>
        </w:trPr>
        <w:tc>
          <w:tcPr>
            <w:tcW w:w="663" w:type="dxa"/>
            <w:tcBorders>
              <w:top w:val="nil"/>
              <w:left w:val="nil"/>
              <w:bottom w:val="nil"/>
              <w:right w:val="nil"/>
            </w:tcBorders>
          </w:tcPr>
          <w:p w14:paraId="2BDB361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3B698A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special purpose vehicle (type T)</w:t>
            </w:r>
            <w:r w:rsidRPr="002A3021">
              <w:rPr>
                <w:rFonts w:eastAsia="Times New Roman"/>
                <w:color w:val="000000"/>
                <w:sz w:val="20"/>
                <w:szCs w:val="20"/>
                <w:lang w:eastAsia="en-AU"/>
                <w14:ligatures w14:val="standardContextual"/>
              </w:rPr>
              <w:t xml:space="preserve"> has the same meaning as in the </w:t>
            </w:r>
            <w:hyperlink r:id="rId72" w:history="1">
              <w:r w:rsidRPr="002A3021">
                <w:rPr>
                  <w:rFonts w:eastAsia="Times New Roman"/>
                  <w:i/>
                  <w:iCs/>
                  <w:color w:val="000000"/>
                  <w:sz w:val="20"/>
                  <w:szCs w:val="20"/>
                  <w:lang w:eastAsia="en-AU"/>
                  <w14:ligatures w14:val="standardContextual"/>
                </w:rPr>
                <w:t>Motor Vehicles (National Heavy Vehicles Registration Fees) Regulations 2008</w:t>
              </w:r>
            </w:hyperlink>
            <w:r w:rsidRPr="002A3021">
              <w:rPr>
                <w:rFonts w:eastAsia="Times New Roman"/>
                <w:color w:val="000000"/>
                <w:sz w:val="20"/>
                <w:szCs w:val="20"/>
                <w:lang w:eastAsia="en-AU"/>
                <w14:ligatures w14:val="standardContextual"/>
              </w:rPr>
              <w:t>;</w:t>
            </w:r>
          </w:p>
        </w:tc>
        <w:tc>
          <w:tcPr>
            <w:tcW w:w="1705" w:type="dxa"/>
            <w:tcBorders>
              <w:top w:val="nil"/>
              <w:left w:val="nil"/>
              <w:bottom w:val="nil"/>
              <w:right w:val="nil"/>
            </w:tcBorders>
          </w:tcPr>
          <w:p w14:paraId="5F0BDE8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2C4BEF4" w14:textId="77777777" w:rsidTr="00911011">
        <w:trPr>
          <w:cantSplit/>
        </w:trPr>
        <w:tc>
          <w:tcPr>
            <w:tcW w:w="663" w:type="dxa"/>
            <w:tcBorders>
              <w:top w:val="nil"/>
              <w:left w:val="nil"/>
              <w:bottom w:val="nil"/>
              <w:right w:val="nil"/>
            </w:tcBorders>
          </w:tcPr>
          <w:p w14:paraId="7A9801F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4904E0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Transport Department premises</w:t>
            </w:r>
            <w:r w:rsidRPr="002A3021">
              <w:rPr>
                <w:rFonts w:eastAsia="Times New Roman"/>
                <w:color w:val="000000"/>
                <w:sz w:val="20"/>
                <w:szCs w:val="20"/>
                <w:lang w:eastAsia="en-AU"/>
                <w14:ligatures w14:val="standardContextual"/>
              </w:rPr>
              <w:t>, in relation to an examination of a motor vehicle for the purposes of section 139(1)(d) of the Act, includes a place specified under section 139(4)(b)(ii) of the Act at which the motor vehicle is required to be produced for the purpose of the examination;</w:t>
            </w:r>
          </w:p>
        </w:tc>
        <w:tc>
          <w:tcPr>
            <w:tcW w:w="1705" w:type="dxa"/>
            <w:tcBorders>
              <w:top w:val="nil"/>
              <w:left w:val="nil"/>
              <w:bottom w:val="nil"/>
              <w:right w:val="nil"/>
            </w:tcBorders>
          </w:tcPr>
          <w:p w14:paraId="1F0F232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CD2CB92" w14:textId="77777777" w:rsidTr="00911011">
        <w:trPr>
          <w:cantSplit/>
        </w:trPr>
        <w:tc>
          <w:tcPr>
            <w:tcW w:w="663" w:type="dxa"/>
            <w:tcBorders>
              <w:top w:val="nil"/>
              <w:left w:val="nil"/>
              <w:bottom w:val="nil"/>
              <w:right w:val="nil"/>
            </w:tcBorders>
          </w:tcPr>
          <w:p w14:paraId="70DE4F0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B8BEA0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truck (type 1)</w:t>
            </w:r>
            <w:r w:rsidRPr="002A3021">
              <w:rPr>
                <w:rFonts w:eastAsia="Times New Roman"/>
                <w:color w:val="000000"/>
                <w:sz w:val="20"/>
                <w:szCs w:val="20"/>
                <w:lang w:eastAsia="en-AU"/>
                <w14:ligatures w14:val="standardContextual"/>
              </w:rPr>
              <w:t xml:space="preserve"> has the same meaning as in the </w:t>
            </w:r>
            <w:hyperlink r:id="rId73" w:history="1">
              <w:r w:rsidRPr="002A3021">
                <w:rPr>
                  <w:rFonts w:eastAsia="Times New Roman"/>
                  <w:i/>
                  <w:iCs/>
                  <w:color w:val="000000"/>
                  <w:sz w:val="20"/>
                  <w:szCs w:val="20"/>
                  <w:lang w:eastAsia="en-AU"/>
                  <w14:ligatures w14:val="standardContextual"/>
                </w:rPr>
                <w:t>Motor Vehicles (National Heavy Vehicles Registration Fees) Regulations 2008</w:t>
              </w:r>
            </w:hyperlink>
            <w:r w:rsidRPr="002A3021">
              <w:rPr>
                <w:rFonts w:eastAsia="Times New Roman"/>
                <w:color w:val="000000"/>
                <w:sz w:val="20"/>
                <w:szCs w:val="20"/>
                <w:lang w:eastAsia="en-AU"/>
                <w14:ligatures w14:val="standardContextual"/>
              </w:rPr>
              <w:t>.</w:t>
            </w:r>
          </w:p>
        </w:tc>
        <w:tc>
          <w:tcPr>
            <w:tcW w:w="1705" w:type="dxa"/>
            <w:tcBorders>
              <w:top w:val="nil"/>
              <w:left w:val="nil"/>
              <w:bottom w:val="nil"/>
              <w:right w:val="nil"/>
            </w:tcBorders>
          </w:tcPr>
          <w:p w14:paraId="619E313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6C1618CA" w14:textId="77777777" w:rsidTr="002B2E13">
        <w:trPr>
          <w:cantSplit/>
        </w:trPr>
        <w:tc>
          <w:tcPr>
            <w:tcW w:w="8785" w:type="dxa"/>
            <w:gridSpan w:val="3"/>
            <w:tcBorders>
              <w:top w:val="nil"/>
              <w:left w:val="nil"/>
              <w:bottom w:val="nil"/>
              <w:right w:val="nil"/>
            </w:tcBorders>
          </w:tcPr>
          <w:p w14:paraId="0DD8698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2—Registration fee (section 24 of Act)</w:t>
            </w:r>
          </w:p>
        </w:tc>
      </w:tr>
      <w:tr w:rsidR="002A3021" w:rsidRPr="002A3021" w14:paraId="4D546512" w14:textId="77777777" w:rsidTr="00911011">
        <w:trPr>
          <w:cantSplit/>
        </w:trPr>
        <w:tc>
          <w:tcPr>
            <w:tcW w:w="663" w:type="dxa"/>
            <w:tcBorders>
              <w:top w:val="nil"/>
              <w:left w:val="nil"/>
              <w:bottom w:val="nil"/>
              <w:right w:val="nil"/>
            </w:tcBorders>
          </w:tcPr>
          <w:p w14:paraId="26C1F01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7924CC8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For registration of a heavy vehicle under section 24 of the Act for a period of 12 months—the registration fee prescribed by, or determined in accordance with, the </w:t>
            </w:r>
            <w:hyperlink r:id="rId74" w:history="1">
              <w:r w:rsidRPr="002A3021">
                <w:rPr>
                  <w:rFonts w:eastAsia="Times New Roman"/>
                  <w:i/>
                  <w:iCs/>
                  <w:color w:val="000000"/>
                  <w:sz w:val="20"/>
                  <w:szCs w:val="20"/>
                  <w:lang w:eastAsia="en-AU"/>
                  <w14:ligatures w14:val="standardContextual"/>
                </w:rPr>
                <w:t>Motor Vehicles (National Heavy Vehicles Registration Fees) Regulations 2008</w:t>
              </w:r>
            </w:hyperlink>
            <w:r w:rsidRPr="002A3021">
              <w:rPr>
                <w:rFonts w:eastAsia="Times New Roman"/>
                <w:color w:val="000000"/>
                <w:sz w:val="20"/>
                <w:szCs w:val="20"/>
                <w:lang w:eastAsia="en-AU"/>
                <w14:ligatures w14:val="standardContextual"/>
              </w:rPr>
              <w:t>.</w:t>
            </w:r>
          </w:p>
        </w:tc>
        <w:tc>
          <w:tcPr>
            <w:tcW w:w="1705" w:type="dxa"/>
            <w:tcBorders>
              <w:top w:val="nil"/>
              <w:left w:val="nil"/>
              <w:bottom w:val="nil"/>
              <w:right w:val="nil"/>
            </w:tcBorders>
          </w:tcPr>
          <w:p w14:paraId="13C6D13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76C1D71" w14:textId="77777777" w:rsidTr="00911011">
        <w:trPr>
          <w:cantSplit/>
        </w:trPr>
        <w:tc>
          <w:tcPr>
            <w:tcW w:w="663" w:type="dxa"/>
            <w:tcBorders>
              <w:top w:val="nil"/>
              <w:left w:val="nil"/>
              <w:bottom w:val="nil"/>
              <w:right w:val="nil"/>
            </w:tcBorders>
          </w:tcPr>
          <w:p w14:paraId="39B651A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226880D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registration of a motor vehicle (other than a heavy vehicle) under section 24 of the Act for a period of 12 months—the following registration fee:</w:t>
            </w:r>
          </w:p>
        </w:tc>
        <w:tc>
          <w:tcPr>
            <w:tcW w:w="1705" w:type="dxa"/>
            <w:tcBorders>
              <w:top w:val="nil"/>
              <w:left w:val="nil"/>
              <w:bottom w:val="nil"/>
              <w:right w:val="nil"/>
            </w:tcBorders>
          </w:tcPr>
          <w:p w14:paraId="1E24736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E79074E" w14:textId="77777777" w:rsidTr="00911011">
        <w:trPr>
          <w:cantSplit/>
        </w:trPr>
        <w:tc>
          <w:tcPr>
            <w:tcW w:w="663" w:type="dxa"/>
            <w:tcBorders>
              <w:top w:val="nil"/>
              <w:left w:val="nil"/>
              <w:bottom w:val="nil"/>
              <w:right w:val="nil"/>
            </w:tcBorders>
          </w:tcPr>
          <w:p w14:paraId="09B26EE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D54D79A"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motor bike</w:t>
            </w:r>
          </w:p>
        </w:tc>
        <w:tc>
          <w:tcPr>
            <w:tcW w:w="1705" w:type="dxa"/>
            <w:tcBorders>
              <w:top w:val="nil"/>
              <w:left w:val="nil"/>
              <w:bottom w:val="nil"/>
              <w:right w:val="nil"/>
            </w:tcBorders>
          </w:tcPr>
          <w:p w14:paraId="5AE0005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$52.00</w:t>
            </w:r>
          </w:p>
        </w:tc>
      </w:tr>
      <w:tr w:rsidR="002A3021" w:rsidRPr="002A3021" w14:paraId="11B22AA9" w14:textId="77777777" w:rsidTr="00911011">
        <w:trPr>
          <w:cantSplit/>
        </w:trPr>
        <w:tc>
          <w:tcPr>
            <w:tcW w:w="663" w:type="dxa"/>
            <w:tcBorders>
              <w:top w:val="nil"/>
              <w:left w:val="nil"/>
              <w:bottom w:val="nil"/>
              <w:right w:val="nil"/>
            </w:tcBorders>
          </w:tcPr>
          <w:p w14:paraId="641A1A0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866089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 trailer</w:t>
            </w:r>
          </w:p>
        </w:tc>
        <w:tc>
          <w:tcPr>
            <w:tcW w:w="1705" w:type="dxa"/>
            <w:tcBorders>
              <w:top w:val="nil"/>
              <w:left w:val="nil"/>
              <w:bottom w:val="nil"/>
              <w:right w:val="nil"/>
            </w:tcBorders>
          </w:tcPr>
          <w:p w14:paraId="5D65491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$95.00</w:t>
            </w:r>
          </w:p>
        </w:tc>
      </w:tr>
      <w:tr w:rsidR="002A3021" w:rsidRPr="002A3021" w14:paraId="771A94F7" w14:textId="77777777" w:rsidTr="00911011">
        <w:trPr>
          <w:cantSplit/>
        </w:trPr>
        <w:tc>
          <w:tcPr>
            <w:tcW w:w="663" w:type="dxa"/>
            <w:tcBorders>
              <w:top w:val="nil"/>
              <w:left w:val="nil"/>
              <w:bottom w:val="nil"/>
              <w:right w:val="nil"/>
            </w:tcBorders>
          </w:tcPr>
          <w:p w14:paraId="7B1B626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49B989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a motor vehicle propelled other than by an internal combustion engine</w:t>
            </w:r>
          </w:p>
        </w:tc>
        <w:tc>
          <w:tcPr>
            <w:tcW w:w="1705" w:type="dxa"/>
            <w:tcBorders>
              <w:top w:val="nil"/>
              <w:left w:val="nil"/>
              <w:bottom w:val="nil"/>
              <w:right w:val="nil"/>
            </w:tcBorders>
          </w:tcPr>
          <w:p w14:paraId="403973C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$157.00</w:t>
            </w:r>
          </w:p>
        </w:tc>
      </w:tr>
      <w:tr w:rsidR="002A3021" w:rsidRPr="002A3021" w14:paraId="37B7FC46" w14:textId="77777777" w:rsidTr="00911011">
        <w:trPr>
          <w:cantSplit/>
        </w:trPr>
        <w:tc>
          <w:tcPr>
            <w:tcW w:w="663" w:type="dxa"/>
            <w:tcBorders>
              <w:top w:val="nil"/>
              <w:left w:val="nil"/>
              <w:bottom w:val="nil"/>
              <w:right w:val="nil"/>
            </w:tcBorders>
          </w:tcPr>
          <w:p w14:paraId="51D1D07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9379ED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(d)</w:t>
            </w:r>
            <w:r w:rsidRPr="002A3021">
              <w:rPr>
                <w:rFonts w:eastAsia="Times New Roman"/>
                <w:color w:val="000000"/>
                <w:sz w:val="20"/>
                <w:szCs w:val="20"/>
                <w:lang w:eastAsia="en-AU"/>
                <w14:ligatures w14:val="standardContextual"/>
              </w:rPr>
              <w:tab/>
              <w:t>a commercial motor vehicle—</w:t>
            </w:r>
          </w:p>
        </w:tc>
        <w:tc>
          <w:tcPr>
            <w:tcW w:w="1705" w:type="dxa"/>
            <w:tcBorders>
              <w:top w:val="nil"/>
              <w:left w:val="nil"/>
              <w:bottom w:val="nil"/>
              <w:right w:val="nil"/>
            </w:tcBorders>
          </w:tcPr>
          <w:p w14:paraId="65D501E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3681666" w14:textId="77777777" w:rsidTr="00911011">
        <w:trPr>
          <w:cantSplit/>
        </w:trPr>
        <w:tc>
          <w:tcPr>
            <w:tcW w:w="663" w:type="dxa"/>
            <w:tcBorders>
              <w:top w:val="nil"/>
              <w:left w:val="nil"/>
              <w:bottom w:val="nil"/>
              <w:right w:val="nil"/>
            </w:tcBorders>
          </w:tcPr>
          <w:p w14:paraId="2855EA1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30233F9"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if the unladen mass of the vehicle does not exceed 1 000 kg and the vehicle is propelled by an internal combustion engine—</w:t>
            </w:r>
          </w:p>
        </w:tc>
        <w:tc>
          <w:tcPr>
            <w:tcW w:w="1705" w:type="dxa"/>
            <w:tcBorders>
              <w:top w:val="nil"/>
              <w:left w:val="nil"/>
              <w:bottom w:val="nil"/>
              <w:right w:val="nil"/>
            </w:tcBorders>
          </w:tcPr>
          <w:p w14:paraId="0690931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13A1B58" w14:textId="77777777" w:rsidTr="00911011">
        <w:trPr>
          <w:cantSplit/>
        </w:trPr>
        <w:tc>
          <w:tcPr>
            <w:tcW w:w="663" w:type="dxa"/>
            <w:tcBorders>
              <w:top w:val="nil"/>
              <w:left w:val="nil"/>
              <w:bottom w:val="nil"/>
              <w:right w:val="nil"/>
            </w:tcBorders>
          </w:tcPr>
          <w:p w14:paraId="7B30429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577ECB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having 4 cylinders or less</w:t>
            </w:r>
          </w:p>
        </w:tc>
        <w:tc>
          <w:tcPr>
            <w:tcW w:w="1705" w:type="dxa"/>
            <w:tcBorders>
              <w:top w:val="nil"/>
              <w:left w:val="nil"/>
              <w:bottom w:val="nil"/>
              <w:right w:val="nil"/>
            </w:tcBorders>
          </w:tcPr>
          <w:p w14:paraId="64C1933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$157.00</w:t>
            </w:r>
          </w:p>
        </w:tc>
      </w:tr>
      <w:tr w:rsidR="002A3021" w:rsidRPr="002A3021" w14:paraId="2A4F31DE" w14:textId="77777777" w:rsidTr="00911011">
        <w:trPr>
          <w:cantSplit/>
        </w:trPr>
        <w:tc>
          <w:tcPr>
            <w:tcW w:w="663" w:type="dxa"/>
            <w:tcBorders>
              <w:top w:val="nil"/>
              <w:left w:val="nil"/>
              <w:bottom w:val="nil"/>
              <w:right w:val="nil"/>
            </w:tcBorders>
          </w:tcPr>
          <w:p w14:paraId="5D37E1C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3DE3F6D"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having 5 or 6 cylinders</w:t>
            </w:r>
          </w:p>
        </w:tc>
        <w:tc>
          <w:tcPr>
            <w:tcW w:w="1705" w:type="dxa"/>
            <w:tcBorders>
              <w:top w:val="nil"/>
              <w:left w:val="nil"/>
              <w:bottom w:val="nil"/>
              <w:right w:val="nil"/>
            </w:tcBorders>
          </w:tcPr>
          <w:p w14:paraId="40341D2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$320.00</w:t>
            </w:r>
          </w:p>
        </w:tc>
      </w:tr>
      <w:tr w:rsidR="002A3021" w:rsidRPr="002A3021" w14:paraId="745AA64F" w14:textId="77777777" w:rsidTr="00911011">
        <w:trPr>
          <w:cantSplit/>
        </w:trPr>
        <w:tc>
          <w:tcPr>
            <w:tcW w:w="663" w:type="dxa"/>
            <w:tcBorders>
              <w:top w:val="nil"/>
              <w:left w:val="nil"/>
              <w:bottom w:val="nil"/>
              <w:right w:val="nil"/>
            </w:tcBorders>
          </w:tcPr>
          <w:p w14:paraId="3B38DD2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F89E4C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having 7 or more cylinders</w:t>
            </w:r>
          </w:p>
        </w:tc>
        <w:tc>
          <w:tcPr>
            <w:tcW w:w="1705" w:type="dxa"/>
            <w:tcBorders>
              <w:top w:val="nil"/>
              <w:left w:val="nil"/>
              <w:bottom w:val="nil"/>
              <w:right w:val="nil"/>
            </w:tcBorders>
          </w:tcPr>
          <w:p w14:paraId="381AB9E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$462.00</w:t>
            </w:r>
          </w:p>
        </w:tc>
      </w:tr>
      <w:tr w:rsidR="002A3021" w:rsidRPr="002A3021" w14:paraId="09150D5A" w14:textId="77777777" w:rsidTr="00911011">
        <w:trPr>
          <w:cantSplit/>
        </w:trPr>
        <w:tc>
          <w:tcPr>
            <w:tcW w:w="663" w:type="dxa"/>
            <w:tcBorders>
              <w:top w:val="nil"/>
              <w:left w:val="nil"/>
              <w:bottom w:val="nil"/>
              <w:right w:val="nil"/>
            </w:tcBorders>
          </w:tcPr>
          <w:p w14:paraId="54AB2B4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5A7D899"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if the unladen mass of the vehicle exceeds 1 000 kg but does not exceed 1 500 kg</w:t>
            </w:r>
          </w:p>
        </w:tc>
        <w:tc>
          <w:tcPr>
            <w:tcW w:w="1705" w:type="dxa"/>
            <w:tcBorders>
              <w:top w:val="nil"/>
              <w:left w:val="nil"/>
              <w:bottom w:val="nil"/>
              <w:right w:val="nil"/>
            </w:tcBorders>
          </w:tcPr>
          <w:p w14:paraId="532D39F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$344.00</w:t>
            </w:r>
          </w:p>
        </w:tc>
      </w:tr>
      <w:tr w:rsidR="002A3021" w:rsidRPr="002A3021" w14:paraId="7B11E7D1" w14:textId="77777777" w:rsidTr="00911011">
        <w:trPr>
          <w:cantSplit/>
        </w:trPr>
        <w:tc>
          <w:tcPr>
            <w:tcW w:w="663" w:type="dxa"/>
            <w:tcBorders>
              <w:top w:val="nil"/>
              <w:left w:val="nil"/>
              <w:bottom w:val="nil"/>
              <w:right w:val="nil"/>
            </w:tcBorders>
          </w:tcPr>
          <w:p w14:paraId="07ADE2A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4DCF9E9"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(iii)</w:t>
            </w:r>
            <w:r w:rsidRPr="002A3021">
              <w:rPr>
                <w:rFonts w:eastAsia="Times New Roman"/>
                <w:color w:val="000000"/>
                <w:sz w:val="20"/>
                <w:szCs w:val="20"/>
                <w:lang w:eastAsia="en-AU"/>
                <w14:ligatures w14:val="standardContextual"/>
              </w:rPr>
              <w:tab/>
              <w:t>if the unladen mass of the vehicle exceeds 1 500 kg</w:t>
            </w:r>
          </w:p>
        </w:tc>
        <w:tc>
          <w:tcPr>
            <w:tcW w:w="1705" w:type="dxa"/>
            <w:tcBorders>
              <w:top w:val="nil"/>
              <w:left w:val="nil"/>
              <w:bottom w:val="nil"/>
              <w:right w:val="nil"/>
            </w:tcBorders>
          </w:tcPr>
          <w:p w14:paraId="1C6C1FE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$587.00</w:t>
            </w:r>
          </w:p>
        </w:tc>
      </w:tr>
      <w:tr w:rsidR="002A3021" w:rsidRPr="002A3021" w14:paraId="45D7FD93" w14:textId="77777777" w:rsidTr="00911011">
        <w:trPr>
          <w:cantSplit/>
        </w:trPr>
        <w:tc>
          <w:tcPr>
            <w:tcW w:w="663" w:type="dxa"/>
            <w:tcBorders>
              <w:top w:val="nil"/>
              <w:left w:val="nil"/>
              <w:bottom w:val="nil"/>
              <w:right w:val="nil"/>
            </w:tcBorders>
          </w:tcPr>
          <w:p w14:paraId="78F72E8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DC065E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(e)</w:t>
            </w:r>
            <w:r w:rsidRPr="002A3021">
              <w:rPr>
                <w:rFonts w:eastAsia="Times New Roman"/>
                <w:color w:val="000000"/>
                <w:sz w:val="20"/>
                <w:szCs w:val="20"/>
                <w:lang w:eastAsia="en-AU"/>
                <w14:ligatures w14:val="standardContextual"/>
              </w:rPr>
              <w:tab/>
              <w:t>a motor vehicle (other than a vehicle referred to in paragraphs (a) to (d)) propelled by an internal combustion engine—</w:t>
            </w:r>
          </w:p>
        </w:tc>
        <w:tc>
          <w:tcPr>
            <w:tcW w:w="1705" w:type="dxa"/>
            <w:tcBorders>
              <w:top w:val="nil"/>
              <w:left w:val="nil"/>
              <w:bottom w:val="nil"/>
              <w:right w:val="nil"/>
            </w:tcBorders>
          </w:tcPr>
          <w:p w14:paraId="1911402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70AEB05" w14:textId="77777777" w:rsidTr="00911011">
        <w:trPr>
          <w:cantSplit/>
        </w:trPr>
        <w:tc>
          <w:tcPr>
            <w:tcW w:w="663" w:type="dxa"/>
            <w:tcBorders>
              <w:top w:val="nil"/>
              <w:left w:val="nil"/>
              <w:bottom w:val="nil"/>
              <w:right w:val="nil"/>
            </w:tcBorders>
          </w:tcPr>
          <w:p w14:paraId="0A27DA9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5F92201"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having 4 cylinders or less</w:t>
            </w:r>
          </w:p>
        </w:tc>
        <w:tc>
          <w:tcPr>
            <w:tcW w:w="1705" w:type="dxa"/>
            <w:tcBorders>
              <w:top w:val="nil"/>
              <w:left w:val="nil"/>
              <w:bottom w:val="nil"/>
              <w:right w:val="nil"/>
            </w:tcBorders>
          </w:tcPr>
          <w:p w14:paraId="319A49B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$157.00</w:t>
            </w:r>
          </w:p>
        </w:tc>
      </w:tr>
      <w:tr w:rsidR="002A3021" w:rsidRPr="002A3021" w14:paraId="6EF627BA" w14:textId="77777777" w:rsidTr="00911011">
        <w:trPr>
          <w:cantSplit/>
        </w:trPr>
        <w:tc>
          <w:tcPr>
            <w:tcW w:w="663" w:type="dxa"/>
            <w:tcBorders>
              <w:top w:val="nil"/>
              <w:left w:val="nil"/>
              <w:bottom w:val="nil"/>
              <w:right w:val="nil"/>
            </w:tcBorders>
          </w:tcPr>
          <w:p w14:paraId="48E6C3C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7F0B202"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having 5 or 6 cylinders</w:t>
            </w:r>
          </w:p>
        </w:tc>
        <w:tc>
          <w:tcPr>
            <w:tcW w:w="1705" w:type="dxa"/>
            <w:tcBorders>
              <w:top w:val="nil"/>
              <w:left w:val="nil"/>
              <w:bottom w:val="nil"/>
              <w:right w:val="nil"/>
            </w:tcBorders>
          </w:tcPr>
          <w:p w14:paraId="47E9C9F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$320.00</w:t>
            </w:r>
          </w:p>
        </w:tc>
      </w:tr>
      <w:tr w:rsidR="002A3021" w:rsidRPr="002A3021" w14:paraId="44ACD150" w14:textId="77777777" w:rsidTr="00911011">
        <w:trPr>
          <w:cantSplit/>
        </w:trPr>
        <w:tc>
          <w:tcPr>
            <w:tcW w:w="663" w:type="dxa"/>
            <w:tcBorders>
              <w:top w:val="nil"/>
              <w:left w:val="nil"/>
              <w:bottom w:val="nil"/>
              <w:right w:val="nil"/>
            </w:tcBorders>
          </w:tcPr>
          <w:p w14:paraId="745EF55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9F704A9"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(iii)</w:t>
            </w:r>
            <w:r w:rsidRPr="002A3021">
              <w:rPr>
                <w:rFonts w:eastAsia="Times New Roman"/>
                <w:color w:val="000000"/>
                <w:sz w:val="20"/>
                <w:szCs w:val="20"/>
                <w:lang w:eastAsia="en-AU"/>
                <w14:ligatures w14:val="standardContextual"/>
              </w:rPr>
              <w:tab/>
              <w:t>having 7 or more cylinders</w:t>
            </w:r>
          </w:p>
        </w:tc>
        <w:tc>
          <w:tcPr>
            <w:tcW w:w="1705" w:type="dxa"/>
            <w:tcBorders>
              <w:top w:val="nil"/>
              <w:left w:val="nil"/>
              <w:bottom w:val="nil"/>
              <w:right w:val="nil"/>
            </w:tcBorders>
          </w:tcPr>
          <w:p w14:paraId="147AC38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$462.00</w:t>
            </w:r>
          </w:p>
        </w:tc>
      </w:tr>
      <w:tr w:rsidR="002A3021" w:rsidRPr="002A3021" w14:paraId="41A7D412" w14:textId="77777777" w:rsidTr="00911011">
        <w:trPr>
          <w:cantSplit/>
        </w:trPr>
        <w:tc>
          <w:tcPr>
            <w:tcW w:w="663" w:type="dxa"/>
            <w:tcBorders>
              <w:top w:val="nil"/>
              <w:left w:val="nil"/>
              <w:bottom w:val="nil"/>
              <w:right w:val="nil"/>
            </w:tcBorders>
          </w:tcPr>
          <w:p w14:paraId="34E6C2C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c>
          <w:tcPr>
            <w:tcW w:w="6417" w:type="dxa"/>
            <w:tcBorders>
              <w:top w:val="nil"/>
              <w:left w:val="nil"/>
              <w:bottom w:val="nil"/>
              <w:right w:val="nil"/>
            </w:tcBorders>
          </w:tcPr>
          <w:p w14:paraId="13CB288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registration of a motor vehicle under section 24 of the Act for a period of less than 12 months—the following registration fee:</w:t>
            </w:r>
          </w:p>
        </w:tc>
        <w:tc>
          <w:tcPr>
            <w:tcW w:w="1705" w:type="dxa"/>
            <w:tcBorders>
              <w:top w:val="nil"/>
              <w:left w:val="nil"/>
              <w:bottom w:val="nil"/>
              <w:right w:val="nil"/>
            </w:tcBorders>
          </w:tcPr>
          <w:p w14:paraId="73DEB3E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733B6B5" w14:textId="77777777" w:rsidTr="00911011">
        <w:trPr>
          <w:cantSplit/>
        </w:trPr>
        <w:tc>
          <w:tcPr>
            <w:tcW w:w="663" w:type="dxa"/>
            <w:tcBorders>
              <w:top w:val="nil"/>
              <w:left w:val="nil"/>
              <w:bottom w:val="nil"/>
              <w:right w:val="nil"/>
            </w:tcBorders>
          </w:tcPr>
          <w:p w14:paraId="5E7F90D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EE3EA2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 the case of registration for 1, 2 or 3 quarters—an amount equal to the product of the number of quarters for which the vehicle is to be registered multiplied by 1/4 of the relevant registration fee for 12 months (as set out in a preceding subclause) plus a surcharge of—</w:t>
            </w:r>
          </w:p>
        </w:tc>
        <w:tc>
          <w:tcPr>
            <w:tcW w:w="1705" w:type="dxa"/>
            <w:tcBorders>
              <w:top w:val="nil"/>
              <w:left w:val="nil"/>
              <w:bottom w:val="nil"/>
              <w:right w:val="nil"/>
            </w:tcBorders>
          </w:tcPr>
          <w:p w14:paraId="689A016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bl>
    <w:p w14:paraId="41A060BC" w14:textId="77777777" w:rsidR="00E87C16" w:rsidRDefault="00E87C16">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62196BCA" w14:textId="77777777" w:rsidTr="00911011">
        <w:trPr>
          <w:cantSplit/>
        </w:trPr>
        <w:tc>
          <w:tcPr>
            <w:tcW w:w="663" w:type="dxa"/>
            <w:tcBorders>
              <w:top w:val="nil"/>
              <w:left w:val="nil"/>
              <w:bottom w:val="nil"/>
              <w:right w:val="nil"/>
            </w:tcBorders>
          </w:tcPr>
          <w:p w14:paraId="15F5411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CCF6C51"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in the case of registration for 1 quarter—5.625% of that product; or</w:t>
            </w:r>
          </w:p>
        </w:tc>
        <w:tc>
          <w:tcPr>
            <w:tcW w:w="1705" w:type="dxa"/>
            <w:tcBorders>
              <w:top w:val="nil"/>
              <w:left w:val="nil"/>
              <w:bottom w:val="nil"/>
              <w:right w:val="nil"/>
            </w:tcBorders>
          </w:tcPr>
          <w:p w14:paraId="3C7B528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853FC6D" w14:textId="77777777" w:rsidTr="00911011">
        <w:trPr>
          <w:cantSplit/>
        </w:trPr>
        <w:tc>
          <w:tcPr>
            <w:tcW w:w="663" w:type="dxa"/>
            <w:tcBorders>
              <w:top w:val="nil"/>
              <w:left w:val="nil"/>
              <w:bottom w:val="nil"/>
              <w:right w:val="nil"/>
            </w:tcBorders>
          </w:tcPr>
          <w:p w14:paraId="04491C6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3D40E44"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in the case of registration for 2 quarters—3.75% of that product; or</w:t>
            </w:r>
          </w:p>
        </w:tc>
        <w:tc>
          <w:tcPr>
            <w:tcW w:w="1705" w:type="dxa"/>
            <w:tcBorders>
              <w:top w:val="nil"/>
              <w:left w:val="nil"/>
              <w:bottom w:val="nil"/>
              <w:right w:val="nil"/>
            </w:tcBorders>
          </w:tcPr>
          <w:p w14:paraId="7933EE9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4DA274C" w14:textId="77777777" w:rsidTr="00911011">
        <w:trPr>
          <w:cantSplit/>
        </w:trPr>
        <w:tc>
          <w:tcPr>
            <w:tcW w:w="663" w:type="dxa"/>
            <w:tcBorders>
              <w:top w:val="nil"/>
              <w:left w:val="nil"/>
              <w:bottom w:val="nil"/>
              <w:right w:val="nil"/>
            </w:tcBorders>
          </w:tcPr>
          <w:p w14:paraId="2907D40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C5D5EF1"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(iii)</w:t>
            </w:r>
            <w:r w:rsidRPr="002A3021">
              <w:rPr>
                <w:rFonts w:eastAsia="Times New Roman"/>
                <w:color w:val="000000"/>
                <w:sz w:val="20"/>
                <w:szCs w:val="20"/>
                <w:lang w:eastAsia="en-AU"/>
                <w14:ligatures w14:val="standardContextual"/>
              </w:rPr>
              <w:tab/>
              <w:t>in the case of registration for 3 quarters—1.875% of that product;</w:t>
            </w:r>
          </w:p>
        </w:tc>
        <w:tc>
          <w:tcPr>
            <w:tcW w:w="1705" w:type="dxa"/>
            <w:tcBorders>
              <w:top w:val="nil"/>
              <w:left w:val="nil"/>
              <w:bottom w:val="nil"/>
              <w:right w:val="nil"/>
            </w:tcBorders>
          </w:tcPr>
          <w:p w14:paraId="151013F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E7FAC5E" w14:textId="77777777" w:rsidTr="00911011">
        <w:trPr>
          <w:cantSplit/>
        </w:trPr>
        <w:tc>
          <w:tcPr>
            <w:tcW w:w="663" w:type="dxa"/>
            <w:tcBorders>
              <w:top w:val="nil"/>
              <w:left w:val="nil"/>
              <w:bottom w:val="nil"/>
              <w:right w:val="nil"/>
            </w:tcBorders>
          </w:tcPr>
          <w:p w14:paraId="6022562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050750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in any other case—a fee equal to the product of the number of days for which the vehicle is to be registered multiplied by 1/365 of the relevant registration fee for 12 months (as set out in a preceding subclause) plus a surcharge of—</w:t>
            </w:r>
          </w:p>
        </w:tc>
        <w:tc>
          <w:tcPr>
            <w:tcW w:w="1705" w:type="dxa"/>
            <w:tcBorders>
              <w:top w:val="nil"/>
              <w:left w:val="nil"/>
              <w:bottom w:val="nil"/>
              <w:right w:val="nil"/>
            </w:tcBorders>
          </w:tcPr>
          <w:p w14:paraId="49A588D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2D3D47E" w14:textId="77777777" w:rsidTr="00911011">
        <w:trPr>
          <w:cantSplit/>
        </w:trPr>
        <w:tc>
          <w:tcPr>
            <w:tcW w:w="663" w:type="dxa"/>
            <w:tcBorders>
              <w:top w:val="nil"/>
              <w:left w:val="nil"/>
              <w:bottom w:val="nil"/>
              <w:right w:val="nil"/>
            </w:tcBorders>
          </w:tcPr>
          <w:p w14:paraId="3304938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19D565F"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in the case of registration for less than 6 months—5.625% of that product; or</w:t>
            </w:r>
          </w:p>
        </w:tc>
        <w:tc>
          <w:tcPr>
            <w:tcW w:w="1705" w:type="dxa"/>
            <w:tcBorders>
              <w:top w:val="nil"/>
              <w:left w:val="nil"/>
              <w:bottom w:val="nil"/>
              <w:right w:val="nil"/>
            </w:tcBorders>
          </w:tcPr>
          <w:p w14:paraId="1C0765A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58C6396" w14:textId="77777777" w:rsidTr="00911011">
        <w:trPr>
          <w:cantSplit/>
        </w:trPr>
        <w:tc>
          <w:tcPr>
            <w:tcW w:w="663" w:type="dxa"/>
            <w:tcBorders>
              <w:top w:val="nil"/>
              <w:left w:val="nil"/>
              <w:bottom w:val="nil"/>
              <w:right w:val="nil"/>
            </w:tcBorders>
          </w:tcPr>
          <w:p w14:paraId="738BC64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4429032"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in the case of registration for not less than 6 months but less than 9 months—3.75% of that product; or</w:t>
            </w:r>
          </w:p>
        </w:tc>
        <w:tc>
          <w:tcPr>
            <w:tcW w:w="1705" w:type="dxa"/>
            <w:tcBorders>
              <w:top w:val="nil"/>
              <w:left w:val="nil"/>
              <w:bottom w:val="nil"/>
              <w:right w:val="nil"/>
            </w:tcBorders>
          </w:tcPr>
          <w:p w14:paraId="18A2B87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8E1B959" w14:textId="77777777" w:rsidTr="00911011">
        <w:trPr>
          <w:cantSplit/>
        </w:trPr>
        <w:tc>
          <w:tcPr>
            <w:tcW w:w="663" w:type="dxa"/>
            <w:tcBorders>
              <w:top w:val="nil"/>
              <w:left w:val="nil"/>
              <w:bottom w:val="nil"/>
              <w:right w:val="nil"/>
            </w:tcBorders>
          </w:tcPr>
          <w:p w14:paraId="65D5329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F03383B"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(iii)</w:t>
            </w:r>
            <w:r w:rsidRPr="002A3021">
              <w:rPr>
                <w:rFonts w:eastAsia="Times New Roman"/>
                <w:color w:val="000000"/>
                <w:sz w:val="20"/>
                <w:szCs w:val="20"/>
                <w:lang w:eastAsia="en-AU"/>
                <w14:ligatures w14:val="standardContextual"/>
              </w:rPr>
              <w:tab/>
              <w:t>in the case of registration for not less than 9 months but less than 12 months—1.875% of that product.</w:t>
            </w:r>
          </w:p>
        </w:tc>
        <w:tc>
          <w:tcPr>
            <w:tcW w:w="1705" w:type="dxa"/>
            <w:tcBorders>
              <w:top w:val="nil"/>
              <w:left w:val="nil"/>
              <w:bottom w:val="nil"/>
              <w:right w:val="nil"/>
            </w:tcBorders>
          </w:tcPr>
          <w:p w14:paraId="7990F3B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12924E2A" w14:textId="77777777" w:rsidTr="002B2E13">
        <w:trPr>
          <w:cantSplit/>
        </w:trPr>
        <w:tc>
          <w:tcPr>
            <w:tcW w:w="8785" w:type="dxa"/>
            <w:gridSpan w:val="3"/>
            <w:tcBorders>
              <w:top w:val="nil"/>
              <w:left w:val="nil"/>
              <w:bottom w:val="nil"/>
              <w:right w:val="nil"/>
            </w:tcBorders>
          </w:tcPr>
          <w:p w14:paraId="1690627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3—Registration fee—renewal of registration under periodic payment scheme (section 24A of Act)</w:t>
            </w:r>
          </w:p>
        </w:tc>
      </w:tr>
      <w:tr w:rsidR="002A3021" w:rsidRPr="002A3021" w14:paraId="56CCBCC8" w14:textId="77777777" w:rsidTr="00911011">
        <w:trPr>
          <w:cantSplit/>
        </w:trPr>
        <w:tc>
          <w:tcPr>
            <w:tcW w:w="663" w:type="dxa"/>
            <w:tcBorders>
              <w:top w:val="nil"/>
              <w:left w:val="nil"/>
              <w:bottom w:val="nil"/>
              <w:right w:val="nil"/>
            </w:tcBorders>
          </w:tcPr>
          <w:p w14:paraId="11CD525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CDC861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renewal of registration of a motor vehicle pursuant to the periodic payment scheme under section 24A of the Act where periodic payments are made monthly—a registration fee of an amount equal to 1/3 of the registration fee for 1 quarter for a motor vehicle of the relevant kind (determined in accordance with clause 2(3)).</w:t>
            </w:r>
          </w:p>
        </w:tc>
        <w:tc>
          <w:tcPr>
            <w:tcW w:w="1705" w:type="dxa"/>
            <w:tcBorders>
              <w:top w:val="nil"/>
              <w:left w:val="nil"/>
              <w:bottom w:val="nil"/>
              <w:right w:val="nil"/>
            </w:tcBorders>
          </w:tcPr>
          <w:p w14:paraId="0311A3F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036983BA" w14:textId="77777777" w:rsidTr="002B2E13">
        <w:trPr>
          <w:cantSplit/>
        </w:trPr>
        <w:tc>
          <w:tcPr>
            <w:tcW w:w="8785" w:type="dxa"/>
            <w:gridSpan w:val="3"/>
            <w:tcBorders>
              <w:top w:val="nil"/>
              <w:left w:val="nil"/>
              <w:bottom w:val="nil"/>
              <w:right w:val="nil"/>
            </w:tcBorders>
          </w:tcPr>
          <w:p w14:paraId="0773346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4—Administration fees (sections 24 and 24A of Act)</w:t>
            </w:r>
          </w:p>
        </w:tc>
      </w:tr>
      <w:tr w:rsidR="002A3021" w:rsidRPr="002A3021" w14:paraId="4B0EA2CA" w14:textId="77777777" w:rsidTr="00911011">
        <w:trPr>
          <w:cantSplit/>
        </w:trPr>
        <w:tc>
          <w:tcPr>
            <w:tcW w:w="663" w:type="dxa"/>
            <w:tcBorders>
              <w:top w:val="nil"/>
              <w:left w:val="nil"/>
              <w:bottom w:val="nil"/>
              <w:right w:val="nil"/>
            </w:tcBorders>
          </w:tcPr>
          <w:p w14:paraId="01EF236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E2D0B8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in addition to the registration fee) for—</w:t>
            </w:r>
          </w:p>
        </w:tc>
        <w:tc>
          <w:tcPr>
            <w:tcW w:w="1705" w:type="dxa"/>
            <w:tcBorders>
              <w:top w:val="nil"/>
              <w:left w:val="nil"/>
              <w:bottom w:val="nil"/>
              <w:right w:val="nil"/>
            </w:tcBorders>
          </w:tcPr>
          <w:p w14:paraId="31209C0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CF77C98" w14:textId="77777777" w:rsidTr="00911011">
        <w:trPr>
          <w:cantSplit/>
        </w:trPr>
        <w:tc>
          <w:tcPr>
            <w:tcW w:w="663" w:type="dxa"/>
            <w:tcBorders>
              <w:top w:val="nil"/>
              <w:left w:val="nil"/>
              <w:bottom w:val="nil"/>
              <w:right w:val="nil"/>
            </w:tcBorders>
          </w:tcPr>
          <w:p w14:paraId="0B880EF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DB26BD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initial registration or re</w:t>
            </w:r>
            <w:r w:rsidRPr="002A3021">
              <w:rPr>
                <w:rFonts w:eastAsia="Times New Roman"/>
                <w:color w:val="000000"/>
                <w:sz w:val="20"/>
                <w:szCs w:val="20"/>
                <w:lang w:eastAsia="en-AU"/>
                <w14:ligatures w14:val="standardContextual"/>
              </w:rPr>
              <w:noBreakHyphen/>
              <w:t>registration of a motor vehicle under section 24 of the Act</w:t>
            </w:r>
          </w:p>
        </w:tc>
        <w:tc>
          <w:tcPr>
            <w:tcW w:w="1705" w:type="dxa"/>
            <w:tcBorders>
              <w:top w:val="nil"/>
              <w:left w:val="nil"/>
              <w:bottom w:val="nil"/>
              <w:right w:val="nil"/>
            </w:tcBorders>
          </w:tcPr>
          <w:p w14:paraId="40E143E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0DE2F127" w14:textId="77777777" w:rsidTr="00911011">
        <w:trPr>
          <w:cantSplit/>
        </w:trPr>
        <w:tc>
          <w:tcPr>
            <w:tcW w:w="663" w:type="dxa"/>
            <w:tcBorders>
              <w:top w:val="nil"/>
              <w:left w:val="nil"/>
              <w:bottom w:val="nil"/>
              <w:right w:val="nil"/>
            </w:tcBorders>
          </w:tcPr>
          <w:p w14:paraId="5D738E1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51FBF8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renewal of registration of a motor vehicle under section 24 of the Act</w:t>
            </w:r>
          </w:p>
        </w:tc>
        <w:tc>
          <w:tcPr>
            <w:tcW w:w="1705" w:type="dxa"/>
            <w:tcBorders>
              <w:top w:val="nil"/>
              <w:left w:val="nil"/>
              <w:bottom w:val="nil"/>
              <w:right w:val="nil"/>
            </w:tcBorders>
          </w:tcPr>
          <w:p w14:paraId="1E03ABC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A3021" w:rsidRPr="002A3021" w14:paraId="0D0B0766" w14:textId="77777777" w:rsidTr="00911011">
        <w:trPr>
          <w:cantSplit/>
        </w:trPr>
        <w:tc>
          <w:tcPr>
            <w:tcW w:w="663" w:type="dxa"/>
            <w:tcBorders>
              <w:top w:val="nil"/>
              <w:left w:val="nil"/>
              <w:bottom w:val="nil"/>
              <w:right w:val="nil"/>
            </w:tcBorders>
          </w:tcPr>
          <w:p w14:paraId="564A2D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6C23F8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renewal of registration pursuant to the periodic payment scheme under section 24A of the Act—</w:t>
            </w:r>
          </w:p>
        </w:tc>
        <w:tc>
          <w:tcPr>
            <w:tcW w:w="1705" w:type="dxa"/>
            <w:tcBorders>
              <w:top w:val="nil"/>
              <w:left w:val="nil"/>
              <w:bottom w:val="nil"/>
              <w:right w:val="nil"/>
            </w:tcBorders>
          </w:tcPr>
          <w:p w14:paraId="150C1EE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937735B" w14:textId="77777777" w:rsidTr="00911011">
        <w:trPr>
          <w:cantSplit/>
        </w:trPr>
        <w:tc>
          <w:tcPr>
            <w:tcW w:w="663" w:type="dxa"/>
            <w:tcBorders>
              <w:top w:val="nil"/>
              <w:left w:val="nil"/>
              <w:bottom w:val="nil"/>
              <w:right w:val="nil"/>
            </w:tcBorders>
          </w:tcPr>
          <w:p w14:paraId="7B27885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6A6DCA8"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if payment is made monthly—per payment</w:t>
            </w:r>
          </w:p>
        </w:tc>
        <w:tc>
          <w:tcPr>
            <w:tcW w:w="1705" w:type="dxa"/>
            <w:tcBorders>
              <w:top w:val="nil"/>
              <w:left w:val="nil"/>
              <w:bottom w:val="nil"/>
              <w:right w:val="nil"/>
            </w:tcBorders>
          </w:tcPr>
          <w:p w14:paraId="3A6BEB8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$2.00</w:t>
            </w:r>
          </w:p>
        </w:tc>
      </w:tr>
      <w:tr w:rsidR="002A3021" w:rsidRPr="002A3021" w14:paraId="3513F4A0" w14:textId="77777777" w:rsidTr="00911011">
        <w:trPr>
          <w:cantSplit/>
        </w:trPr>
        <w:tc>
          <w:tcPr>
            <w:tcW w:w="663" w:type="dxa"/>
            <w:tcBorders>
              <w:top w:val="nil"/>
              <w:left w:val="nil"/>
              <w:bottom w:val="nil"/>
              <w:right w:val="nil"/>
            </w:tcBorders>
          </w:tcPr>
          <w:p w14:paraId="3F5157A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E9D7E16"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in any other case</w:t>
            </w:r>
          </w:p>
        </w:tc>
        <w:tc>
          <w:tcPr>
            <w:tcW w:w="1705" w:type="dxa"/>
            <w:tcBorders>
              <w:top w:val="nil"/>
              <w:left w:val="nil"/>
              <w:bottom w:val="nil"/>
              <w:right w:val="nil"/>
            </w:tcBorders>
          </w:tcPr>
          <w:p w14:paraId="6AFADD9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$6.00</w:t>
            </w:r>
          </w:p>
        </w:tc>
      </w:tr>
      <w:tr w:rsidR="002B2E13" w:rsidRPr="002A3021" w14:paraId="50B90CF9" w14:textId="77777777" w:rsidTr="002B2E13">
        <w:trPr>
          <w:cantSplit/>
        </w:trPr>
        <w:tc>
          <w:tcPr>
            <w:tcW w:w="8785" w:type="dxa"/>
            <w:gridSpan w:val="3"/>
            <w:tcBorders>
              <w:top w:val="nil"/>
              <w:left w:val="nil"/>
              <w:bottom w:val="nil"/>
              <w:right w:val="nil"/>
            </w:tcBorders>
          </w:tcPr>
          <w:p w14:paraId="599C60E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5—Conditional registration (section 25 of Act)</w:t>
            </w:r>
          </w:p>
        </w:tc>
      </w:tr>
      <w:tr w:rsidR="002A3021" w:rsidRPr="002A3021" w14:paraId="386F315A" w14:textId="77777777" w:rsidTr="00911011">
        <w:trPr>
          <w:cantSplit/>
        </w:trPr>
        <w:tc>
          <w:tcPr>
            <w:tcW w:w="663" w:type="dxa"/>
            <w:tcBorders>
              <w:top w:val="nil"/>
              <w:left w:val="nil"/>
              <w:bottom w:val="nil"/>
              <w:right w:val="nil"/>
            </w:tcBorders>
          </w:tcPr>
          <w:p w14:paraId="663382B3"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6129E97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registration of a motor vehicle under section 25 of the Act—</w:t>
            </w:r>
          </w:p>
        </w:tc>
        <w:tc>
          <w:tcPr>
            <w:tcW w:w="1705" w:type="dxa"/>
            <w:tcBorders>
              <w:top w:val="nil"/>
              <w:left w:val="nil"/>
              <w:bottom w:val="nil"/>
              <w:right w:val="nil"/>
            </w:tcBorders>
          </w:tcPr>
          <w:p w14:paraId="1FEF3FCC"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1AB3954" w14:textId="77777777" w:rsidTr="00911011">
        <w:trPr>
          <w:cantSplit/>
        </w:trPr>
        <w:tc>
          <w:tcPr>
            <w:tcW w:w="663" w:type="dxa"/>
            <w:tcBorders>
              <w:top w:val="nil"/>
              <w:left w:val="nil"/>
              <w:bottom w:val="nil"/>
              <w:right w:val="nil"/>
            </w:tcBorders>
          </w:tcPr>
          <w:p w14:paraId="1CC5250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22A8DDB"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 the case of—</w:t>
            </w:r>
          </w:p>
        </w:tc>
        <w:tc>
          <w:tcPr>
            <w:tcW w:w="1705" w:type="dxa"/>
            <w:tcBorders>
              <w:top w:val="nil"/>
              <w:left w:val="nil"/>
              <w:bottom w:val="nil"/>
              <w:right w:val="nil"/>
            </w:tcBorders>
          </w:tcPr>
          <w:p w14:paraId="4590DE41"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ECCEC93" w14:textId="77777777" w:rsidTr="00911011">
        <w:trPr>
          <w:cantSplit/>
        </w:trPr>
        <w:tc>
          <w:tcPr>
            <w:tcW w:w="663" w:type="dxa"/>
            <w:tcBorders>
              <w:top w:val="nil"/>
              <w:left w:val="nil"/>
              <w:bottom w:val="nil"/>
              <w:right w:val="nil"/>
            </w:tcBorders>
          </w:tcPr>
          <w:p w14:paraId="00C343E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E11B0F7"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a heavy vehicle that is a special purpose vehicle (type O); or</w:t>
            </w:r>
          </w:p>
        </w:tc>
        <w:tc>
          <w:tcPr>
            <w:tcW w:w="1705" w:type="dxa"/>
            <w:tcBorders>
              <w:top w:val="nil"/>
              <w:left w:val="nil"/>
              <w:bottom w:val="nil"/>
              <w:right w:val="nil"/>
            </w:tcBorders>
          </w:tcPr>
          <w:p w14:paraId="67BED3B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A15A2F3" w14:textId="77777777" w:rsidTr="00911011">
        <w:trPr>
          <w:cantSplit/>
        </w:trPr>
        <w:tc>
          <w:tcPr>
            <w:tcW w:w="663" w:type="dxa"/>
            <w:tcBorders>
              <w:top w:val="nil"/>
              <w:left w:val="nil"/>
              <w:bottom w:val="nil"/>
              <w:right w:val="nil"/>
            </w:tcBorders>
          </w:tcPr>
          <w:p w14:paraId="369C75C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B5E495A"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a heavy vehicle that is a special purpose vehicle (type T) (other than an emergency response vehicle or a vehicle that is used principally for the purpose of fire fighting and is fitted with fire fighting equipment),</w:t>
            </w:r>
          </w:p>
        </w:tc>
        <w:tc>
          <w:tcPr>
            <w:tcW w:w="1705" w:type="dxa"/>
            <w:tcBorders>
              <w:top w:val="nil"/>
              <w:left w:val="nil"/>
              <w:bottom w:val="nil"/>
              <w:right w:val="nil"/>
            </w:tcBorders>
          </w:tcPr>
          <w:p w14:paraId="5B30CC2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10A3B04" w14:textId="77777777" w:rsidTr="00911011">
        <w:trPr>
          <w:cantSplit/>
        </w:trPr>
        <w:tc>
          <w:tcPr>
            <w:tcW w:w="663" w:type="dxa"/>
            <w:tcBorders>
              <w:top w:val="nil"/>
              <w:left w:val="nil"/>
              <w:bottom w:val="nil"/>
              <w:right w:val="nil"/>
            </w:tcBorders>
          </w:tcPr>
          <w:p w14:paraId="2B1944D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37353B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 fee equal to the product of the number of quarters for which the vehicle is to be registered multiplied by 1 quarter of the amount that would be the registration fee for registration of the vehicle under section 24 of the Act for the financial year in which the registration is to take effect;</w:t>
            </w:r>
          </w:p>
        </w:tc>
        <w:tc>
          <w:tcPr>
            <w:tcW w:w="1705" w:type="dxa"/>
            <w:tcBorders>
              <w:top w:val="nil"/>
              <w:left w:val="nil"/>
              <w:bottom w:val="nil"/>
              <w:right w:val="nil"/>
            </w:tcBorders>
          </w:tcPr>
          <w:p w14:paraId="7A5F31E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bl>
    <w:p w14:paraId="2FC32FA2" w14:textId="77777777" w:rsidR="00E87C16" w:rsidRDefault="00E87C16">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1A3F7152" w14:textId="77777777" w:rsidTr="00911011">
        <w:trPr>
          <w:cantSplit/>
        </w:trPr>
        <w:tc>
          <w:tcPr>
            <w:tcW w:w="663" w:type="dxa"/>
            <w:tcBorders>
              <w:top w:val="nil"/>
              <w:left w:val="nil"/>
              <w:bottom w:val="nil"/>
              <w:right w:val="nil"/>
            </w:tcBorders>
          </w:tcPr>
          <w:p w14:paraId="7086E90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2A6DD4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in the case of a heavy vehicle that is a road train, B</w:t>
            </w:r>
            <w:r w:rsidRPr="002A3021">
              <w:rPr>
                <w:rFonts w:eastAsia="Times New Roman"/>
                <w:color w:val="000000"/>
                <w:sz w:val="20"/>
                <w:szCs w:val="20"/>
                <w:lang w:eastAsia="en-AU"/>
                <w14:ligatures w14:val="standardContextual"/>
              </w:rPr>
              <w:noBreakHyphen/>
              <w:t xml:space="preserve">double or a vehicle of a class referred to in </w:t>
            </w:r>
            <w:hyperlink w:anchor="idd8f2fae3_1584_4981_8acc_ae25cc636c0c_a" w:history="1">
              <w:r w:rsidRPr="002A3021">
                <w:rPr>
                  <w:rFonts w:eastAsia="Times New Roman"/>
                  <w:color w:val="000000"/>
                  <w:sz w:val="20"/>
                  <w:szCs w:val="20"/>
                  <w:lang w:eastAsia="en-AU"/>
                  <w14:ligatures w14:val="standardContextual"/>
                </w:rPr>
                <w:t>regulation 26(f)</w:t>
              </w:r>
            </w:hyperlink>
            <w:r w:rsidRPr="002A3021">
              <w:rPr>
                <w:rFonts w:eastAsia="Times New Roman"/>
                <w:color w:val="000000"/>
                <w:sz w:val="20"/>
                <w:szCs w:val="20"/>
                <w:lang w:eastAsia="en-AU"/>
                <w14:ligatures w14:val="standardContextual"/>
              </w:rPr>
              <w:t>—a fee equal to the registration fee that would be payable for registration of the vehicle under section 24 of the Act;</w:t>
            </w:r>
          </w:p>
        </w:tc>
        <w:tc>
          <w:tcPr>
            <w:tcW w:w="1705" w:type="dxa"/>
            <w:tcBorders>
              <w:top w:val="nil"/>
              <w:left w:val="nil"/>
              <w:bottom w:val="nil"/>
              <w:right w:val="nil"/>
            </w:tcBorders>
          </w:tcPr>
          <w:p w14:paraId="5683D2E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55CDBE3" w14:textId="77777777" w:rsidTr="00911011">
        <w:trPr>
          <w:cantSplit/>
        </w:trPr>
        <w:tc>
          <w:tcPr>
            <w:tcW w:w="663" w:type="dxa"/>
            <w:tcBorders>
              <w:top w:val="nil"/>
              <w:left w:val="nil"/>
              <w:bottom w:val="nil"/>
              <w:right w:val="nil"/>
            </w:tcBorders>
          </w:tcPr>
          <w:p w14:paraId="0EEB092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9CA865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in any other case—no fee.</w:t>
            </w:r>
          </w:p>
        </w:tc>
        <w:tc>
          <w:tcPr>
            <w:tcW w:w="1705" w:type="dxa"/>
            <w:tcBorders>
              <w:top w:val="nil"/>
              <w:left w:val="nil"/>
              <w:bottom w:val="nil"/>
              <w:right w:val="nil"/>
            </w:tcBorders>
          </w:tcPr>
          <w:p w14:paraId="198F9BE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B77DF23" w14:textId="77777777" w:rsidTr="00911011">
        <w:trPr>
          <w:cantSplit/>
        </w:trPr>
        <w:tc>
          <w:tcPr>
            <w:tcW w:w="663" w:type="dxa"/>
            <w:tcBorders>
              <w:top w:val="nil"/>
              <w:left w:val="nil"/>
              <w:bottom w:val="nil"/>
              <w:right w:val="nil"/>
            </w:tcBorders>
          </w:tcPr>
          <w:p w14:paraId="466C6DAE"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48B87A5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whether or not a registration fee is payable under subclause (1)) for registration of a motor vehicle under section 25 of the Act—</w:t>
            </w:r>
          </w:p>
        </w:tc>
        <w:tc>
          <w:tcPr>
            <w:tcW w:w="1705" w:type="dxa"/>
            <w:tcBorders>
              <w:top w:val="nil"/>
              <w:left w:val="nil"/>
              <w:bottom w:val="nil"/>
              <w:right w:val="nil"/>
            </w:tcBorders>
          </w:tcPr>
          <w:p w14:paraId="683B0691"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2DEA2EC" w14:textId="77777777" w:rsidTr="00911011">
        <w:trPr>
          <w:cantSplit/>
        </w:trPr>
        <w:tc>
          <w:tcPr>
            <w:tcW w:w="663" w:type="dxa"/>
            <w:tcBorders>
              <w:top w:val="nil"/>
              <w:left w:val="nil"/>
              <w:bottom w:val="nil"/>
              <w:right w:val="nil"/>
            </w:tcBorders>
          </w:tcPr>
          <w:p w14:paraId="00B8223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305BCC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initial registration or re</w:t>
            </w:r>
            <w:r w:rsidRPr="002A3021">
              <w:rPr>
                <w:rFonts w:eastAsia="Times New Roman"/>
                <w:color w:val="000000"/>
                <w:sz w:val="20"/>
                <w:szCs w:val="20"/>
                <w:lang w:eastAsia="en-AU"/>
                <w14:ligatures w14:val="standardContextual"/>
              </w:rPr>
              <w:noBreakHyphen/>
              <w:t>registration of a motor vehicle</w:t>
            </w:r>
          </w:p>
        </w:tc>
        <w:tc>
          <w:tcPr>
            <w:tcW w:w="1705" w:type="dxa"/>
            <w:tcBorders>
              <w:top w:val="nil"/>
              <w:left w:val="nil"/>
              <w:bottom w:val="nil"/>
              <w:right w:val="nil"/>
            </w:tcBorders>
          </w:tcPr>
          <w:p w14:paraId="7E26D5A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1561FBA9" w14:textId="77777777" w:rsidTr="00911011">
        <w:trPr>
          <w:cantSplit/>
        </w:trPr>
        <w:tc>
          <w:tcPr>
            <w:tcW w:w="663" w:type="dxa"/>
            <w:tcBorders>
              <w:top w:val="nil"/>
              <w:left w:val="nil"/>
              <w:bottom w:val="nil"/>
              <w:right w:val="nil"/>
            </w:tcBorders>
          </w:tcPr>
          <w:p w14:paraId="221D0BB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F57D02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renewal of registration of a motor vehicle</w:t>
            </w:r>
          </w:p>
        </w:tc>
        <w:tc>
          <w:tcPr>
            <w:tcW w:w="1705" w:type="dxa"/>
            <w:tcBorders>
              <w:top w:val="nil"/>
              <w:left w:val="nil"/>
              <w:bottom w:val="nil"/>
              <w:right w:val="nil"/>
            </w:tcBorders>
          </w:tcPr>
          <w:p w14:paraId="76D99CD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A3021" w:rsidRPr="002A3021" w14:paraId="1B16AB9D" w14:textId="77777777" w:rsidTr="00911011">
        <w:trPr>
          <w:cantSplit/>
        </w:trPr>
        <w:tc>
          <w:tcPr>
            <w:tcW w:w="663" w:type="dxa"/>
            <w:tcBorders>
              <w:top w:val="nil"/>
              <w:left w:val="nil"/>
              <w:bottom w:val="nil"/>
              <w:right w:val="nil"/>
            </w:tcBorders>
          </w:tcPr>
          <w:p w14:paraId="6B002E1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c>
          <w:tcPr>
            <w:tcW w:w="6417" w:type="dxa"/>
            <w:tcBorders>
              <w:top w:val="nil"/>
              <w:left w:val="nil"/>
              <w:bottom w:val="nil"/>
              <w:right w:val="nil"/>
            </w:tcBorders>
          </w:tcPr>
          <w:p w14:paraId="00F48B2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If a registration fee is payable for the registration of a motor vehicle under section 25 of the Act and the period of registration is less than 12 months, a surcharge of the amount prescribed in clause 2(3) is payable in addition to the registration fee and administration fee.</w:t>
            </w:r>
          </w:p>
        </w:tc>
        <w:tc>
          <w:tcPr>
            <w:tcW w:w="1705" w:type="dxa"/>
            <w:tcBorders>
              <w:top w:val="nil"/>
              <w:left w:val="nil"/>
              <w:bottom w:val="nil"/>
              <w:right w:val="nil"/>
            </w:tcBorders>
          </w:tcPr>
          <w:p w14:paraId="408A777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631E9E88" w14:textId="77777777" w:rsidTr="002B2E13">
        <w:trPr>
          <w:cantSplit/>
        </w:trPr>
        <w:tc>
          <w:tcPr>
            <w:tcW w:w="8785" w:type="dxa"/>
            <w:gridSpan w:val="3"/>
            <w:tcBorders>
              <w:top w:val="nil"/>
              <w:left w:val="nil"/>
              <w:bottom w:val="nil"/>
              <w:right w:val="nil"/>
            </w:tcBorders>
          </w:tcPr>
          <w:p w14:paraId="4FC263A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6—Transfer of registration</w:t>
            </w:r>
          </w:p>
        </w:tc>
      </w:tr>
      <w:tr w:rsidR="002A3021" w:rsidRPr="002A3021" w14:paraId="339172FA" w14:textId="77777777" w:rsidTr="00911011">
        <w:trPr>
          <w:cantSplit/>
        </w:trPr>
        <w:tc>
          <w:tcPr>
            <w:tcW w:w="663" w:type="dxa"/>
            <w:tcBorders>
              <w:top w:val="nil"/>
              <w:left w:val="nil"/>
              <w:bottom w:val="nil"/>
              <w:right w:val="nil"/>
            </w:tcBorders>
          </w:tcPr>
          <w:p w14:paraId="28B4AA8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35FF2F8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transfer of the registration of a motor vehicle</w:t>
            </w:r>
          </w:p>
        </w:tc>
        <w:tc>
          <w:tcPr>
            <w:tcW w:w="1705" w:type="dxa"/>
            <w:tcBorders>
              <w:top w:val="nil"/>
              <w:left w:val="nil"/>
              <w:bottom w:val="nil"/>
              <w:right w:val="nil"/>
            </w:tcBorders>
          </w:tcPr>
          <w:p w14:paraId="19CEF4C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00A15AC9" w14:textId="77777777" w:rsidTr="00911011">
        <w:trPr>
          <w:cantSplit/>
        </w:trPr>
        <w:tc>
          <w:tcPr>
            <w:tcW w:w="663" w:type="dxa"/>
            <w:tcBorders>
              <w:top w:val="nil"/>
              <w:left w:val="nil"/>
              <w:bottom w:val="nil"/>
              <w:right w:val="nil"/>
            </w:tcBorders>
          </w:tcPr>
          <w:p w14:paraId="6DF49DE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5C59E8B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Additional fee for late payment of the fee prescribed in subclause (1)</w:t>
            </w:r>
          </w:p>
        </w:tc>
        <w:tc>
          <w:tcPr>
            <w:tcW w:w="1705" w:type="dxa"/>
            <w:tcBorders>
              <w:top w:val="nil"/>
              <w:left w:val="nil"/>
              <w:bottom w:val="nil"/>
              <w:right w:val="nil"/>
            </w:tcBorders>
          </w:tcPr>
          <w:p w14:paraId="00420AB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$105.00</w:t>
            </w:r>
          </w:p>
        </w:tc>
      </w:tr>
      <w:tr w:rsidR="002B2E13" w:rsidRPr="002A3021" w14:paraId="65420CEB" w14:textId="77777777" w:rsidTr="002B2E13">
        <w:trPr>
          <w:cantSplit/>
        </w:trPr>
        <w:tc>
          <w:tcPr>
            <w:tcW w:w="8785" w:type="dxa"/>
            <w:gridSpan w:val="3"/>
            <w:tcBorders>
              <w:top w:val="nil"/>
              <w:left w:val="nil"/>
              <w:bottom w:val="nil"/>
              <w:right w:val="nil"/>
            </w:tcBorders>
          </w:tcPr>
          <w:p w14:paraId="492477C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7—Cancellation of registration</w:t>
            </w:r>
          </w:p>
        </w:tc>
      </w:tr>
      <w:tr w:rsidR="002A3021" w:rsidRPr="002A3021" w14:paraId="4A305B7B" w14:textId="77777777" w:rsidTr="00911011">
        <w:trPr>
          <w:cantSplit/>
        </w:trPr>
        <w:tc>
          <w:tcPr>
            <w:tcW w:w="663" w:type="dxa"/>
            <w:tcBorders>
              <w:top w:val="nil"/>
              <w:left w:val="nil"/>
              <w:bottom w:val="nil"/>
              <w:right w:val="nil"/>
            </w:tcBorders>
          </w:tcPr>
          <w:p w14:paraId="31F67E2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852250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cancellation of the registration of a motor vehicle</w:t>
            </w:r>
          </w:p>
        </w:tc>
        <w:tc>
          <w:tcPr>
            <w:tcW w:w="1705" w:type="dxa"/>
            <w:tcBorders>
              <w:top w:val="nil"/>
              <w:left w:val="nil"/>
              <w:bottom w:val="nil"/>
              <w:right w:val="nil"/>
            </w:tcBorders>
          </w:tcPr>
          <w:p w14:paraId="6264A58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03B17589" w14:textId="77777777" w:rsidTr="002B2E13">
        <w:trPr>
          <w:cantSplit/>
        </w:trPr>
        <w:tc>
          <w:tcPr>
            <w:tcW w:w="8785" w:type="dxa"/>
            <w:gridSpan w:val="3"/>
            <w:tcBorders>
              <w:top w:val="nil"/>
              <w:left w:val="nil"/>
              <w:bottom w:val="nil"/>
              <w:right w:val="nil"/>
            </w:tcBorders>
          </w:tcPr>
          <w:p w14:paraId="3C32532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8—Duplicate certificates of registration</w:t>
            </w:r>
          </w:p>
        </w:tc>
      </w:tr>
      <w:tr w:rsidR="002A3021" w:rsidRPr="002A3021" w14:paraId="11275F3B" w14:textId="77777777" w:rsidTr="00911011">
        <w:trPr>
          <w:cantSplit/>
        </w:trPr>
        <w:tc>
          <w:tcPr>
            <w:tcW w:w="663" w:type="dxa"/>
            <w:tcBorders>
              <w:top w:val="nil"/>
              <w:left w:val="nil"/>
              <w:bottom w:val="nil"/>
              <w:right w:val="nil"/>
            </w:tcBorders>
          </w:tcPr>
          <w:p w14:paraId="49F6C19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A6CA56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certificate of registration</w:t>
            </w:r>
          </w:p>
        </w:tc>
        <w:tc>
          <w:tcPr>
            <w:tcW w:w="1705" w:type="dxa"/>
            <w:tcBorders>
              <w:top w:val="nil"/>
              <w:left w:val="nil"/>
              <w:bottom w:val="nil"/>
              <w:right w:val="nil"/>
            </w:tcBorders>
          </w:tcPr>
          <w:p w14:paraId="55113B9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171E051E" w14:textId="77777777" w:rsidTr="002B2E13">
        <w:trPr>
          <w:cantSplit/>
        </w:trPr>
        <w:tc>
          <w:tcPr>
            <w:tcW w:w="8785" w:type="dxa"/>
            <w:gridSpan w:val="3"/>
            <w:tcBorders>
              <w:top w:val="nil"/>
              <w:left w:val="nil"/>
              <w:bottom w:val="nil"/>
              <w:right w:val="nil"/>
            </w:tcBorders>
          </w:tcPr>
          <w:p w14:paraId="2E7D1255"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9—Registration details certificate</w:t>
            </w:r>
          </w:p>
        </w:tc>
      </w:tr>
      <w:tr w:rsidR="002A3021" w:rsidRPr="002A3021" w14:paraId="72D6E101" w14:textId="77777777" w:rsidTr="00911011">
        <w:trPr>
          <w:cantSplit/>
        </w:trPr>
        <w:tc>
          <w:tcPr>
            <w:tcW w:w="663" w:type="dxa"/>
            <w:tcBorders>
              <w:top w:val="nil"/>
              <w:left w:val="nil"/>
              <w:bottom w:val="nil"/>
              <w:right w:val="nil"/>
            </w:tcBorders>
          </w:tcPr>
          <w:p w14:paraId="75B70BB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A4868B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registration details certificate (when issued on application by the owner of the motor vehicle)</w:t>
            </w:r>
          </w:p>
        </w:tc>
        <w:tc>
          <w:tcPr>
            <w:tcW w:w="1705" w:type="dxa"/>
            <w:tcBorders>
              <w:top w:val="nil"/>
              <w:left w:val="nil"/>
              <w:bottom w:val="nil"/>
              <w:right w:val="nil"/>
            </w:tcBorders>
          </w:tcPr>
          <w:p w14:paraId="16E5396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3F9B14B5" w14:textId="77777777" w:rsidTr="002B2E13">
        <w:trPr>
          <w:cantSplit/>
        </w:trPr>
        <w:tc>
          <w:tcPr>
            <w:tcW w:w="8785" w:type="dxa"/>
            <w:gridSpan w:val="3"/>
            <w:tcBorders>
              <w:top w:val="nil"/>
              <w:left w:val="nil"/>
              <w:bottom w:val="nil"/>
              <w:right w:val="nil"/>
            </w:tcBorders>
          </w:tcPr>
          <w:p w14:paraId="3882C7F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10—Permit to drive an unregistered motor vehicle</w:t>
            </w:r>
          </w:p>
        </w:tc>
      </w:tr>
      <w:tr w:rsidR="002A3021" w:rsidRPr="002A3021" w14:paraId="7A3F13F4" w14:textId="77777777" w:rsidTr="00911011">
        <w:trPr>
          <w:cantSplit/>
        </w:trPr>
        <w:tc>
          <w:tcPr>
            <w:tcW w:w="663" w:type="dxa"/>
            <w:tcBorders>
              <w:top w:val="nil"/>
              <w:left w:val="nil"/>
              <w:bottom w:val="nil"/>
              <w:right w:val="nil"/>
            </w:tcBorders>
          </w:tcPr>
          <w:p w14:paraId="3B76279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ED8A7E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w:t>
            </w:r>
          </w:p>
        </w:tc>
        <w:tc>
          <w:tcPr>
            <w:tcW w:w="1705" w:type="dxa"/>
            <w:tcBorders>
              <w:top w:val="nil"/>
              <w:left w:val="nil"/>
              <w:bottom w:val="nil"/>
              <w:right w:val="nil"/>
            </w:tcBorders>
          </w:tcPr>
          <w:p w14:paraId="18AE855E"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5EAF560" w14:textId="77777777" w:rsidTr="00911011">
        <w:trPr>
          <w:cantSplit/>
        </w:trPr>
        <w:tc>
          <w:tcPr>
            <w:tcW w:w="663" w:type="dxa"/>
            <w:tcBorders>
              <w:top w:val="nil"/>
              <w:left w:val="nil"/>
              <w:bottom w:val="nil"/>
              <w:right w:val="nil"/>
            </w:tcBorders>
          </w:tcPr>
          <w:p w14:paraId="60ED694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EEDC44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permit under section 16(1)(c)(i) of the Act</w:t>
            </w:r>
          </w:p>
        </w:tc>
        <w:tc>
          <w:tcPr>
            <w:tcW w:w="1705" w:type="dxa"/>
            <w:tcBorders>
              <w:top w:val="nil"/>
              <w:left w:val="nil"/>
              <w:bottom w:val="nil"/>
              <w:right w:val="nil"/>
            </w:tcBorders>
          </w:tcPr>
          <w:p w14:paraId="5290BE8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A3021" w:rsidRPr="002A3021" w14:paraId="329D3F25" w14:textId="77777777" w:rsidTr="00911011">
        <w:trPr>
          <w:cantSplit/>
        </w:trPr>
        <w:tc>
          <w:tcPr>
            <w:tcW w:w="663" w:type="dxa"/>
            <w:tcBorders>
              <w:top w:val="nil"/>
              <w:left w:val="nil"/>
              <w:bottom w:val="nil"/>
              <w:right w:val="nil"/>
            </w:tcBorders>
          </w:tcPr>
          <w:p w14:paraId="71D428A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328AB7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 permit under section 16(1)(c)(ii) of the Act</w:t>
            </w:r>
          </w:p>
        </w:tc>
        <w:tc>
          <w:tcPr>
            <w:tcW w:w="1705" w:type="dxa"/>
            <w:tcBorders>
              <w:top w:val="nil"/>
              <w:left w:val="nil"/>
              <w:bottom w:val="nil"/>
              <w:right w:val="nil"/>
            </w:tcBorders>
          </w:tcPr>
          <w:p w14:paraId="7A47E15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B2E13" w:rsidRPr="002A3021" w14:paraId="48035194" w14:textId="77777777" w:rsidTr="002B2E13">
        <w:trPr>
          <w:cantSplit/>
        </w:trPr>
        <w:tc>
          <w:tcPr>
            <w:tcW w:w="8785" w:type="dxa"/>
            <w:gridSpan w:val="3"/>
            <w:tcBorders>
              <w:top w:val="nil"/>
              <w:left w:val="nil"/>
              <w:bottom w:val="nil"/>
              <w:right w:val="nil"/>
            </w:tcBorders>
          </w:tcPr>
          <w:p w14:paraId="558C353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11—Duplicate permit to drive an unregistered motor vehicle</w:t>
            </w:r>
          </w:p>
        </w:tc>
      </w:tr>
      <w:tr w:rsidR="002A3021" w:rsidRPr="002A3021" w14:paraId="651FE86A" w14:textId="77777777" w:rsidTr="00911011">
        <w:trPr>
          <w:cantSplit/>
        </w:trPr>
        <w:tc>
          <w:tcPr>
            <w:tcW w:w="663" w:type="dxa"/>
            <w:tcBorders>
              <w:top w:val="nil"/>
              <w:left w:val="nil"/>
              <w:bottom w:val="nil"/>
              <w:right w:val="nil"/>
            </w:tcBorders>
          </w:tcPr>
          <w:p w14:paraId="425D79B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712A73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permit under section 16(12) of the Act</w:t>
            </w:r>
          </w:p>
        </w:tc>
        <w:tc>
          <w:tcPr>
            <w:tcW w:w="1705" w:type="dxa"/>
            <w:tcBorders>
              <w:top w:val="nil"/>
              <w:left w:val="nil"/>
              <w:bottom w:val="nil"/>
              <w:right w:val="nil"/>
            </w:tcBorders>
          </w:tcPr>
          <w:p w14:paraId="41A4AA2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334081E5" w14:textId="77777777" w:rsidTr="002B2E13">
        <w:trPr>
          <w:cantSplit/>
        </w:trPr>
        <w:tc>
          <w:tcPr>
            <w:tcW w:w="8785" w:type="dxa"/>
            <w:gridSpan w:val="3"/>
            <w:tcBorders>
              <w:top w:val="nil"/>
              <w:left w:val="nil"/>
              <w:bottom w:val="nil"/>
              <w:right w:val="nil"/>
            </w:tcBorders>
          </w:tcPr>
          <w:p w14:paraId="1424135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12—Temporary configuration certificate for heavy vehicle</w:t>
            </w:r>
          </w:p>
        </w:tc>
      </w:tr>
      <w:tr w:rsidR="002A3021" w:rsidRPr="002A3021" w14:paraId="2FFB1854" w14:textId="77777777" w:rsidTr="00911011">
        <w:trPr>
          <w:cantSplit/>
        </w:trPr>
        <w:tc>
          <w:tcPr>
            <w:tcW w:w="663" w:type="dxa"/>
            <w:tcBorders>
              <w:top w:val="nil"/>
              <w:left w:val="nil"/>
              <w:bottom w:val="nil"/>
              <w:right w:val="nil"/>
            </w:tcBorders>
          </w:tcPr>
          <w:p w14:paraId="4CC3EC2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3479CB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temporary configuration certificate for a heavy vehicle</w:t>
            </w:r>
          </w:p>
        </w:tc>
        <w:tc>
          <w:tcPr>
            <w:tcW w:w="1705" w:type="dxa"/>
            <w:tcBorders>
              <w:top w:val="nil"/>
              <w:left w:val="nil"/>
              <w:bottom w:val="nil"/>
              <w:right w:val="nil"/>
            </w:tcBorders>
          </w:tcPr>
          <w:p w14:paraId="3D52E3D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B2E13" w:rsidRPr="002A3021" w14:paraId="5DB806AB" w14:textId="77777777" w:rsidTr="002B2E13">
        <w:trPr>
          <w:cantSplit/>
        </w:trPr>
        <w:tc>
          <w:tcPr>
            <w:tcW w:w="8785" w:type="dxa"/>
            <w:gridSpan w:val="3"/>
            <w:tcBorders>
              <w:top w:val="nil"/>
              <w:left w:val="nil"/>
              <w:bottom w:val="nil"/>
              <w:right w:val="nil"/>
            </w:tcBorders>
          </w:tcPr>
          <w:p w14:paraId="4EE11FF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13—Duplicate temporary configuration certificate for heavy vehicle</w:t>
            </w:r>
          </w:p>
        </w:tc>
      </w:tr>
      <w:tr w:rsidR="002A3021" w:rsidRPr="002A3021" w14:paraId="3786AA3A" w14:textId="77777777" w:rsidTr="00911011">
        <w:trPr>
          <w:cantSplit/>
        </w:trPr>
        <w:tc>
          <w:tcPr>
            <w:tcW w:w="663" w:type="dxa"/>
            <w:tcBorders>
              <w:top w:val="nil"/>
              <w:left w:val="nil"/>
              <w:bottom w:val="nil"/>
              <w:right w:val="nil"/>
            </w:tcBorders>
          </w:tcPr>
          <w:p w14:paraId="77E4A4A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98DDFB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temporary configuration certificate for a heavy vehicle</w:t>
            </w:r>
          </w:p>
        </w:tc>
        <w:tc>
          <w:tcPr>
            <w:tcW w:w="1705" w:type="dxa"/>
            <w:tcBorders>
              <w:top w:val="nil"/>
              <w:left w:val="nil"/>
              <w:bottom w:val="nil"/>
              <w:right w:val="nil"/>
            </w:tcBorders>
          </w:tcPr>
          <w:p w14:paraId="72CCD7F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513A4C43" w14:textId="77777777" w:rsidTr="002B2E13">
        <w:trPr>
          <w:cantSplit/>
        </w:trPr>
        <w:tc>
          <w:tcPr>
            <w:tcW w:w="8785" w:type="dxa"/>
            <w:gridSpan w:val="3"/>
            <w:tcBorders>
              <w:top w:val="nil"/>
              <w:left w:val="nil"/>
              <w:bottom w:val="nil"/>
              <w:right w:val="nil"/>
            </w:tcBorders>
          </w:tcPr>
          <w:p w14:paraId="443D383B"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14—Number allotment</w:t>
            </w:r>
          </w:p>
        </w:tc>
      </w:tr>
      <w:tr w:rsidR="002A3021" w:rsidRPr="002A3021" w14:paraId="3CEDCC1D" w14:textId="77777777" w:rsidTr="00911011">
        <w:trPr>
          <w:cantSplit/>
        </w:trPr>
        <w:tc>
          <w:tcPr>
            <w:tcW w:w="663" w:type="dxa"/>
            <w:tcBorders>
              <w:top w:val="nil"/>
              <w:left w:val="nil"/>
              <w:bottom w:val="nil"/>
              <w:right w:val="nil"/>
            </w:tcBorders>
          </w:tcPr>
          <w:p w14:paraId="448C85F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DFB8C6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variation or amendment of the number allotted to a motor vehicle (per vehicle)</w:t>
            </w:r>
          </w:p>
        </w:tc>
        <w:tc>
          <w:tcPr>
            <w:tcW w:w="1705" w:type="dxa"/>
            <w:tcBorders>
              <w:top w:val="nil"/>
              <w:left w:val="nil"/>
              <w:bottom w:val="nil"/>
              <w:right w:val="nil"/>
            </w:tcBorders>
          </w:tcPr>
          <w:p w14:paraId="1647009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bl>
    <w:p w14:paraId="50CC411C" w14:textId="77777777" w:rsidR="000A036E" w:rsidRDefault="000A036E">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B2E13" w:rsidRPr="002A3021" w14:paraId="5DBBE642" w14:textId="77777777" w:rsidTr="002B2E13">
        <w:trPr>
          <w:cantSplit/>
        </w:trPr>
        <w:tc>
          <w:tcPr>
            <w:tcW w:w="8785" w:type="dxa"/>
            <w:gridSpan w:val="3"/>
            <w:tcBorders>
              <w:top w:val="nil"/>
              <w:left w:val="nil"/>
              <w:bottom w:val="nil"/>
              <w:right w:val="nil"/>
            </w:tcBorders>
          </w:tcPr>
          <w:p w14:paraId="09BC3DAB"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15—Number plates</w:t>
            </w:r>
          </w:p>
        </w:tc>
      </w:tr>
      <w:tr w:rsidR="002A3021" w:rsidRPr="002A3021" w14:paraId="6FEA996D" w14:textId="77777777" w:rsidTr="00911011">
        <w:trPr>
          <w:cantSplit/>
        </w:trPr>
        <w:tc>
          <w:tcPr>
            <w:tcW w:w="663" w:type="dxa"/>
            <w:tcBorders>
              <w:top w:val="nil"/>
              <w:left w:val="nil"/>
              <w:bottom w:val="nil"/>
              <w:right w:val="nil"/>
            </w:tcBorders>
          </w:tcPr>
          <w:p w14:paraId="0C7D4FCA"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3E6ABBB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or replacement of—</w:t>
            </w:r>
          </w:p>
        </w:tc>
        <w:tc>
          <w:tcPr>
            <w:tcW w:w="1705" w:type="dxa"/>
            <w:tcBorders>
              <w:top w:val="nil"/>
              <w:left w:val="nil"/>
              <w:bottom w:val="nil"/>
              <w:right w:val="nil"/>
            </w:tcBorders>
          </w:tcPr>
          <w:p w14:paraId="1FB14D2E"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65BB179" w14:textId="77777777" w:rsidTr="00911011">
        <w:trPr>
          <w:cantSplit/>
        </w:trPr>
        <w:tc>
          <w:tcPr>
            <w:tcW w:w="663" w:type="dxa"/>
            <w:tcBorders>
              <w:top w:val="nil"/>
              <w:left w:val="nil"/>
              <w:bottom w:val="nil"/>
              <w:right w:val="nil"/>
            </w:tcBorders>
          </w:tcPr>
          <w:p w14:paraId="160CE1E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7427B8A"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single number plate or pair of number plates for a heavy vehicle</w:t>
            </w:r>
          </w:p>
        </w:tc>
        <w:tc>
          <w:tcPr>
            <w:tcW w:w="1705" w:type="dxa"/>
            <w:tcBorders>
              <w:top w:val="nil"/>
              <w:left w:val="nil"/>
              <w:bottom w:val="nil"/>
              <w:right w:val="nil"/>
            </w:tcBorders>
          </w:tcPr>
          <w:p w14:paraId="1C8A07D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$31.10</w:t>
            </w:r>
          </w:p>
        </w:tc>
      </w:tr>
      <w:tr w:rsidR="002A3021" w:rsidRPr="002A3021" w14:paraId="7CAB515F" w14:textId="77777777" w:rsidTr="00911011">
        <w:trPr>
          <w:cantSplit/>
        </w:trPr>
        <w:tc>
          <w:tcPr>
            <w:tcW w:w="663" w:type="dxa"/>
            <w:tcBorders>
              <w:top w:val="nil"/>
              <w:left w:val="nil"/>
              <w:bottom w:val="nil"/>
              <w:right w:val="nil"/>
            </w:tcBorders>
          </w:tcPr>
          <w:p w14:paraId="36B45E2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08CC6E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 single number plate or pair of number plates for a motor vehicle other than a heavy vehicle</w:t>
            </w:r>
          </w:p>
        </w:tc>
        <w:tc>
          <w:tcPr>
            <w:tcW w:w="1705" w:type="dxa"/>
            <w:tcBorders>
              <w:top w:val="nil"/>
              <w:left w:val="nil"/>
              <w:bottom w:val="nil"/>
              <w:right w:val="nil"/>
            </w:tcBorders>
          </w:tcPr>
          <w:p w14:paraId="73B833E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$34.00</w:t>
            </w:r>
          </w:p>
        </w:tc>
      </w:tr>
      <w:tr w:rsidR="002A3021" w:rsidRPr="002A3021" w14:paraId="0D375752" w14:textId="77777777" w:rsidTr="00911011">
        <w:trPr>
          <w:cantSplit/>
        </w:trPr>
        <w:tc>
          <w:tcPr>
            <w:tcW w:w="663" w:type="dxa"/>
            <w:tcBorders>
              <w:top w:val="nil"/>
              <w:left w:val="nil"/>
              <w:bottom w:val="nil"/>
              <w:right w:val="nil"/>
            </w:tcBorders>
          </w:tcPr>
          <w:p w14:paraId="535D957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83C862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a supplementary number plate for a bike rack</w:t>
            </w:r>
          </w:p>
        </w:tc>
        <w:tc>
          <w:tcPr>
            <w:tcW w:w="1705" w:type="dxa"/>
            <w:tcBorders>
              <w:top w:val="nil"/>
              <w:left w:val="nil"/>
              <w:bottom w:val="nil"/>
              <w:right w:val="nil"/>
            </w:tcBorders>
          </w:tcPr>
          <w:p w14:paraId="54F319F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$34.00</w:t>
            </w:r>
          </w:p>
        </w:tc>
      </w:tr>
      <w:tr w:rsidR="002A3021" w:rsidRPr="002A3021" w14:paraId="130AF156" w14:textId="77777777" w:rsidTr="00911011">
        <w:trPr>
          <w:cantSplit/>
        </w:trPr>
        <w:tc>
          <w:tcPr>
            <w:tcW w:w="663" w:type="dxa"/>
            <w:tcBorders>
              <w:top w:val="nil"/>
              <w:left w:val="nil"/>
              <w:bottom w:val="nil"/>
              <w:right w:val="nil"/>
            </w:tcBorders>
          </w:tcPr>
          <w:p w14:paraId="1F1DA8A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4FDCBE0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in addition to the fee prescribed in subclause (1)) for postal delivery of a number plate or plates</w:t>
            </w:r>
          </w:p>
        </w:tc>
        <w:tc>
          <w:tcPr>
            <w:tcW w:w="1705" w:type="dxa"/>
            <w:tcBorders>
              <w:top w:val="nil"/>
              <w:left w:val="nil"/>
              <w:bottom w:val="nil"/>
              <w:right w:val="nil"/>
            </w:tcBorders>
          </w:tcPr>
          <w:p w14:paraId="6273E45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45C39525" w14:textId="77777777" w:rsidTr="002B2E13">
        <w:trPr>
          <w:cantSplit/>
        </w:trPr>
        <w:tc>
          <w:tcPr>
            <w:tcW w:w="8785" w:type="dxa"/>
            <w:gridSpan w:val="3"/>
            <w:tcBorders>
              <w:top w:val="nil"/>
              <w:left w:val="nil"/>
              <w:bottom w:val="nil"/>
              <w:right w:val="nil"/>
            </w:tcBorders>
          </w:tcPr>
          <w:p w14:paraId="25D9380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16—Issue or reissue of trade plate</w:t>
            </w:r>
          </w:p>
        </w:tc>
      </w:tr>
      <w:tr w:rsidR="002A3021" w:rsidRPr="002A3021" w14:paraId="4060D188" w14:textId="77777777" w:rsidTr="00911011">
        <w:trPr>
          <w:cantSplit/>
        </w:trPr>
        <w:tc>
          <w:tcPr>
            <w:tcW w:w="663" w:type="dxa"/>
            <w:tcBorders>
              <w:top w:val="nil"/>
              <w:left w:val="nil"/>
              <w:bottom w:val="nil"/>
              <w:right w:val="nil"/>
            </w:tcBorders>
          </w:tcPr>
          <w:p w14:paraId="7B3D7CE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00EDF9F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issue or reissue of a trade plate—</w:t>
            </w:r>
          </w:p>
        </w:tc>
        <w:tc>
          <w:tcPr>
            <w:tcW w:w="1705" w:type="dxa"/>
            <w:tcBorders>
              <w:top w:val="nil"/>
              <w:left w:val="nil"/>
              <w:bottom w:val="nil"/>
              <w:right w:val="nil"/>
            </w:tcBorders>
          </w:tcPr>
          <w:p w14:paraId="449C6F26"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8C72BDB" w14:textId="77777777" w:rsidTr="00911011">
        <w:trPr>
          <w:cantSplit/>
        </w:trPr>
        <w:tc>
          <w:tcPr>
            <w:tcW w:w="663" w:type="dxa"/>
            <w:tcBorders>
              <w:top w:val="nil"/>
              <w:left w:val="nil"/>
              <w:bottom w:val="nil"/>
              <w:right w:val="nil"/>
            </w:tcBorders>
          </w:tcPr>
          <w:p w14:paraId="5D5333B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BF396C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 respect of a motor vehicle that has a gross vehicle mass exceeding 4 500 kg (other than a special purpose vehicle) (</w:t>
            </w:r>
            <w:r w:rsidRPr="002A3021">
              <w:rPr>
                <w:rFonts w:eastAsia="Times New Roman"/>
                <w:b/>
                <w:bCs/>
                <w:i/>
                <w:iCs/>
                <w:color w:val="000000"/>
                <w:sz w:val="20"/>
                <w:szCs w:val="20"/>
                <w:lang w:eastAsia="en-AU"/>
                <w14:ligatures w14:val="standardContextual"/>
              </w:rPr>
              <w:t>Category A</w:t>
            </w:r>
            <w:r w:rsidRPr="002A3021">
              <w:rPr>
                <w:rFonts w:eastAsia="Times New Roman"/>
                <w:color w:val="000000"/>
                <w:sz w:val="20"/>
                <w:szCs w:val="20"/>
                <w:lang w:eastAsia="en-AU"/>
                <w14:ligatures w14:val="standardContextual"/>
              </w:rPr>
              <w:t>)—an annual fee of an amount equal to the fee that would be payable for registration for 12 months of a heavy vehicle that is a truck (type 1) with 2 axles and a gross vehicle mass exceeding 4 500 kg but not exceeding 12 000 kg;</w:t>
            </w:r>
          </w:p>
        </w:tc>
        <w:tc>
          <w:tcPr>
            <w:tcW w:w="1705" w:type="dxa"/>
            <w:tcBorders>
              <w:top w:val="nil"/>
              <w:left w:val="nil"/>
              <w:bottom w:val="nil"/>
              <w:right w:val="nil"/>
            </w:tcBorders>
          </w:tcPr>
          <w:p w14:paraId="2AEBF29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E0C44F5" w14:textId="77777777" w:rsidTr="00911011">
        <w:trPr>
          <w:cantSplit/>
        </w:trPr>
        <w:tc>
          <w:tcPr>
            <w:tcW w:w="663" w:type="dxa"/>
            <w:tcBorders>
              <w:top w:val="nil"/>
              <w:left w:val="nil"/>
              <w:bottom w:val="nil"/>
              <w:right w:val="nil"/>
            </w:tcBorders>
          </w:tcPr>
          <w:p w14:paraId="4BEA3A9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3D6780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in respect of a motor vehicle that has a gross vehicle mass not exceeding 4 500 kg (other than a motor bike, trailer or special purpose vehicle) (</w:t>
            </w:r>
            <w:r w:rsidRPr="002A3021">
              <w:rPr>
                <w:rFonts w:eastAsia="Times New Roman"/>
                <w:b/>
                <w:bCs/>
                <w:i/>
                <w:iCs/>
                <w:color w:val="000000"/>
                <w:sz w:val="20"/>
                <w:szCs w:val="20"/>
                <w:lang w:eastAsia="en-AU"/>
                <w14:ligatures w14:val="standardContextual"/>
              </w:rPr>
              <w:t>Category B</w:t>
            </w:r>
            <w:r w:rsidRPr="002A3021">
              <w:rPr>
                <w:rFonts w:eastAsia="Times New Roman"/>
                <w:color w:val="000000"/>
                <w:sz w:val="20"/>
                <w:szCs w:val="20"/>
                <w:lang w:eastAsia="en-AU"/>
                <w14:ligatures w14:val="standardContextual"/>
              </w:rPr>
              <w:t>)—an annual fee of an amount equal to the fee that would be payable for registration for 12 months of a motor vehicle referred to in clause 2(2)(d)(i) or 2(2)(e) that has 7 or more cylinders;</w:t>
            </w:r>
          </w:p>
        </w:tc>
        <w:tc>
          <w:tcPr>
            <w:tcW w:w="1705" w:type="dxa"/>
            <w:tcBorders>
              <w:top w:val="nil"/>
              <w:left w:val="nil"/>
              <w:bottom w:val="nil"/>
              <w:right w:val="nil"/>
            </w:tcBorders>
          </w:tcPr>
          <w:p w14:paraId="05C6FE0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976C99C" w14:textId="77777777" w:rsidTr="00911011">
        <w:trPr>
          <w:cantSplit/>
        </w:trPr>
        <w:tc>
          <w:tcPr>
            <w:tcW w:w="663" w:type="dxa"/>
            <w:tcBorders>
              <w:top w:val="nil"/>
              <w:left w:val="nil"/>
              <w:bottom w:val="nil"/>
              <w:right w:val="nil"/>
            </w:tcBorders>
          </w:tcPr>
          <w:p w14:paraId="77BE52D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B7D6BF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in respect of a motor bike (</w:t>
            </w:r>
            <w:r w:rsidRPr="002A3021">
              <w:rPr>
                <w:rFonts w:eastAsia="Times New Roman"/>
                <w:b/>
                <w:bCs/>
                <w:i/>
                <w:iCs/>
                <w:color w:val="000000"/>
                <w:sz w:val="20"/>
                <w:szCs w:val="20"/>
                <w:lang w:eastAsia="en-AU"/>
                <w14:ligatures w14:val="standardContextual"/>
              </w:rPr>
              <w:t>Category C</w:t>
            </w:r>
            <w:r w:rsidRPr="002A3021">
              <w:rPr>
                <w:rFonts w:eastAsia="Times New Roman"/>
                <w:color w:val="000000"/>
                <w:sz w:val="20"/>
                <w:szCs w:val="20"/>
                <w:lang w:eastAsia="en-AU"/>
                <w14:ligatures w14:val="standardContextual"/>
              </w:rPr>
              <w:t>)—an annual fee of an amount equal to the fee that would be payable for registration for 12 months of a motor bike;</w:t>
            </w:r>
          </w:p>
        </w:tc>
        <w:tc>
          <w:tcPr>
            <w:tcW w:w="1705" w:type="dxa"/>
            <w:tcBorders>
              <w:top w:val="nil"/>
              <w:left w:val="nil"/>
              <w:bottom w:val="nil"/>
              <w:right w:val="nil"/>
            </w:tcBorders>
          </w:tcPr>
          <w:p w14:paraId="75A36C1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4A9CE79" w14:textId="77777777" w:rsidTr="00911011">
        <w:trPr>
          <w:cantSplit/>
        </w:trPr>
        <w:tc>
          <w:tcPr>
            <w:tcW w:w="663" w:type="dxa"/>
            <w:tcBorders>
              <w:top w:val="nil"/>
              <w:left w:val="nil"/>
              <w:bottom w:val="nil"/>
              <w:right w:val="nil"/>
            </w:tcBorders>
          </w:tcPr>
          <w:p w14:paraId="7D2126E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BDF80A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(d)</w:t>
            </w:r>
            <w:r w:rsidRPr="002A3021">
              <w:rPr>
                <w:rFonts w:eastAsia="Times New Roman"/>
                <w:color w:val="000000"/>
                <w:sz w:val="20"/>
                <w:szCs w:val="20"/>
                <w:lang w:eastAsia="en-AU"/>
                <w14:ligatures w14:val="standardContextual"/>
              </w:rPr>
              <w:tab/>
              <w:t>in respect of a trailer that has a gross vehicle mass not exceeding 4 500 kg (</w:t>
            </w:r>
            <w:r w:rsidRPr="002A3021">
              <w:rPr>
                <w:rFonts w:eastAsia="Times New Roman"/>
                <w:b/>
                <w:bCs/>
                <w:i/>
                <w:iCs/>
                <w:color w:val="000000"/>
                <w:sz w:val="20"/>
                <w:szCs w:val="20"/>
                <w:lang w:eastAsia="en-AU"/>
                <w14:ligatures w14:val="standardContextual"/>
              </w:rPr>
              <w:t>Category D</w:t>
            </w:r>
            <w:r w:rsidRPr="002A3021">
              <w:rPr>
                <w:rFonts w:eastAsia="Times New Roman"/>
                <w:color w:val="000000"/>
                <w:sz w:val="20"/>
                <w:szCs w:val="20"/>
                <w:lang w:eastAsia="en-AU"/>
                <w14:ligatures w14:val="standardContextual"/>
              </w:rPr>
              <w:t>)—an annual fee of an amount equal to the fee that would be payable for registration for 12 months of a trailer;</w:t>
            </w:r>
          </w:p>
        </w:tc>
        <w:tc>
          <w:tcPr>
            <w:tcW w:w="1705" w:type="dxa"/>
            <w:tcBorders>
              <w:top w:val="nil"/>
              <w:left w:val="nil"/>
              <w:bottom w:val="nil"/>
              <w:right w:val="nil"/>
            </w:tcBorders>
          </w:tcPr>
          <w:p w14:paraId="485875B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81BAA06" w14:textId="77777777" w:rsidTr="00911011">
        <w:trPr>
          <w:cantSplit/>
        </w:trPr>
        <w:tc>
          <w:tcPr>
            <w:tcW w:w="663" w:type="dxa"/>
            <w:tcBorders>
              <w:top w:val="nil"/>
              <w:left w:val="nil"/>
              <w:bottom w:val="nil"/>
              <w:right w:val="nil"/>
            </w:tcBorders>
          </w:tcPr>
          <w:p w14:paraId="0162A04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FAB464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(e)</w:t>
            </w:r>
            <w:r w:rsidRPr="002A3021">
              <w:rPr>
                <w:rFonts w:eastAsia="Times New Roman"/>
                <w:color w:val="000000"/>
                <w:sz w:val="20"/>
                <w:szCs w:val="20"/>
                <w:lang w:eastAsia="en-AU"/>
                <w14:ligatures w14:val="standardContextual"/>
              </w:rPr>
              <w:tab/>
              <w:t>in respect of a special purpose vehicle (</w:t>
            </w:r>
            <w:r w:rsidRPr="002A3021">
              <w:rPr>
                <w:rFonts w:eastAsia="Times New Roman"/>
                <w:b/>
                <w:bCs/>
                <w:i/>
                <w:iCs/>
                <w:color w:val="000000"/>
                <w:sz w:val="20"/>
                <w:szCs w:val="20"/>
                <w:lang w:eastAsia="en-AU"/>
                <w14:ligatures w14:val="standardContextual"/>
              </w:rPr>
              <w:t>Category E</w:t>
            </w:r>
            <w:r w:rsidRPr="002A3021">
              <w:rPr>
                <w:rFonts w:eastAsia="Times New Roman"/>
                <w:color w:val="000000"/>
                <w:sz w:val="20"/>
                <w:szCs w:val="20"/>
                <w:lang w:eastAsia="en-AU"/>
                <w14:ligatures w14:val="standardContextual"/>
              </w:rPr>
              <w:t>)—no fee.</w:t>
            </w:r>
          </w:p>
        </w:tc>
        <w:tc>
          <w:tcPr>
            <w:tcW w:w="1705" w:type="dxa"/>
            <w:tcBorders>
              <w:top w:val="nil"/>
              <w:left w:val="nil"/>
              <w:bottom w:val="nil"/>
              <w:right w:val="nil"/>
            </w:tcBorders>
          </w:tcPr>
          <w:p w14:paraId="28B3785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E70906D" w14:textId="77777777" w:rsidTr="00911011">
        <w:trPr>
          <w:cantSplit/>
        </w:trPr>
        <w:tc>
          <w:tcPr>
            <w:tcW w:w="663" w:type="dxa"/>
            <w:tcBorders>
              <w:top w:val="nil"/>
              <w:left w:val="nil"/>
              <w:bottom w:val="nil"/>
              <w:right w:val="nil"/>
            </w:tcBorders>
          </w:tcPr>
          <w:p w14:paraId="28565F8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49C86F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If an application for the issue or reissue of a trade plate relates to more than 1 category of vehicle such that more than 1 fee becomes payable, then only the highest fee must be paid.</w:t>
            </w:r>
          </w:p>
        </w:tc>
        <w:tc>
          <w:tcPr>
            <w:tcW w:w="1705" w:type="dxa"/>
            <w:tcBorders>
              <w:top w:val="nil"/>
              <w:left w:val="nil"/>
              <w:bottom w:val="nil"/>
              <w:right w:val="nil"/>
            </w:tcBorders>
          </w:tcPr>
          <w:p w14:paraId="53F30E1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A7DAA30" w14:textId="77777777" w:rsidTr="00911011">
        <w:trPr>
          <w:cantSplit/>
        </w:trPr>
        <w:tc>
          <w:tcPr>
            <w:tcW w:w="663" w:type="dxa"/>
            <w:tcBorders>
              <w:top w:val="nil"/>
              <w:left w:val="nil"/>
              <w:bottom w:val="nil"/>
              <w:right w:val="nil"/>
            </w:tcBorders>
          </w:tcPr>
          <w:p w14:paraId="2F617A0B"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4993C6A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fees (payable in addition to the fee prescribed in subclause (1))—</w:t>
            </w:r>
          </w:p>
        </w:tc>
        <w:tc>
          <w:tcPr>
            <w:tcW w:w="1705" w:type="dxa"/>
            <w:tcBorders>
              <w:top w:val="nil"/>
              <w:left w:val="nil"/>
              <w:bottom w:val="nil"/>
              <w:right w:val="nil"/>
            </w:tcBorders>
          </w:tcPr>
          <w:p w14:paraId="453983AF"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EDA8F21" w14:textId="77777777" w:rsidTr="00911011">
        <w:trPr>
          <w:cantSplit/>
        </w:trPr>
        <w:tc>
          <w:tcPr>
            <w:tcW w:w="663" w:type="dxa"/>
            <w:tcBorders>
              <w:top w:val="nil"/>
              <w:left w:val="nil"/>
              <w:bottom w:val="nil"/>
              <w:right w:val="nil"/>
            </w:tcBorders>
          </w:tcPr>
          <w:p w14:paraId="51F6D69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5925E6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on application for the issue of a trade plate</w:t>
            </w:r>
          </w:p>
        </w:tc>
        <w:tc>
          <w:tcPr>
            <w:tcW w:w="1705" w:type="dxa"/>
            <w:tcBorders>
              <w:top w:val="nil"/>
              <w:left w:val="nil"/>
              <w:bottom w:val="nil"/>
              <w:right w:val="nil"/>
            </w:tcBorders>
          </w:tcPr>
          <w:p w14:paraId="5B3D6F1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1A9FC6B3" w14:textId="77777777" w:rsidTr="00911011">
        <w:trPr>
          <w:cantSplit/>
        </w:trPr>
        <w:tc>
          <w:tcPr>
            <w:tcW w:w="663" w:type="dxa"/>
            <w:tcBorders>
              <w:top w:val="nil"/>
              <w:left w:val="nil"/>
              <w:bottom w:val="nil"/>
              <w:right w:val="nil"/>
            </w:tcBorders>
          </w:tcPr>
          <w:p w14:paraId="01B1C86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C628C2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allocation of a trade plate number on the issue of a trade plate (per plate)</w:t>
            </w:r>
          </w:p>
        </w:tc>
        <w:tc>
          <w:tcPr>
            <w:tcW w:w="1705" w:type="dxa"/>
            <w:tcBorders>
              <w:top w:val="nil"/>
              <w:left w:val="nil"/>
              <w:bottom w:val="nil"/>
              <w:right w:val="nil"/>
            </w:tcBorders>
          </w:tcPr>
          <w:p w14:paraId="0BA6D75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A3021" w:rsidRPr="002A3021" w14:paraId="3023DD2F" w14:textId="77777777" w:rsidTr="00911011">
        <w:trPr>
          <w:cantSplit/>
        </w:trPr>
        <w:tc>
          <w:tcPr>
            <w:tcW w:w="663" w:type="dxa"/>
            <w:tcBorders>
              <w:top w:val="nil"/>
              <w:left w:val="nil"/>
              <w:bottom w:val="nil"/>
              <w:right w:val="nil"/>
            </w:tcBorders>
          </w:tcPr>
          <w:p w14:paraId="7E968D4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c>
          <w:tcPr>
            <w:tcW w:w="6417" w:type="dxa"/>
            <w:tcBorders>
              <w:top w:val="nil"/>
              <w:left w:val="nil"/>
              <w:bottom w:val="nil"/>
              <w:right w:val="nil"/>
            </w:tcBorders>
          </w:tcPr>
          <w:p w14:paraId="70B7BFB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in addition to the fee prescribed in subclause (1)) on application for the reissue of a trade plate</w:t>
            </w:r>
          </w:p>
        </w:tc>
        <w:tc>
          <w:tcPr>
            <w:tcW w:w="1705" w:type="dxa"/>
            <w:tcBorders>
              <w:top w:val="nil"/>
              <w:left w:val="nil"/>
              <w:bottom w:val="nil"/>
              <w:right w:val="nil"/>
            </w:tcBorders>
          </w:tcPr>
          <w:p w14:paraId="54432D0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B2E13" w:rsidRPr="002A3021" w14:paraId="700A1AAE" w14:textId="77777777" w:rsidTr="002B2E13">
        <w:trPr>
          <w:cantSplit/>
        </w:trPr>
        <w:tc>
          <w:tcPr>
            <w:tcW w:w="8785" w:type="dxa"/>
            <w:gridSpan w:val="3"/>
            <w:tcBorders>
              <w:top w:val="nil"/>
              <w:left w:val="nil"/>
              <w:bottom w:val="nil"/>
              <w:right w:val="nil"/>
            </w:tcBorders>
          </w:tcPr>
          <w:p w14:paraId="6AE913E9"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17—Supply of trade plate by Registrar</w:t>
            </w:r>
          </w:p>
        </w:tc>
      </w:tr>
      <w:tr w:rsidR="002A3021" w:rsidRPr="002A3021" w14:paraId="7BA97014" w14:textId="77777777" w:rsidTr="00911011">
        <w:trPr>
          <w:cantSplit/>
        </w:trPr>
        <w:tc>
          <w:tcPr>
            <w:tcW w:w="663" w:type="dxa"/>
            <w:tcBorders>
              <w:top w:val="nil"/>
              <w:left w:val="nil"/>
              <w:bottom w:val="nil"/>
              <w:right w:val="nil"/>
            </w:tcBorders>
          </w:tcPr>
          <w:p w14:paraId="4EAE6D9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4AEEE6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supply of a trade plate by the Registrar</w:t>
            </w:r>
          </w:p>
        </w:tc>
        <w:tc>
          <w:tcPr>
            <w:tcW w:w="1705" w:type="dxa"/>
            <w:tcBorders>
              <w:top w:val="nil"/>
              <w:left w:val="nil"/>
              <w:bottom w:val="nil"/>
              <w:right w:val="nil"/>
            </w:tcBorders>
          </w:tcPr>
          <w:p w14:paraId="15FBE5B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$34.00</w:t>
            </w:r>
          </w:p>
        </w:tc>
      </w:tr>
      <w:tr w:rsidR="002B2E13" w:rsidRPr="002A3021" w14:paraId="72959B7D" w14:textId="77777777" w:rsidTr="002B2E13">
        <w:trPr>
          <w:cantSplit/>
        </w:trPr>
        <w:tc>
          <w:tcPr>
            <w:tcW w:w="8785" w:type="dxa"/>
            <w:gridSpan w:val="3"/>
            <w:tcBorders>
              <w:top w:val="nil"/>
              <w:left w:val="nil"/>
              <w:bottom w:val="nil"/>
              <w:right w:val="nil"/>
            </w:tcBorders>
          </w:tcPr>
          <w:p w14:paraId="2E3DA91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18—Issue of replacement trade plate</w:t>
            </w:r>
          </w:p>
        </w:tc>
      </w:tr>
      <w:tr w:rsidR="002A3021" w:rsidRPr="002A3021" w14:paraId="2C1D8FF8" w14:textId="77777777" w:rsidTr="00911011">
        <w:trPr>
          <w:cantSplit/>
        </w:trPr>
        <w:tc>
          <w:tcPr>
            <w:tcW w:w="663" w:type="dxa"/>
            <w:tcBorders>
              <w:top w:val="nil"/>
              <w:left w:val="nil"/>
              <w:bottom w:val="nil"/>
              <w:right w:val="nil"/>
            </w:tcBorders>
          </w:tcPr>
          <w:p w14:paraId="707AF5B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830FEC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on application for the issue of a new trade plate in lieu of a lost trade plate</w:t>
            </w:r>
          </w:p>
        </w:tc>
        <w:tc>
          <w:tcPr>
            <w:tcW w:w="1705" w:type="dxa"/>
            <w:tcBorders>
              <w:top w:val="nil"/>
              <w:left w:val="nil"/>
              <w:bottom w:val="nil"/>
              <w:right w:val="nil"/>
            </w:tcBorders>
          </w:tcPr>
          <w:p w14:paraId="4AAB63B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$23.00</w:t>
            </w:r>
          </w:p>
        </w:tc>
      </w:tr>
    </w:tbl>
    <w:p w14:paraId="321AFF60" w14:textId="77777777" w:rsidR="000A036E" w:rsidRDefault="000A036E">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B2E13" w:rsidRPr="002A3021" w14:paraId="7A1F4CA4" w14:textId="77777777" w:rsidTr="002B2E13">
        <w:trPr>
          <w:cantSplit/>
        </w:trPr>
        <w:tc>
          <w:tcPr>
            <w:tcW w:w="8785" w:type="dxa"/>
            <w:gridSpan w:val="3"/>
            <w:tcBorders>
              <w:top w:val="nil"/>
              <w:left w:val="nil"/>
              <w:bottom w:val="nil"/>
              <w:right w:val="nil"/>
            </w:tcBorders>
          </w:tcPr>
          <w:p w14:paraId="0528D5D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19—Duplicate trade plate label or certificate of issue of trade plate</w:t>
            </w:r>
          </w:p>
        </w:tc>
      </w:tr>
      <w:tr w:rsidR="002A3021" w:rsidRPr="002A3021" w14:paraId="7E3609E3" w14:textId="77777777" w:rsidTr="00911011">
        <w:trPr>
          <w:cantSplit/>
        </w:trPr>
        <w:tc>
          <w:tcPr>
            <w:tcW w:w="663" w:type="dxa"/>
            <w:tcBorders>
              <w:top w:val="nil"/>
              <w:left w:val="nil"/>
              <w:bottom w:val="nil"/>
              <w:right w:val="nil"/>
            </w:tcBorders>
          </w:tcPr>
          <w:p w14:paraId="1DCC37B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E828FB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trade plate label or duplicate certificate of issue of a trade plate</w:t>
            </w:r>
          </w:p>
        </w:tc>
        <w:tc>
          <w:tcPr>
            <w:tcW w:w="1705" w:type="dxa"/>
            <w:tcBorders>
              <w:top w:val="nil"/>
              <w:left w:val="nil"/>
              <w:bottom w:val="nil"/>
              <w:right w:val="nil"/>
            </w:tcBorders>
          </w:tcPr>
          <w:p w14:paraId="31CF713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2690DE78" w14:textId="77777777" w:rsidTr="002B2E13">
        <w:trPr>
          <w:cantSplit/>
        </w:trPr>
        <w:tc>
          <w:tcPr>
            <w:tcW w:w="8785" w:type="dxa"/>
            <w:gridSpan w:val="3"/>
            <w:tcBorders>
              <w:top w:val="nil"/>
              <w:left w:val="nil"/>
              <w:bottom w:val="nil"/>
              <w:right w:val="nil"/>
            </w:tcBorders>
          </w:tcPr>
          <w:p w14:paraId="7A26464B"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20—Trade plate transfer</w:t>
            </w:r>
          </w:p>
        </w:tc>
      </w:tr>
      <w:tr w:rsidR="002A3021" w:rsidRPr="002A3021" w14:paraId="7BB6FB83" w14:textId="77777777" w:rsidTr="00911011">
        <w:trPr>
          <w:cantSplit/>
        </w:trPr>
        <w:tc>
          <w:tcPr>
            <w:tcW w:w="663" w:type="dxa"/>
            <w:tcBorders>
              <w:top w:val="nil"/>
              <w:left w:val="nil"/>
              <w:bottom w:val="nil"/>
              <w:right w:val="nil"/>
            </w:tcBorders>
          </w:tcPr>
          <w:p w14:paraId="1EB36F2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4BBB83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on application for the transfer of a trade plate</w:t>
            </w:r>
          </w:p>
        </w:tc>
        <w:tc>
          <w:tcPr>
            <w:tcW w:w="1705" w:type="dxa"/>
            <w:tcBorders>
              <w:top w:val="nil"/>
              <w:left w:val="nil"/>
              <w:bottom w:val="nil"/>
              <w:right w:val="nil"/>
            </w:tcBorders>
          </w:tcPr>
          <w:p w14:paraId="109693F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B2E13" w:rsidRPr="002A3021" w14:paraId="187C3104" w14:textId="77777777" w:rsidTr="002B2E13">
        <w:trPr>
          <w:cantSplit/>
        </w:trPr>
        <w:tc>
          <w:tcPr>
            <w:tcW w:w="8785" w:type="dxa"/>
            <w:gridSpan w:val="3"/>
            <w:tcBorders>
              <w:top w:val="nil"/>
              <w:left w:val="nil"/>
              <w:bottom w:val="nil"/>
              <w:right w:val="nil"/>
            </w:tcBorders>
          </w:tcPr>
          <w:p w14:paraId="35DBC4C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21—Trade plate surrender</w:t>
            </w:r>
          </w:p>
        </w:tc>
      </w:tr>
      <w:tr w:rsidR="002A3021" w:rsidRPr="002A3021" w14:paraId="14327F64" w14:textId="77777777" w:rsidTr="00911011">
        <w:trPr>
          <w:cantSplit/>
        </w:trPr>
        <w:tc>
          <w:tcPr>
            <w:tcW w:w="663" w:type="dxa"/>
            <w:tcBorders>
              <w:top w:val="nil"/>
              <w:left w:val="nil"/>
              <w:bottom w:val="nil"/>
              <w:right w:val="nil"/>
            </w:tcBorders>
          </w:tcPr>
          <w:p w14:paraId="6F71269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2E25B4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on surrender of a trade plate under section 70(5) of the Act</w:t>
            </w:r>
          </w:p>
        </w:tc>
        <w:tc>
          <w:tcPr>
            <w:tcW w:w="1705" w:type="dxa"/>
            <w:tcBorders>
              <w:top w:val="nil"/>
              <w:left w:val="nil"/>
              <w:bottom w:val="nil"/>
              <w:right w:val="nil"/>
            </w:tcBorders>
          </w:tcPr>
          <w:p w14:paraId="20D4865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4FF72AEA" w14:textId="77777777" w:rsidTr="002B2E13">
        <w:trPr>
          <w:cantSplit/>
        </w:trPr>
        <w:tc>
          <w:tcPr>
            <w:tcW w:w="8785" w:type="dxa"/>
            <w:gridSpan w:val="3"/>
            <w:tcBorders>
              <w:top w:val="nil"/>
              <w:left w:val="nil"/>
              <w:bottom w:val="nil"/>
              <w:right w:val="nil"/>
            </w:tcBorders>
          </w:tcPr>
          <w:p w14:paraId="704DD34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22—Driver's licences</w:t>
            </w:r>
          </w:p>
        </w:tc>
      </w:tr>
      <w:tr w:rsidR="002A3021" w:rsidRPr="002A3021" w14:paraId="425EEF36" w14:textId="77777777" w:rsidTr="00911011">
        <w:trPr>
          <w:cantSplit/>
        </w:trPr>
        <w:tc>
          <w:tcPr>
            <w:tcW w:w="663" w:type="dxa"/>
            <w:tcBorders>
              <w:top w:val="nil"/>
              <w:left w:val="nil"/>
              <w:bottom w:val="nil"/>
              <w:right w:val="nil"/>
            </w:tcBorders>
          </w:tcPr>
          <w:p w14:paraId="583636F6"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32E7610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issue or renewal of a driver's licence—</w:t>
            </w:r>
          </w:p>
        </w:tc>
        <w:tc>
          <w:tcPr>
            <w:tcW w:w="1705" w:type="dxa"/>
            <w:tcBorders>
              <w:top w:val="nil"/>
              <w:left w:val="nil"/>
              <w:bottom w:val="nil"/>
              <w:right w:val="nil"/>
            </w:tcBorders>
          </w:tcPr>
          <w:p w14:paraId="7182CF7D"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4495308" w14:textId="77777777" w:rsidTr="00911011">
        <w:trPr>
          <w:cantSplit/>
        </w:trPr>
        <w:tc>
          <w:tcPr>
            <w:tcW w:w="663" w:type="dxa"/>
            <w:tcBorders>
              <w:top w:val="nil"/>
              <w:left w:val="nil"/>
              <w:bottom w:val="nil"/>
              <w:right w:val="nil"/>
            </w:tcBorders>
          </w:tcPr>
          <w:p w14:paraId="4F0BCDB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2E0FE24"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where the applicant is a person who as a result of their service in a naval, military or air force of His Majesty—</w:t>
            </w:r>
          </w:p>
        </w:tc>
        <w:tc>
          <w:tcPr>
            <w:tcW w:w="1705" w:type="dxa"/>
            <w:tcBorders>
              <w:top w:val="nil"/>
              <w:left w:val="nil"/>
              <w:bottom w:val="nil"/>
              <w:right w:val="nil"/>
            </w:tcBorders>
          </w:tcPr>
          <w:p w14:paraId="5C82782E"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$27.00</w:t>
            </w:r>
          </w:p>
        </w:tc>
      </w:tr>
      <w:tr w:rsidR="002A3021" w:rsidRPr="002A3021" w14:paraId="4A9F288B" w14:textId="77777777" w:rsidTr="00911011">
        <w:trPr>
          <w:cantSplit/>
        </w:trPr>
        <w:tc>
          <w:tcPr>
            <w:tcW w:w="663" w:type="dxa"/>
            <w:tcBorders>
              <w:top w:val="nil"/>
              <w:left w:val="nil"/>
              <w:bottom w:val="nil"/>
              <w:right w:val="nil"/>
            </w:tcBorders>
          </w:tcPr>
          <w:p w14:paraId="5C0316F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D9529B7"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is totally or permanently incapacitated; or</w:t>
            </w:r>
          </w:p>
        </w:tc>
        <w:tc>
          <w:tcPr>
            <w:tcW w:w="1705" w:type="dxa"/>
            <w:tcBorders>
              <w:top w:val="nil"/>
              <w:left w:val="nil"/>
              <w:bottom w:val="nil"/>
              <w:right w:val="nil"/>
            </w:tcBorders>
          </w:tcPr>
          <w:p w14:paraId="5E6E5AD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8C8D1F9" w14:textId="77777777" w:rsidTr="00911011">
        <w:trPr>
          <w:cantSplit/>
        </w:trPr>
        <w:tc>
          <w:tcPr>
            <w:tcW w:w="663" w:type="dxa"/>
            <w:tcBorders>
              <w:top w:val="nil"/>
              <w:left w:val="nil"/>
              <w:bottom w:val="nil"/>
              <w:right w:val="nil"/>
            </w:tcBorders>
          </w:tcPr>
          <w:p w14:paraId="56E338C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6072EA5"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has lost a leg or foot; or</w:t>
            </w:r>
          </w:p>
        </w:tc>
        <w:tc>
          <w:tcPr>
            <w:tcW w:w="1705" w:type="dxa"/>
            <w:tcBorders>
              <w:top w:val="nil"/>
              <w:left w:val="nil"/>
              <w:bottom w:val="nil"/>
              <w:right w:val="nil"/>
            </w:tcBorders>
          </w:tcPr>
          <w:p w14:paraId="3C955AC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65D76ED" w14:textId="77777777" w:rsidTr="00911011">
        <w:trPr>
          <w:cantSplit/>
        </w:trPr>
        <w:tc>
          <w:tcPr>
            <w:tcW w:w="663" w:type="dxa"/>
            <w:tcBorders>
              <w:top w:val="nil"/>
              <w:left w:val="nil"/>
              <w:bottom w:val="nil"/>
              <w:right w:val="nil"/>
            </w:tcBorders>
          </w:tcPr>
          <w:p w14:paraId="5B2C081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33F0A89"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(iii)</w:t>
            </w:r>
            <w:r w:rsidRPr="002A3021">
              <w:rPr>
                <w:rFonts w:eastAsia="Times New Roman"/>
                <w:color w:val="000000"/>
                <w:sz w:val="20"/>
                <w:szCs w:val="20"/>
                <w:lang w:eastAsia="en-AU"/>
                <w14:ligatures w14:val="standardContextual"/>
              </w:rPr>
              <w:tab/>
              <w:t>receives under the law of the Commonwealth relating to repatriation a pension at the rate for total incapacity or a pension granted by reason of impairment of their power of locomotion at the rate of not less than 70% of the rate for total incapacity (per year)</w:t>
            </w:r>
          </w:p>
        </w:tc>
        <w:tc>
          <w:tcPr>
            <w:tcW w:w="1705" w:type="dxa"/>
            <w:tcBorders>
              <w:top w:val="nil"/>
              <w:left w:val="nil"/>
              <w:bottom w:val="nil"/>
              <w:right w:val="nil"/>
            </w:tcBorders>
          </w:tcPr>
          <w:p w14:paraId="6483FBB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C506B40" w14:textId="77777777" w:rsidTr="00911011">
        <w:trPr>
          <w:cantSplit/>
        </w:trPr>
        <w:tc>
          <w:tcPr>
            <w:tcW w:w="663" w:type="dxa"/>
            <w:tcBorders>
              <w:top w:val="nil"/>
              <w:left w:val="nil"/>
              <w:bottom w:val="nil"/>
              <w:right w:val="nil"/>
            </w:tcBorders>
          </w:tcPr>
          <w:p w14:paraId="3AA81FD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EDA485B"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where the applicant is a pensioner entitlement card holder (per year)</w:t>
            </w:r>
          </w:p>
        </w:tc>
        <w:tc>
          <w:tcPr>
            <w:tcW w:w="1705" w:type="dxa"/>
            <w:tcBorders>
              <w:top w:val="nil"/>
              <w:left w:val="nil"/>
              <w:bottom w:val="nil"/>
              <w:right w:val="nil"/>
            </w:tcBorders>
          </w:tcPr>
          <w:p w14:paraId="7716AF4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$27.00</w:t>
            </w:r>
          </w:p>
        </w:tc>
      </w:tr>
      <w:tr w:rsidR="002A3021" w:rsidRPr="002A3021" w14:paraId="0B922A23" w14:textId="77777777" w:rsidTr="00911011">
        <w:trPr>
          <w:cantSplit/>
        </w:trPr>
        <w:tc>
          <w:tcPr>
            <w:tcW w:w="663" w:type="dxa"/>
            <w:tcBorders>
              <w:top w:val="nil"/>
              <w:left w:val="nil"/>
              <w:bottom w:val="nil"/>
              <w:right w:val="nil"/>
            </w:tcBorders>
          </w:tcPr>
          <w:p w14:paraId="742F525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676902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in any other case (per year)</w:t>
            </w:r>
          </w:p>
        </w:tc>
        <w:tc>
          <w:tcPr>
            <w:tcW w:w="1705" w:type="dxa"/>
            <w:tcBorders>
              <w:top w:val="nil"/>
              <w:left w:val="nil"/>
              <w:bottom w:val="nil"/>
              <w:right w:val="nil"/>
            </w:tcBorders>
          </w:tcPr>
          <w:p w14:paraId="1D84D2A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$55.00</w:t>
            </w:r>
          </w:p>
        </w:tc>
      </w:tr>
      <w:tr w:rsidR="002A3021" w:rsidRPr="002A3021" w14:paraId="01DF279B" w14:textId="77777777" w:rsidTr="00911011">
        <w:trPr>
          <w:cantSplit/>
        </w:trPr>
        <w:tc>
          <w:tcPr>
            <w:tcW w:w="663" w:type="dxa"/>
            <w:tcBorders>
              <w:top w:val="nil"/>
              <w:left w:val="nil"/>
              <w:bottom w:val="nil"/>
              <w:right w:val="nil"/>
            </w:tcBorders>
          </w:tcPr>
          <w:p w14:paraId="01672F8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6E97D57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licence fee for a driver's licence issued or renewed for a period other than for full years is 1 quarter of the annual licence fee for each complete 3 months of the period for which the licence is issued or renewed.</w:t>
            </w:r>
          </w:p>
        </w:tc>
        <w:tc>
          <w:tcPr>
            <w:tcW w:w="1705" w:type="dxa"/>
            <w:tcBorders>
              <w:top w:val="nil"/>
              <w:left w:val="nil"/>
              <w:bottom w:val="nil"/>
              <w:right w:val="nil"/>
            </w:tcBorders>
          </w:tcPr>
          <w:p w14:paraId="51E60F2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B0B91B0" w14:textId="77777777" w:rsidTr="00911011">
        <w:trPr>
          <w:cantSplit/>
        </w:trPr>
        <w:tc>
          <w:tcPr>
            <w:tcW w:w="663" w:type="dxa"/>
            <w:tcBorders>
              <w:top w:val="nil"/>
              <w:left w:val="nil"/>
              <w:bottom w:val="nil"/>
              <w:right w:val="nil"/>
            </w:tcBorders>
          </w:tcPr>
          <w:p w14:paraId="68FF04C7"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c>
          <w:tcPr>
            <w:tcW w:w="6417" w:type="dxa"/>
            <w:tcBorders>
              <w:top w:val="nil"/>
              <w:left w:val="nil"/>
              <w:bottom w:val="nil"/>
              <w:right w:val="nil"/>
            </w:tcBorders>
          </w:tcPr>
          <w:p w14:paraId="1A672B3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If—</w:t>
            </w:r>
          </w:p>
        </w:tc>
        <w:tc>
          <w:tcPr>
            <w:tcW w:w="1705" w:type="dxa"/>
            <w:tcBorders>
              <w:top w:val="nil"/>
              <w:left w:val="nil"/>
              <w:bottom w:val="nil"/>
              <w:right w:val="nil"/>
            </w:tcBorders>
          </w:tcPr>
          <w:p w14:paraId="02F20DE4"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CBD1B24" w14:textId="77777777" w:rsidTr="00911011">
        <w:trPr>
          <w:cantSplit/>
        </w:trPr>
        <w:tc>
          <w:tcPr>
            <w:tcW w:w="663" w:type="dxa"/>
            <w:tcBorders>
              <w:top w:val="nil"/>
              <w:left w:val="nil"/>
              <w:bottom w:val="nil"/>
              <w:right w:val="nil"/>
            </w:tcBorders>
          </w:tcPr>
          <w:p w14:paraId="25E0C6B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B34005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person ceases to be a pensioner entitlement card holder; and</w:t>
            </w:r>
          </w:p>
        </w:tc>
        <w:tc>
          <w:tcPr>
            <w:tcW w:w="1705" w:type="dxa"/>
            <w:tcBorders>
              <w:top w:val="nil"/>
              <w:left w:val="nil"/>
              <w:bottom w:val="nil"/>
              <w:right w:val="nil"/>
            </w:tcBorders>
          </w:tcPr>
          <w:p w14:paraId="54FD193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AC7D910" w14:textId="77777777" w:rsidTr="00911011">
        <w:trPr>
          <w:cantSplit/>
        </w:trPr>
        <w:tc>
          <w:tcPr>
            <w:tcW w:w="663" w:type="dxa"/>
            <w:tcBorders>
              <w:top w:val="nil"/>
              <w:left w:val="nil"/>
              <w:bottom w:val="nil"/>
              <w:right w:val="nil"/>
            </w:tcBorders>
          </w:tcPr>
          <w:p w14:paraId="4DC6E47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238298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the person holds a driver's licence that was issued or renewed on payment of a reduced fee,</w:t>
            </w:r>
          </w:p>
        </w:tc>
        <w:tc>
          <w:tcPr>
            <w:tcW w:w="1705" w:type="dxa"/>
            <w:tcBorders>
              <w:top w:val="nil"/>
              <w:left w:val="nil"/>
              <w:bottom w:val="nil"/>
              <w:right w:val="nil"/>
            </w:tcBorders>
          </w:tcPr>
          <w:p w14:paraId="1F9F3BD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C334C36" w14:textId="77777777" w:rsidTr="00911011">
        <w:trPr>
          <w:cantSplit/>
        </w:trPr>
        <w:tc>
          <w:tcPr>
            <w:tcW w:w="663" w:type="dxa"/>
            <w:tcBorders>
              <w:top w:val="nil"/>
              <w:left w:val="nil"/>
              <w:bottom w:val="nil"/>
              <w:right w:val="nil"/>
            </w:tcBorders>
          </w:tcPr>
          <w:p w14:paraId="1FDEFD8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8AFE44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person must pay an additional fee of an amount that is equal to the difference between—</w:t>
            </w:r>
          </w:p>
        </w:tc>
        <w:tc>
          <w:tcPr>
            <w:tcW w:w="1705" w:type="dxa"/>
            <w:tcBorders>
              <w:top w:val="nil"/>
              <w:left w:val="nil"/>
              <w:bottom w:val="nil"/>
              <w:right w:val="nil"/>
            </w:tcBorders>
          </w:tcPr>
          <w:p w14:paraId="1ED63EC8"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7338EBD" w14:textId="77777777" w:rsidTr="00911011">
        <w:trPr>
          <w:cantSplit/>
        </w:trPr>
        <w:tc>
          <w:tcPr>
            <w:tcW w:w="663" w:type="dxa"/>
            <w:tcBorders>
              <w:top w:val="nil"/>
              <w:left w:val="nil"/>
              <w:bottom w:val="nil"/>
              <w:right w:val="nil"/>
            </w:tcBorders>
          </w:tcPr>
          <w:p w14:paraId="76FF670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F1FF585"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the amount obtained by multiplying the number of complete 3 month periods in the unexpired period of the licence by 1 quarter of the annual fee paid for the issue or renewal of the licence; and</w:t>
            </w:r>
          </w:p>
        </w:tc>
        <w:tc>
          <w:tcPr>
            <w:tcW w:w="1705" w:type="dxa"/>
            <w:tcBorders>
              <w:top w:val="nil"/>
              <w:left w:val="nil"/>
              <w:bottom w:val="nil"/>
              <w:right w:val="nil"/>
            </w:tcBorders>
          </w:tcPr>
          <w:p w14:paraId="481ACCE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F0AA06F" w14:textId="77777777" w:rsidTr="00911011">
        <w:trPr>
          <w:cantSplit/>
        </w:trPr>
        <w:tc>
          <w:tcPr>
            <w:tcW w:w="663" w:type="dxa"/>
            <w:tcBorders>
              <w:top w:val="nil"/>
              <w:left w:val="nil"/>
              <w:bottom w:val="nil"/>
              <w:right w:val="nil"/>
            </w:tcBorders>
          </w:tcPr>
          <w:p w14:paraId="1FF7B3D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CBA138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(d)</w:t>
            </w:r>
            <w:r w:rsidRPr="002A3021">
              <w:rPr>
                <w:rFonts w:eastAsia="Times New Roman"/>
                <w:color w:val="000000"/>
                <w:sz w:val="20"/>
                <w:szCs w:val="20"/>
                <w:lang w:eastAsia="en-AU"/>
                <w14:ligatures w14:val="standardContextual"/>
              </w:rPr>
              <w:tab/>
              <w:t>the amount obtained by multiplying the number of complete 3 month periods in the unexpired period of the licence by 1 quarter of the annual fee that would have been payable for the issue or renewal of the licence if the person had not been a pensioner entitlement card holder.</w:t>
            </w:r>
          </w:p>
        </w:tc>
        <w:tc>
          <w:tcPr>
            <w:tcW w:w="1705" w:type="dxa"/>
            <w:tcBorders>
              <w:top w:val="nil"/>
              <w:left w:val="nil"/>
              <w:bottom w:val="nil"/>
              <w:right w:val="nil"/>
            </w:tcBorders>
          </w:tcPr>
          <w:p w14:paraId="098BB0C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CE91459" w14:textId="77777777" w:rsidTr="00911011">
        <w:trPr>
          <w:cantSplit/>
        </w:trPr>
        <w:tc>
          <w:tcPr>
            <w:tcW w:w="663" w:type="dxa"/>
            <w:tcBorders>
              <w:top w:val="nil"/>
              <w:left w:val="nil"/>
              <w:bottom w:val="nil"/>
              <w:right w:val="nil"/>
            </w:tcBorders>
          </w:tcPr>
          <w:p w14:paraId="65B994B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c>
          <w:tcPr>
            <w:tcW w:w="6417" w:type="dxa"/>
            <w:tcBorders>
              <w:top w:val="nil"/>
              <w:left w:val="nil"/>
              <w:bottom w:val="nil"/>
              <w:right w:val="nil"/>
            </w:tcBorders>
          </w:tcPr>
          <w:p w14:paraId="1B8C35B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purposes of subclause (3), the unexpired period of the licence commences on the day on which the person ceases to be a pensioner entitlement card holder.</w:t>
            </w:r>
          </w:p>
        </w:tc>
        <w:tc>
          <w:tcPr>
            <w:tcW w:w="1705" w:type="dxa"/>
            <w:tcBorders>
              <w:top w:val="nil"/>
              <w:left w:val="nil"/>
              <w:bottom w:val="nil"/>
              <w:right w:val="nil"/>
            </w:tcBorders>
          </w:tcPr>
          <w:p w14:paraId="6CF638A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49763AB" w14:textId="77777777" w:rsidTr="00911011">
        <w:trPr>
          <w:cantSplit/>
        </w:trPr>
        <w:tc>
          <w:tcPr>
            <w:tcW w:w="663" w:type="dxa"/>
            <w:tcBorders>
              <w:top w:val="nil"/>
              <w:left w:val="nil"/>
              <w:bottom w:val="nil"/>
              <w:right w:val="nil"/>
            </w:tcBorders>
          </w:tcPr>
          <w:p w14:paraId="54BE698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c>
          <w:tcPr>
            <w:tcW w:w="6417" w:type="dxa"/>
            <w:tcBorders>
              <w:top w:val="nil"/>
              <w:left w:val="nil"/>
              <w:bottom w:val="nil"/>
              <w:right w:val="nil"/>
            </w:tcBorders>
          </w:tcPr>
          <w:p w14:paraId="27E3600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in addition to the licence fee) for the issue or renewal of a driver's licence</w:t>
            </w:r>
          </w:p>
        </w:tc>
        <w:tc>
          <w:tcPr>
            <w:tcW w:w="1705" w:type="dxa"/>
            <w:tcBorders>
              <w:top w:val="nil"/>
              <w:left w:val="nil"/>
              <w:bottom w:val="nil"/>
              <w:right w:val="nil"/>
            </w:tcBorders>
          </w:tcPr>
          <w:p w14:paraId="58E782F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bl>
    <w:p w14:paraId="61E92A6C" w14:textId="77777777" w:rsidR="000A036E" w:rsidRDefault="000A036E">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12B75DF0" w14:textId="77777777" w:rsidTr="00911011">
        <w:trPr>
          <w:cantSplit/>
        </w:trPr>
        <w:tc>
          <w:tcPr>
            <w:tcW w:w="663" w:type="dxa"/>
            <w:tcBorders>
              <w:top w:val="nil"/>
              <w:left w:val="nil"/>
              <w:bottom w:val="nil"/>
              <w:right w:val="nil"/>
            </w:tcBorders>
          </w:tcPr>
          <w:p w14:paraId="7ED7643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lastRenderedPageBreak/>
              <w:t>(6)</w:t>
            </w:r>
          </w:p>
        </w:tc>
        <w:tc>
          <w:tcPr>
            <w:tcW w:w="6417" w:type="dxa"/>
            <w:tcBorders>
              <w:top w:val="nil"/>
              <w:left w:val="nil"/>
              <w:bottom w:val="nil"/>
              <w:right w:val="nil"/>
            </w:tcBorders>
          </w:tcPr>
          <w:p w14:paraId="282CB50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in addition to the fee prescribed in subclause (5)) where application for the issue of a driver's licence is made more than 6 months after the expiry of a previously held licence and the applicant was not, during the whole of the period of 6 months after the expiry of the previously held licence, disqualified from holding or obtaining a driver's licence</w:t>
            </w:r>
          </w:p>
        </w:tc>
        <w:tc>
          <w:tcPr>
            <w:tcW w:w="1705" w:type="dxa"/>
            <w:tcBorders>
              <w:top w:val="nil"/>
              <w:left w:val="nil"/>
              <w:bottom w:val="nil"/>
              <w:right w:val="nil"/>
            </w:tcBorders>
          </w:tcPr>
          <w:p w14:paraId="56298A9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460F86A8" w14:textId="77777777" w:rsidTr="00911011">
        <w:trPr>
          <w:cantSplit/>
        </w:trPr>
        <w:tc>
          <w:tcPr>
            <w:tcW w:w="663" w:type="dxa"/>
            <w:tcBorders>
              <w:top w:val="nil"/>
              <w:left w:val="nil"/>
              <w:bottom w:val="nil"/>
              <w:right w:val="nil"/>
            </w:tcBorders>
          </w:tcPr>
          <w:p w14:paraId="1F9B7CCF"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c>
          <w:tcPr>
            <w:tcW w:w="6417" w:type="dxa"/>
            <w:tcBorders>
              <w:top w:val="nil"/>
              <w:left w:val="nil"/>
              <w:bottom w:val="nil"/>
              <w:right w:val="nil"/>
            </w:tcBorders>
          </w:tcPr>
          <w:p w14:paraId="2B0FC2A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In this clause—</w:t>
            </w:r>
          </w:p>
        </w:tc>
        <w:tc>
          <w:tcPr>
            <w:tcW w:w="1705" w:type="dxa"/>
            <w:tcBorders>
              <w:top w:val="nil"/>
              <w:left w:val="nil"/>
              <w:bottom w:val="nil"/>
              <w:right w:val="nil"/>
            </w:tcBorders>
          </w:tcPr>
          <w:p w14:paraId="16AB5604"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EDA88F8" w14:textId="77777777" w:rsidTr="00911011">
        <w:trPr>
          <w:cantSplit/>
        </w:trPr>
        <w:tc>
          <w:tcPr>
            <w:tcW w:w="663" w:type="dxa"/>
            <w:tcBorders>
              <w:top w:val="nil"/>
              <w:left w:val="nil"/>
              <w:bottom w:val="nil"/>
              <w:right w:val="nil"/>
            </w:tcBorders>
          </w:tcPr>
          <w:p w14:paraId="5CADC58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17EC3F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pensioner entitlement card holder</w:t>
            </w:r>
            <w:r w:rsidRPr="002A3021">
              <w:rPr>
                <w:rFonts w:eastAsia="Times New Roman"/>
                <w:color w:val="000000"/>
                <w:sz w:val="20"/>
                <w:szCs w:val="20"/>
                <w:lang w:eastAsia="en-AU"/>
                <w14:ligatures w14:val="standardContextual"/>
              </w:rPr>
              <w:t xml:space="preserve"> means a person who—</w:t>
            </w:r>
          </w:p>
        </w:tc>
        <w:tc>
          <w:tcPr>
            <w:tcW w:w="1705" w:type="dxa"/>
            <w:tcBorders>
              <w:top w:val="nil"/>
              <w:left w:val="nil"/>
              <w:bottom w:val="nil"/>
              <w:right w:val="nil"/>
            </w:tcBorders>
          </w:tcPr>
          <w:p w14:paraId="473106B1"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D18C9A1" w14:textId="77777777" w:rsidTr="00911011">
        <w:trPr>
          <w:cantSplit/>
        </w:trPr>
        <w:tc>
          <w:tcPr>
            <w:tcW w:w="663" w:type="dxa"/>
            <w:tcBorders>
              <w:top w:val="nil"/>
              <w:left w:val="nil"/>
              <w:bottom w:val="nil"/>
              <w:right w:val="nil"/>
            </w:tcBorders>
          </w:tcPr>
          <w:p w14:paraId="60C575A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24030B0"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holds a pensioner entitlement card issued under an Act or law of the Commonwealth; and</w:t>
            </w:r>
          </w:p>
        </w:tc>
        <w:tc>
          <w:tcPr>
            <w:tcW w:w="1705" w:type="dxa"/>
            <w:tcBorders>
              <w:top w:val="nil"/>
              <w:left w:val="nil"/>
              <w:bottom w:val="nil"/>
              <w:right w:val="nil"/>
            </w:tcBorders>
          </w:tcPr>
          <w:p w14:paraId="43988450"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2E69905" w14:textId="77777777" w:rsidTr="00911011">
        <w:trPr>
          <w:cantSplit/>
        </w:trPr>
        <w:tc>
          <w:tcPr>
            <w:tcW w:w="663" w:type="dxa"/>
            <w:tcBorders>
              <w:top w:val="nil"/>
              <w:left w:val="nil"/>
              <w:bottom w:val="nil"/>
              <w:right w:val="nil"/>
            </w:tcBorders>
          </w:tcPr>
          <w:p w14:paraId="4AFBF3C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EC45F1B"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is entitled, as the holder of such a card, to travel on public transport in this State at reduced fares;</w:t>
            </w:r>
          </w:p>
        </w:tc>
        <w:tc>
          <w:tcPr>
            <w:tcW w:w="1705" w:type="dxa"/>
            <w:tcBorders>
              <w:top w:val="nil"/>
              <w:left w:val="nil"/>
              <w:bottom w:val="nil"/>
              <w:right w:val="nil"/>
            </w:tcBorders>
          </w:tcPr>
          <w:p w14:paraId="0E8156A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AF90524" w14:textId="77777777" w:rsidTr="00911011">
        <w:trPr>
          <w:cantSplit/>
        </w:trPr>
        <w:tc>
          <w:tcPr>
            <w:tcW w:w="663" w:type="dxa"/>
            <w:tcBorders>
              <w:top w:val="nil"/>
              <w:left w:val="nil"/>
              <w:bottom w:val="nil"/>
              <w:right w:val="nil"/>
            </w:tcBorders>
          </w:tcPr>
          <w:p w14:paraId="3388FF7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9BCC62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i/>
                <w:iCs/>
                <w:color w:val="000000"/>
                <w:sz w:val="20"/>
                <w:szCs w:val="20"/>
                <w:lang w:eastAsia="en-AU"/>
                <w14:ligatures w14:val="standardContextual"/>
              </w:rPr>
              <w:t>reduced fee</w:t>
            </w:r>
            <w:r w:rsidRPr="002A3021">
              <w:rPr>
                <w:rFonts w:eastAsia="Times New Roman"/>
                <w:color w:val="000000"/>
                <w:sz w:val="20"/>
                <w:szCs w:val="20"/>
                <w:lang w:eastAsia="en-AU"/>
                <w14:ligatures w14:val="standardContextual"/>
              </w:rPr>
              <w:t xml:space="preserve"> means the fee payable for the issue or renewal of a driver's licence where the applicant is a pensioner entitlement card holder.</w:t>
            </w:r>
          </w:p>
        </w:tc>
        <w:tc>
          <w:tcPr>
            <w:tcW w:w="1705" w:type="dxa"/>
            <w:tcBorders>
              <w:top w:val="nil"/>
              <w:left w:val="nil"/>
              <w:bottom w:val="nil"/>
              <w:right w:val="nil"/>
            </w:tcBorders>
          </w:tcPr>
          <w:p w14:paraId="4A0B9FA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6D034BA1" w14:textId="77777777" w:rsidTr="002B2E13">
        <w:trPr>
          <w:cantSplit/>
        </w:trPr>
        <w:tc>
          <w:tcPr>
            <w:tcW w:w="8785" w:type="dxa"/>
            <w:gridSpan w:val="3"/>
            <w:tcBorders>
              <w:top w:val="nil"/>
              <w:left w:val="nil"/>
              <w:bottom w:val="nil"/>
              <w:right w:val="nil"/>
            </w:tcBorders>
          </w:tcPr>
          <w:p w14:paraId="7E46FB6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23—Duplicate driver's licence</w:t>
            </w:r>
          </w:p>
        </w:tc>
      </w:tr>
      <w:tr w:rsidR="002A3021" w:rsidRPr="002A3021" w14:paraId="53AD55A5" w14:textId="77777777" w:rsidTr="00911011">
        <w:trPr>
          <w:cantSplit/>
        </w:trPr>
        <w:tc>
          <w:tcPr>
            <w:tcW w:w="663" w:type="dxa"/>
            <w:tcBorders>
              <w:top w:val="nil"/>
              <w:left w:val="nil"/>
              <w:bottom w:val="nil"/>
              <w:right w:val="nil"/>
            </w:tcBorders>
          </w:tcPr>
          <w:p w14:paraId="3279577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41CA94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driver's licence that bears a photograph of the holder</w:t>
            </w:r>
          </w:p>
        </w:tc>
        <w:tc>
          <w:tcPr>
            <w:tcW w:w="1705" w:type="dxa"/>
            <w:tcBorders>
              <w:top w:val="nil"/>
              <w:left w:val="nil"/>
              <w:bottom w:val="nil"/>
              <w:right w:val="nil"/>
            </w:tcBorders>
          </w:tcPr>
          <w:p w14:paraId="0A96BBB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5E451889" w14:textId="77777777" w:rsidTr="002B2E13">
        <w:trPr>
          <w:cantSplit/>
        </w:trPr>
        <w:tc>
          <w:tcPr>
            <w:tcW w:w="8785" w:type="dxa"/>
            <w:gridSpan w:val="3"/>
            <w:tcBorders>
              <w:top w:val="nil"/>
              <w:left w:val="nil"/>
              <w:bottom w:val="nil"/>
              <w:right w:val="nil"/>
            </w:tcBorders>
          </w:tcPr>
          <w:p w14:paraId="3BBB6AD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24—Learner's permit</w:t>
            </w:r>
          </w:p>
        </w:tc>
      </w:tr>
      <w:tr w:rsidR="002A3021" w:rsidRPr="002A3021" w14:paraId="0635A30B" w14:textId="77777777" w:rsidTr="00911011">
        <w:trPr>
          <w:cantSplit/>
        </w:trPr>
        <w:tc>
          <w:tcPr>
            <w:tcW w:w="663" w:type="dxa"/>
            <w:tcBorders>
              <w:top w:val="nil"/>
              <w:left w:val="nil"/>
              <w:bottom w:val="nil"/>
              <w:right w:val="nil"/>
            </w:tcBorders>
          </w:tcPr>
          <w:p w14:paraId="1BCB39E8"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5E792F9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issue or renewal of a learner's permit for—</w:t>
            </w:r>
          </w:p>
        </w:tc>
        <w:tc>
          <w:tcPr>
            <w:tcW w:w="1705" w:type="dxa"/>
            <w:tcBorders>
              <w:top w:val="nil"/>
              <w:left w:val="nil"/>
              <w:bottom w:val="nil"/>
              <w:right w:val="nil"/>
            </w:tcBorders>
          </w:tcPr>
          <w:p w14:paraId="6A241B3B"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7E48D0F" w14:textId="77777777" w:rsidTr="00911011">
        <w:trPr>
          <w:cantSplit/>
        </w:trPr>
        <w:tc>
          <w:tcPr>
            <w:tcW w:w="663" w:type="dxa"/>
            <w:tcBorders>
              <w:top w:val="nil"/>
              <w:left w:val="nil"/>
              <w:bottom w:val="nil"/>
              <w:right w:val="nil"/>
            </w:tcBorders>
          </w:tcPr>
          <w:p w14:paraId="52BC931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763DF1B"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1 year</w:t>
            </w:r>
          </w:p>
        </w:tc>
        <w:tc>
          <w:tcPr>
            <w:tcW w:w="1705" w:type="dxa"/>
            <w:tcBorders>
              <w:top w:val="nil"/>
              <w:left w:val="nil"/>
              <w:bottom w:val="nil"/>
              <w:right w:val="nil"/>
            </w:tcBorders>
          </w:tcPr>
          <w:p w14:paraId="3D72CB0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$27.00</w:t>
            </w:r>
          </w:p>
        </w:tc>
      </w:tr>
      <w:tr w:rsidR="002A3021" w:rsidRPr="002A3021" w14:paraId="112ED66D" w14:textId="77777777" w:rsidTr="00911011">
        <w:trPr>
          <w:cantSplit/>
        </w:trPr>
        <w:tc>
          <w:tcPr>
            <w:tcW w:w="663" w:type="dxa"/>
            <w:tcBorders>
              <w:top w:val="nil"/>
              <w:left w:val="nil"/>
              <w:bottom w:val="nil"/>
              <w:right w:val="nil"/>
            </w:tcBorders>
          </w:tcPr>
          <w:p w14:paraId="1604626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13FB6E6"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2 years</w:t>
            </w:r>
          </w:p>
        </w:tc>
        <w:tc>
          <w:tcPr>
            <w:tcW w:w="1705" w:type="dxa"/>
            <w:tcBorders>
              <w:top w:val="nil"/>
              <w:left w:val="nil"/>
              <w:bottom w:val="nil"/>
              <w:right w:val="nil"/>
            </w:tcBorders>
          </w:tcPr>
          <w:p w14:paraId="4458793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$54.00</w:t>
            </w:r>
          </w:p>
        </w:tc>
      </w:tr>
      <w:tr w:rsidR="002A3021" w:rsidRPr="002A3021" w14:paraId="7D037E66" w14:textId="77777777" w:rsidTr="00911011">
        <w:trPr>
          <w:cantSplit/>
        </w:trPr>
        <w:tc>
          <w:tcPr>
            <w:tcW w:w="663" w:type="dxa"/>
            <w:tcBorders>
              <w:top w:val="nil"/>
              <w:left w:val="nil"/>
              <w:bottom w:val="nil"/>
              <w:right w:val="nil"/>
            </w:tcBorders>
          </w:tcPr>
          <w:p w14:paraId="4CE4C3D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F3A5B22"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3 years</w:t>
            </w:r>
          </w:p>
        </w:tc>
        <w:tc>
          <w:tcPr>
            <w:tcW w:w="1705" w:type="dxa"/>
            <w:tcBorders>
              <w:top w:val="nil"/>
              <w:left w:val="nil"/>
              <w:bottom w:val="nil"/>
              <w:right w:val="nil"/>
            </w:tcBorders>
          </w:tcPr>
          <w:p w14:paraId="7CC7187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$81.00</w:t>
            </w:r>
          </w:p>
        </w:tc>
      </w:tr>
      <w:tr w:rsidR="002A3021" w:rsidRPr="002A3021" w14:paraId="39D5BC1A" w14:textId="77777777" w:rsidTr="00911011">
        <w:trPr>
          <w:cantSplit/>
        </w:trPr>
        <w:tc>
          <w:tcPr>
            <w:tcW w:w="663" w:type="dxa"/>
            <w:tcBorders>
              <w:top w:val="nil"/>
              <w:left w:val="nil"/>
              <w:bottom w:val="nil"/>
              <w:right w:val="nil"/>
            </w:tcBorders>
          </w:tcPr>
          <w:p w14:paraId="0A150D2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64A6AC5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or renewal of a learner's permit (payable in addition to the permit fee)</w:t>
            </w:r>
          </w:p>
        </w:tc>
        <w:tc>
          <w:tcPr>
            <w:tcW w:w="1705" w:type="dxa"/>
            <w:tcBorders>
              <w:top w:val="nil"/>
              <w:left w:val="nil"/>
              <w:bottom w:val="nil"/>
              <w:right w:val="nil"/>
            </w:tcBorders>
          </w:tcPr>
          <w:p w14:paraId="692E8CA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25BDA221" w14:textId="77777777" w:rsidTr="002B2E13">
        <w:trPr>
          <w:cantSplit/>
        </w:trPr>
        <w:tc>
          <w:tcPr>
            <w:tcW w:w="8785" w:type="dxa"/>
            <w:gridSpan w:val="3"/>
            <w:tcBorders>
              <w:top w:val="nil"/>
              <w:left w:val="nil"/>
              <w:bottom w:val="nil"/>
              <w:right w:val="nil"/>
            </w:tcBorders>
          </w:tcPr>
          <w:p w14:paraId="579E137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25—Duplicate learner's permit</w:t>
            </w:r>
          </w:p>
        </w:tc>
      </w:tr>
      <w:tr w:rsidR="002A3021" w:rsidRPr="002A3021" w14:paraId="1A9221E3" w14:textId="77777777" w:rsidTr="00911011">
        <w:trPr>
          <w:cantSplit/>
        </w:trPr>
        <w:tc>
          <w:tcPr>
            <w:tcW w:w="663" w:type="dxa"/>
            <w:tcBorders>
              <w:top w:val="nil"/>
              <w:left w:val="nil"/>
              <w:bottom w:val="nil"/>
              <w:right w:val="nil"/>
            </w:tcBorders>
          </w:tcPr>
          <w:p w14:paraId="7701978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31E806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learner's permit</w:t>
            </w:r>
          </w:p>
        </w:tc>
        <w:tc>
          <w:tcPr>
            <w:tcW w:w="1705" w:type="dxa"/>
            <w:tcBorders>
              <w:top w:val="nil"/>
              <w:left w:val="nil"/>
              <w:bottom w:val="nil"/>
              <w:right w:val="nil"/>
            </w:tcBorders>
          </w:tcPr>
          <w:p w14:paraId="1430434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44F37264" w14:textId="77777777" w:rsidTr="002B2E13">
        <w:trPr>
          <w:cantSplit/>
        </w:trPr>
        <w:tc>
          <w:tcPr>
            <w:tcW w:w="8785" w:type="dxa"/>
            <w:gridSpan w:val="3"/>
            <w:tcBorders>
              <w:top w:val="nil"/>
              <w:left w:val="nil"/>
              <w:bottom w:val="nil"/>
              <w:right w:val="nil"/>
            </w:tcBorders>
          </w:tcPr>
          <w:p w14:paraId="732AB73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26—Duplicate certificate of high powered vehicle exemption</w:t>
            </w:r>
          </w:p>
        </w:tc>
      </w:tr>
      <w:tr w:rsidR="002A3021" w:rsidRPr="002A3021" w14:paraId="5E364846" w14:textId="77777777" w:rsidTr="00911011">
        <w:trPr>
          <w:cantSplit/>
        </w:trPr>
        <w:tc>
          <w:tcPr>
            <w:tcW w:w="663" w:type="dxa"/>
            <w:tcBorders>
              <w:top w:val="nil"/>
              <w:left w:val="nil"/>
              <w:bottom w:val="nil"/>
              <w:right w:val="nil"/>
            </w:tcBorders>
          </w:tcPr>
          <w:p w14:paraId="4A783BA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1960B0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certificate of a high powered vehicle exemption</w:t>
            </w:r>
          </w:p>
        </w:tc>
        <w:tc>
          <w:tcPr>
            <w:tcW w:w="1705" w:type="dxa"/>
            <w:tcBorders>
              <w:top w:val="nil"/>
              <w:left w:val="nil"/>
              <w:bottom w:val="nil"/>
              <w:right w:val="nil"/>
            </w:tcBorders>
          </w:tcPr>
          <w:p w14:paraId="7432DC3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6E566DC5" w14:textId="77777777" w:rsidTr="002B2E13">
        <w:trPr>
          <w:cantSplit/>
        </w:trPr>
        <w:tc>
          <w:tcPr>
            <w:tcW w:w="8785" w:type="dxa"/>
            <w:gridSpan w:val="3"/>
            <w:tcBorders>
              <w:top w:val="nil"/>
              <w:left w:val="nil"/>
              <w:bottom w:val="nil"/>
              <w:right w:val="nil"/>
            </w:tcBorders>
          </w:tcPr>
          <w:p w14:paraId="637F903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27—Approved theoretical examination</w:t>
            </w:r>
          </w:p>
        </w:tc>
      </w:tr>
      <w:tr w:rsidR="002A3021" w:rsidRPr="002A3021" w14:paraId="3D48FB94" w14:textId="77777777" w:rsidTr="00911011">
        <w:trPr>
          <w:cantSplit/>
        </w:trPr>
        <w:tc>
          <w:tcPr>
            <w:tcW w:w="663" w:type="dxa"/>
            <w:tcBorders>
              <w:top w:val="nil"/>
              <w:left w:val="nil"/>
              <w:bottom w:val="nil"/>
              <w:right w:val="nil"/>
            </w:tcBorders>
          </w:tcPr>
          <w:p w14:paraId="04BE1A6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C0884D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an approved theoretical examination—</w:t>
            </w:r>
          </w:p>
        </w:tc>
        <w:tc>
          <w:tcPr>
            <w:tcW w:w="1705" w:type="dxa"/>
            <w:tcBorders>
              <w:top w:val="nil"/>
              <w:left w:val="nil"/>
              <w:bottom w:val="nil"/>
              <w:right w:val="nil"/>
            </w:tcBorders>
          </w:tcPr>
          <w:p w14:paraId="3DDC08C3"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20F112E" w14:textId="77777777" w:rsidTr="00911011">
        <w:trPr>
          <w:cantSplit/>
        </w:trPr>
        <w:tc>
          <w:tcPr>
            <w:tcW w:w="663" w:type="dxa"/>
            <w:tcBorders>
              <w:top w:val="nil"/>
              <w:left w:val="nil"/>
              <w:bottom w:val="nil"/>
              <w:right w:val="nil"/>
            </w:tcBorders>
          </w:tcPr>
          <w:p w14:paraId="33E8355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E52CC2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examination fee</w:t>
            </w:r>
          </w:p>
        </w:tc>
        <w:tc>
          <w:tcPr>
            <w:tcW w:w="1705" w:type="dxa"/>
            <w:tcBorders>
              <w:top w:val="nil"/>
              <w:left w:val="nil"/>
              <w:bottom w:val="nil"/>
              <w:right w:val="nil"/>
            </w:tcBorders>
          </w:tcPr>
          <w:p w14:paraId="796FD36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$21.00</w:t>
            </w:r>
          </w:p>
        </w:tc>
      </w:tr>
      <w:tr w:rsidR="002A3021" w:rsidRPr="002A3021" w14:paraId="6C9851A1" w14:textId="77777777" w:rsidTr="00911011">
        <w:trPr>
          <w:cantSplit/>
        </w:trPr>
        <w:tc>
          <w:tcPr>
            <w:tcW w:w="663" w:type="dxa"/>
            <w:tcBorders>
              <w:top w:val="nil"/>
              <w:left w:val="nil"/>
              <w:bottom w:val="nil"/>
              <w:right w:val="nil"/>
            </w:tcBorders>
          </w:tcPr>
          <w:p w14:paraId="2712F30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D02C4F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examination fee)</w:t>
            </w:r>
          </w:p>
        </w:tc>
        <w:tc>
          <w:tcPr>
            <w:tcW w:w="1705" w:type="dxa"/>
            <w:tcBorders>
              <w:top w:val="nil"/>
              <w:left w:val="nil"/>
              <w:bottom w:val="nil"/>
              <w:right w:val="nil"/>
            </w:tcBorders>
          </w:tcPr>
          <w:p w14:paraId="0E4AF4A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0113F92D" w14:textId="77777777" w:rsidTr="002B2E13">
        <w:trPr>
          <w:cantSplit/>
        </w:trPr>
        <w:tc>
          <w:tcPr>
            <w:tcW w:w="8785" w:type="dxa"/>
            <w:gridSpan w:val="3"/>
            <w:tcBorders>
              <w:top w:val="nil"/>
              <w:left w:val="nil"/>
              <w:bottom w:val="nil"/>
              <w:right w:val="nil"/>
            </w:tcBorders>
          </w:tcPr>
          <w:p w14:paraId="2A8078B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28—Practical driving tests conducted by government authorised examiners</w:t>
            </w:r>
          </w:p>
        </w:tc>
      </w:tr>
      <w:tr w:rsidR="002A3021" w:rsidRPr="002A3021" w14:paraId="17629591" w14:textId="77777777" w:rsidTr="00911011">
        <w:trPr>
          <w:cantSplit/>
        </w:trPr>
        <w:tc>
          <w:tcPr>
            <w:tcW w:w="663" w:type="dxa"/>
            <w:tcBorders>
              <w:top w:val="nil"/>
              <w:left w:val="nil"/>
              <w:bottom w:val="nil"/>
              <w:right w:val="nil"/>
            </w:tcBorders>
          </w:tcPr>
          <w:p w14:paraId="764AF415"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482C77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practical driving test conducted by a government authorised examiner—</w:t>
            </w:r>
          </w:p>
        </w:tc>
        <w:tc>
          <w:tcPr>
            <w:tcW w:w="1705" w:type="dxa"/>
            <w:tcBorders>
              <w:top w:val="nil"/>
              <w:left w:val="nil"/>
              <w:bottom w:val="nil"/>
              <w:right w:val="nil"/>
            </w:tcBorders>
          </w:tcPr>
          <w:p w14:paraId="1829D1CE"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B914B9B" w14:textId="77777777" w:rsidTr="00911011">
        <w:trPr>
          <w:cantSplit/>
        </w:trPr>
        <w:tc>
          <w:tcPr>
            <w:tcW w:w="663" w:type="dxa"/>
            <w:tcBorders>
              <w:top w:val="nil"/>
              <w:left w:val="nil"/>
              <w:bottom w:val="nil"/>
              <w:right w:val="nil"/>
            </w:tcBorders>
          </w:tcPr>
          <w:p w14:paraId="3C10AB5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6896C3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booking fee</w:t>
            </w:r>
          </w:p>
        </w:tc>
        <w:tc>
          <w:tcPr>
            <w:tcW w:w="1705" w:type="dxa"/>
            <w:tcBorders>
              <w:top w:val="nil"/>
              <w:left w:val="nil"/>
              <w:bottom w:val="nil"/>
              <w:right w:val="nil"/>
            </w:tcBorders>
          </w:tcPr>
          <w:p w14:paraId="4109446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A3021" w:rsidRPr="002A3021" w14:paraId="74FEEFB0" w14:textId="77777777" w:rsidTr="00911011">
        <w:trPr>
          <w:cantSplit/>
        </w:trPr>
        <w:tc>
          <w:tcPr>
            <w:tcW w:w="663" w:type="dxa"/>
            <w:tcBorders>
              <w:top w:val="nil"/>
              <w:left w:val="nil"/>
              <w:bottom w:val="nil"/>
              <w:right w:val="nil"/>
            </w:tcBorders>
          </w:tcPr>
          <w:p w14:paraId="300E3148"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B8564EF"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test fee—</w:t>
            </w:r>
          </w:p>
        </w:tc>
        <w:tc>
          <w:tcPr>
            <w:tcW w:w="1705" w:type="dxa"/>
            <w:tcBorders>
              <w:top w:val="nil"/>
              <w:left w:val="nil"/>
              <w:bottom w:val="nil"/>
              <w:right w:val="nil"/>
            </w:tcBorders>
          </w:tcPr>
          <w:p w14:paraId="377DED22"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661B20B" w14:textId="77777777" w:rsidTr="00911011">
        <w:trPr>
          <w:cantSplit/>
        </w:trPr>
        <w:tc>
          <w:tcPr>
            <w:tcW w:w="663" w:type="dxa"/>
            <w:tcBorders>
              <w:top w:val="nil"/>
              <w:left w:val="nil"/>
              <w:bottom w:val="nil"/>
              <w:right w:val="nil"/>
            </w:tcBorders>
          </w:tcPr>
          <w:p w14:paraId="733E37E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4F4B58D"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for a test of up to, but not exceeding, 40 min duration</w:t>
            </w:r>
          </w:p>
        </w:tc>
        <w:tc>
          <w:tcPr>
            <w:tcW w:w="1705" w:type="dxa"/>
            <w:tcBorders>
              <w:top w:val="nil"/>
              <w:left w:val="nil"/>
              <w:bottom w:val="nil"/>
              <w:right w:val="nil"/>
            </w:tcBorders>
          </w:tcPr>
          <w:p w14:paraId="2AE5A11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$64.00</w:t>
            </w:r>
          </w:p>
        </w:tc>
      </w:tr>
      <w:tr w:rsidR="002A3021" w:rsidRPr="002A3021" w14:paraId="5D38B97F" w14:textId="77777777" w:rsidTr="00911011">
        <w:trPr>
          <w:cantSplit/>
        </w:trPr>
        <w:tc>
          <w:tcPr>
            <w:tcW w:w="663" w:type="dxa"/>
            <w:tcBorders>
              <w:top w:val="nil"/>
              <w:left w:val="nil"/>
              <w:bottom w:val="nil"/>
              <w:right w:val="nil"/>
            </w:tcBorders>
          </w:tcPr>
          <w:p w14:paraId="2CF81CC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5759EEB"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for a test exceeding 40 min duration</w:t>
            </w:r>
          </w:p>
        </w:tc>
        <w:tc>
          <w:tcPr>
            <w:tcW w:w="1705" w:type="dxa"/>
            <w:tcBorders>
              <w:top w:val="nil"/>
              <w:left w:val="nil"/>
              <w:bottom w:val="nil"/>
              <w:right w:val="nil"/>
            </w:tcBorders>
          </w:tcPr>
          <w:p w14:paraId="4C5E6AE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$146.00</w:t>
            </w:r>
          </w:p>
        </w:tc>
      </w:tr>
      <w:tr w:rsidR="002A3021" w:rsidRPr="002A3021" w14:paraId="4B8D1D57" w14:textId="77777777" w:rsidTr="00911011">
        <w:trPr>
          <w:cantSplit/>
        </w:trPr>
        <w:tc>
          <w:tcPr>
            <w:tcW w:w="663" w:type="dxa"/>
            <w:tcBorders>
              <w:top w:val="nil"/>
              <w:left w:val="nil"/>
              <w:bottom w:val="nil"/>
              <w:right w:val="nil"/>
            </w:tcBorders>
          </w:tcPr>
          <w:p w14:paraId="64312E3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DC65E6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4E206345"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bl>
    <w:p w14:paraId="6D690E5B" w14:textId="77777777" w:rsidR="000A036E" w:rsidRDefault="000A036E">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B2E13" w:rsidRPr="002A3021" w14:paraId="24099C27" w14:textId="77777777" w:rsidTr="002B2E13">
        <w:trPr>
          <w:cantSplit/>
        </w:trPr>
        <w:tc>
          <w:tcPr>
            <w:tcW w:w="8785" w:type="dxa"/>
            <w:gridSpan w:val="3"/>
            <w:tcBorders>
              <w:top w:val="nil"/>
              <w:left w:val="nil"/>
              <w:bottom w:val="nil"/>
              <w:right w:val="nil"/>
            </w:tcBorders>
          </w:tcPr>
          <w:p w14:paraId="7FAB732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29—Other practical driving tests; final assessments</w:t>
            </w:r>
          </w:p>
        </w:tc>
      </w:tr>
      <w:tr w:rsidR="002A3021" w:rsidRPr="002A3021" w14:paraId="1E9AE335" w14:textId="77777777" w:rsidTr="00911011">
        <w:trPr>
          <w:cantSplit/>
        </w:trPr>
        <w:tc>
          <w:tcPr>
            <w:tcW w:w="663" w:type="dxa"/>
            <w:tcBorders>
              <w:top w:val="nil"/>
              <w:left w:val="nil"/>
              <w:bottom w:val="nil"/>
              <w:right w:val="nil"/>
            </w:tcBorders>
          </w:tcPr>
          <w:p w14:paraId="1FB84CD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C69020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Booking fee, for notice to the Registrar of—</w:t>
            </w:r>
          </w:p>
        </w:tc>
        <w:tc>
          <w:tcPr>
            <w:tcW w:w="1705" w:type="dxa"/>
            <w:tcBorders>
              <w:top w:val="nil"/>
              <w:left w:val="nil"/>
              <w:bottom w:val="nil"/>
              <w:right w:val="nil"/>
            </w:tcBorders>
          </w:tcPr>
          <w:p w14:paraId="637F1D7B"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$39.00</w:t>
            </w:r>
          </w:p>
        </w:tc>
      </w:tr>
      <w:tr w:rsidR="002A3021" w:rsidRPr="002A3021" w14:paraId="070CD22F" w14:textId="77777777" w:rsidTr="00911011">
        <w:trPr>
          <w:cantSplit/>
        </w:trPr>
        <w:tc>
          <w:tcPr>
            <w:tcW w:w="663" w:type="dxa"/>
            <w:tcBorders>
              <w:top w:val="nil"/>
              <w:left w:val="nil"/>
              <w:bottom w:val="nil"/>
              <w:right w:val="nil"/>
            </w:tcBorders>
          </w:tcPr>
          <w:p w14:paraId="370B34D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3F69B4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practical driving test; or</w:t>
            </w:r>
          </w:p>
        </w:tc>
        <w:tc>
          <w:tcPr>
            <w:tcW w:w="1705" w:type="dxa"/>
            <w:tcBorders>
              <w:top w:val="nil"/>
              <w:left w:val="nil"/>
              <w:bottom w:val="nil"/>
              <w:right w:val="nil"/>
            </w:tcBorders>
          </w:tcPr>
          <w:p w14:paraId="66AFF31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56B71FC" w14:textId="77777777" w:rsidTr="00911011">
        <w:trPr>
          <w:cantSplit/>
        </w:trPr>
        <w:tc>
          <w:tcPr>
            <w:tcW w:w="663" w:type="dxa"/>
            <w:tcBorders>
              <w:top w:val="nil"/>
              <w:left w:val="nil"/>
              <w:bottom w:val="nil"/>
              <w:right w:val="nil"/>
            </w:tcBorders>
          </w:tcPr>
          <w:p w14:paraId="11E803F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CED82C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 final assessment in a competence based training course for drivers of motor vehicles undertaken in accordance with the directions of the Registrar,</w:t>
            </w:r>
          </w:p>
        </w:tc>
        <w:tc>
          <w:tcPr>
            <w:tcW w:w="1705" w:type="dxa"/>
            <w:tcBorders>
              <w:top w:val="nil"/>
              <w:left w:val="nil"/>
              <w:bottom w:val="nil"/>
              <w:right w:val="nil"/>
            </w:tcBorders>
          </w:tcPr>
          <w:p w14:paraId="0EBF214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5602FA9" w14:textId="77777777" w:rsidTr="00911011">
        <w:trPr>
          <w:cantSplit/>
        </w:trPr>
        <w:tc>
          <w:tcPr>
            <w:tcW w:w="663" w:type="dxa"/>
            <w:tcBorders>
              <w:top w:val="nil"/>
              <w:left w:val="nil"/>
              <w:bottom w:val="nil"/>
              <w:right w:val="nil"/>
            </w:tcBorders>
          </w:tcPr>
          <w:p w14:paraId="1600B34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3EB7A3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to be conducted by an authorised examiner other than a government authorised examiner</w:t>
            </w:r>
          </w:p>
        </w:tc>
        <w:tc>
          <w:tcPr>
            <w:tcW w:w="1705" w:type="dxa"/>
            <w:tcBorders>
              <w:top w:val="nil"/>
              <w:left w:val="nil"/>
              <w:bottom w:val="nil"/>
              <w:right w:val="nil"/>
            </w:tcBorders>
          </w:tcPr>
          <w:p w14:paraId="6BBDA49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50A86694" w14:textId="77777777" w:rsidTr="002B2E13">
        <w:trPr>
          <w:cantSplit/>
        </w:trPr>
        <w:tc>
          <w:tcPr>
            <w:tcW w:w="8785" w:type="dxa"/>
            <w:gridSpan w:val="3"/>
            <w:tcBorders>
              <w:top w:val="nil"/>
              <w:left w:val="nil"/>
              <w:bottom w:val="nil"/>
              <w:right w:val="nil"/>
            </w:tcBorders>
          </w:tcPr>
          <w:p w14:paraId="36115B82" w14:textId="77777777" w:rsidR="002A3021" w:rsidRPr="002A3021" w:rsidRDefault="002A3021" w:rsidP="004311B6">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30—Approved driver training course</w:t>
            </w:r>
          </w:p>
        </w:tc>
      </w:tr>
      <w:tr w:rsidR="002A3021" w:rsidRPr="002A3021" w14:paraId="1076D66A" w14:textId="77777777" w:rsidTr="00911011">
        <w:trPr>
          <w:cantSplit/>
        </w:trPr>
        <w:tc>
          <w:tcPr>
            <w:tcW w:w="663" w:type="dxa"/>
            <w:tcBorders>
              <w:top w:val="nil"/>
              <w:left w:val="nil"/>
              <w:bottom w:val="nil"/>
              <w:right w:val="nil"/>
            </w:tcBorders>
          </w:tcPr>
          <w:p w14:paraId="67741DF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CAF9E7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an approved driver training course—</w:t>
            </w:r>
          </w:p>
        </w:tc>
        <w:tc>
          <w:tcPr>
            <w:tcW w:w="1705" w:type="dxa"/>
            <w:tcBorders>
              <w:top w:val="nil"/>
              <w:left w:val="nil"/>
              <w:bottom w:val="nil"/>
              <w:right w:val="nil"/>
            </w:tcBorders>
          </w:tcPr>
          <w:p w14:paraId="28604654"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71D46E1" w14:textId="77777777" w:rsidTr="00911011">
        <w:trPr>
          <w:cantSplit/>
        </w:trPr>
        <w:tc>
          <w:tcPr>
            <w:tcW w:w="663" w:type="dxa"/>
            <w:tcBorders>
              <w:top w:val="nil"/>
              <w:left w:val="nil"/>
              <w:bottom w:val="nil"/>
              <w:right w:val="nil"/>
            </w:tcBorders>
          </w:tcPr>
          <w:p w14:paraId="3A0C687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90F78EB"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course fee</w:t>
            </w:r>
          </w:p>
        </w:tc>
        <w:tc>
          <w:tcPr>
            <w:tcW w:w="1705" w:type="dxa"/>
            <w:tcBorders>
              <w:top w:val="nil"/>
              <w:left w:val="nil"/>
              <w:bottom w:val="nil"/>
              <w:right w:val="nil"/>
            </w:tcBorders>
          </w:tcPr>
          <w:p w14:paraId="319E75E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$53.00</w:t>
            </w:r>
          </w:p>
        </w:tc>
      </w:tr>
      <w:tr w:rsidR="002A3021" w:rsidRPr="002A3021" w14:paraId="50953D3C" w14:textId="77777777" w:rsidTr="00911011">
        <w:trPr>
          <w:cantSplit/>
        </w:trPr>
        <w:tc>
          <w:tcPr>
            <w:tcW w:w="663" w:type="dxa"/>
            <w:tcBorders>
              <w:top w:val="nil"/>
              <w:left w:val="nil"/>
              <w:bottom w:val="nil"/>
              <w:right w:val="nil"/>
            </w:tcBorders>
          </w:tcPr>
          <w:p w14:paraId="2934EF2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EC81EC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course fee)</w:t>
            </w:r>
          </w:p>
        </w:tc>
        <w:tc>
          <w:tcPr>
            <w:tcW w:w="1705" w:type="dxa"/>
            <w:tcBorders>
              <w:top w:val="nil"/>
              <w:left w:val="nil"/>
              <w:bottom w:val="nil"/>
              <w:right w:val="nil"/>
            </w:tcBorders>
          </w:tcPr>
          <w:p w14:paraId="0E50E60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B2E13" w:rsidRPr="002A3021" w14:paraId="6B00911F" w14:textId="77777777" w:rsidTr="002B2E13">
        <w:trPr>
          <w:cantSplit/>
        </w:trPr>
        <w:tc>
          <w:tcPr>
            <w:tcW w:w="8785" w:type="dxa"/>
            <w:gridSpan w:val="3"/>
            <w:tcBorders>
              <w:top w:val="nil"/>
              <w:left w:val="nil"/>
              <w:bottom w:val="nil"/>
              <w:right w:val="nil"/>
            </w:tcBorders>
          </w:tcPr>
          <w:p w14:paraId="085B0476" w14:textId="77777777" w:rsidR="002A3021" w:rsidRPr="002A3021" w:rsidRDefault="002A3021" w:rsidP="004311B6">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31—Approved hazard perception tests</w:t>
            </w:r>
          </w:p>
        </w:tc>
      </w:tr>
      <w:tr w:rsidR="002A3021" w:rsidRPr="002A3021" w14:paraId="5BC5CEA3" w14:textId="77777777" w:rsidTr="00911011">
        <w:trPr>
          <w:cantSplit/>
        </w:trPr>
        <w:tc>
          <w:tcPr>
            <w:tcW w:w="663" w:type="dxa"/>
            <w:tcBorders>
              <w:top w:val="nil"/>
              <w:left w:val="nil"/>
              <w:bottom w:val="nil"/>
              <w:right w:val="nil"/>
            </w:tcBorders>
          </w:tcPr>
          <w:p w14:paraId="0FCC5098"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C3C9449"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an approved hazard perception test—</w:t>
            </w:r>
          </w:p>
        </w:tc>
        <w:tc>
          <w:tcPr>
            <w:tcW w:w="1705" w:type="dxa"/>
            <w:tcBorders>
              <w:top w:val="nil"/>
              <w:left w:val="nil"/>
              <w:bottom w:val="nil"/>
              <w:right w:val="nil"/>
            </w:tcBorders>
          </w:tcPr>
          <w:p w14:paraId="2B118FC9"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F474767" w14:textId="77777777" w:rsidTr="00911011">
        <w:trPr>
          <w:cantSplit/>
        </w:trPr>
        <w:tc>
          <w:tcPr>
            <w:tcW w:w="663" w:type="dxa"/>
            <w:tcBorders>
              <w:top w:val="nil"/>
              <w:left w:val="nil"/>
              <w:bottom w:val="nil"/>
              <w:right w:val="nil"/>
            </w:tcBorders>
          </w:tcPr>
          <w:p w14:paraId="4E951B0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93AD74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test fee</w:t>
            </w:r>
          </w:p>
        </w:tc>
        <w:tc>
          <w:tcPr>
            <w:tcW w:w="1705" w:type="dxa"/>
            <w:tcBorders>
              <w:top w:val="nil"/>
              <w:left w:val="nil"/>
              <w:bottom w:val="nil"/>
              <w:right w:val="nil"/>
            </w:tcBorders>
          </w:tcPr>
          <w:p w14:paraId="716087D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$15.00</w:t>
            </w:r>
          </w:p>
        </w:tc>
      </w:tr>
      <w:tr w:rsidR="002A3021" w:rsidRPr="002A3021" w14:paraId="2DC7F4D6" w14:textId="77777777" w:rsidTr="00911011">
        <w:trPr>
          <w:cantSplit/>
        </w:trPr>
        <w:tc>
          <w:tcPr>
            <w:tcW w:w="663" w:type="dxa"/>
            <w:tcBorders>
              <w:top w:val="nil"/>
              <w:left w:val="nil"/>
              <w:bottom w:val="nil"/>
              <w:right w:val="nil"/>
            </w:tcBorders>
          </w:tcPr>
          <w:p w14:paraId="0C8AF23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97BF45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335A645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61CC89BB" w14:textId="77777777" w:rsidTr="002B2E13">
        <w:trPr>
          <w:cantSplit/>
        </w:trPr>
        <w:tc>
          <w:tcPr>
            <w:tcW w:w="8785" w:type="dxa"/>
            <w:gridSpan w:val="3"/>
            <w:tcBorders>
              <w:top w:val="nil"/>
              <w:left w:val="nil"/>
              <w:bottom w:val="nil"/>
              <w:right w:val="nil"/>
            </w:tcBorders>
          </w:tcPr>
          <w:p w14:paraId="6B08750E" w14:textId="77777777" w:rsidR="002A3021" w:rsidRPr="002A3021" w:rsidRDefault="002A3021" w:rsidP="004311B6">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32—Motor bike learner's permit theoretical tests</w:t>
            </w:r>
          </w:p>
        </w:tc>
      </w:tr>
      <w:tr w:rsidR="002A3021" w:rsidRPr="002A3021" w14:paraId="21C5D0DA" w14:textId="77777777" w:rsidTr="00911011">
        <w:trPr>
          <w:cantSplit/>
        </w:trPr>
        <w:tc>
          <w:tcPr>
            <w:tcW w:w="663" w:type="dxa"/>
            <w:tcBorders>
              <w:top w:val="nil"/>
              <w:left w:val="nil"/>
              <w:bottom w:val="nil"/>
              <w:right w:val="nil"/>
            </w:tcBorders>
          </w:tcPr>
          <w:p w14:paraId="7ECCA9B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C97C91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motor bike rider knowledge test and a motor bike specific hazard awareness test—</w:t>
            </w:r>
          </w:p>
        </w:tc>
        <w:tc>
          <w:tcPr>
            <w:tcW w:w="1705" w:type="dxa"/>
            <w:tcBorders>
              <w:top w:val="nil"/>
              <w:left w:val="nil"/>
              <w:bottom w:val="nil"/>
              <w:right w:val="nil"/>
            </w:tcBorders>
          </w:tcPr>
          <w:p w14:paraId="3609671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A9D60A5" w14:textId="77777777" w:rsidTr="00911011">
        <w:trPr>
          <w:cantSplit/>
        </w:trPr>
        <w:tc>
          <w:tcPr>
            <w:tcW w:w="663" w:type="dxa"/>
            <w:tcBorders>
              <w:top w:val="nil"/>
              <w:left w:val="nil"/>
              <w:bottom w:val="nil"/>
              <w:right w:val="nil"/>
            </w:tcBorders>
          </w:tcPr>
          <w:p w14:paraId="3CEA04B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8C3282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combined fee for both tests</w:t>
            </w:r>
          </w:p>
        </w:tc>
        <w:tc>
          <w:tcPr>
            <w:tcW w:w="1705" w:type="dxa"/>
            <w:tcBorders>
              <w:top w:val="nil"/>
              <w:left w:val="nil"/>
              <w:bottom w:val="nil"/>
              <w:right w:val="nil"/>
            </w:tcBorders>
          </w:tcPr>
          <w:p w14:paraId="71E789C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$15.00</w:t>
            </w:r>
          </w:p>
        </w:tc>
      </w:tr>
      <w:tr w:rsidR="002A3021" w:rsidRPr="002A3021" w14:paraId="29B5947B" w14:textId="77777777" w:rsidTr="00911011">
        <w:trPr>
          <w:cantSplit/>
        </w:trPr>
        <w:tc>
          <w:tcPr>
            <w:tcW w:w="663" w:type="dxa"/>
            <w:tcBorders>
              <w:top w:val="nil"/>
              <w:left w:val="nil"/>
              <w:bottom w:val="nil"/>
              <w:right w:val="nil"/>
            </w:tcBorders>
          </w:tcPr>
          <w:p w14:paraId="629193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5D65A7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0B5A7E8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108FCC36" w14:textId="77777777" w:rsidTr="002B2E13">
        <w:trPr>
          <w:cantSplit/>
        </w:trPr>
        <w:tc>
          <w:tcPr>
            <w:tcW w:w="8785" w:type="dxa"/>
            <w:gridSpan w:val="3"/>
            <w:tcBorders>
              <w:top w:val="nil"/>
              <w:left w:val="nil"/>
              <w:bottom w:val="nil"/>
              <w:right w:val="nil"/>
            </w:tcBorders>
          </w:tcPr>
          <w:p w14:paraId="360E016F" w14:textId="77777777" w:rsidR="002A3021" w:rsidRPr="002A3021" w:rsidRDefault="002A3021" w:rsidP="004311B6">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33—Motor bike training courses</w:t>
            </w:r>
          </w:p>
        </w:tc>
      </w:tr>
      <w:tr w:rsidR="002A3021" w:rsidRPr="002A3021" w14:paraId="72EA5584" w14:textId="77777777" w:rsidTr="00911011">
        <w:trPr>
          <w:cantSplit/>
        </w:trPr>
        <w:tc>
          <w:tcPr>
            <w:tcW w:w="663" w:type="dxa"/>
            <w:tcBorders>
              <w:top w:val="nil"/>
              <w:left w:val="nil"/>
              <w:bottom w:val="nil"/>
              <w:right w:val="nil"/>
            </w:tcBorders>
          </w:tcPr>
          <w:p w14:paraId="7799EF7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78546E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motor bike training course undertaken in accordance with the directions of the Registrar—</w:t>
            </w:r>
          </w:p>
        </w:tc>
        <w:tc>
          <w:tcPr>
            <w:tcW w:w="1705" w:type="dxa"/>
            <w:tcBorders>
              <w:top w:val="nil"/>
              <w:left w:val="nil"/>
              <w:bottom w:val="nil"/>
              <w:right w:val="nil"/>
            </w:tcBorders>
          </w:tcPr>
          <w:p w14:paraId="7EFE0A9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6867C205" w14:textId="77777777" w:rsidTr="00911011">
        <w:trPr>
          <w:cantSplit/>
        </w:trPr>
        <w:tc>
          <w:tcPr>
            <w:tcW w:w="663" w:type="dxa"/>
            <w:tcBorders>
              <w:top w:val="nil"/>
              <w:left w:val="nil"/>
              <w:bottom w:val="nil"/>
              <w:right w:val="nil"/>
            </w:tcBorders>
          </w:tcPr>
          <w:p w14:paraId="22DFAE8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A382BF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pre</w:t>
            </w:r>
            <w:r w:rsidRPr="002A3021">
              <w:rPr>
                <w:rFonts w:eastAsia="Times New Roman"/>
                <w:color w:val="000000"/>
                <w:sz w:val="20"/>
                <w:szCs w:val="20"/>
                <w:lang w:eastAsia="en-AU"/>
                <w14:ligatures w14:val="standardContextual"/>
              </w:rPr>
              <w:noBreakHyphen/>
              <w:t>learner's permit motor bike training course—</w:t>
            </w:r>
          </w:p>
        </w:tc>
        <w:tc>
          <w:tcPr>
            <w:tcW w:w="1705" w:type="dxa"/>
            <w:tcBorders>
              <w:top w:val="nil"/>
              <w:left w:val="nil"/>
              <w:bottom w:val="nil"/>
              <w:right w:val="nil"/>
            </w:tcBorders>
          </w:tcPr>
          <w:p w14:paraId="57FB8D4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C3E56EA" w14:textId="77777777" w:rsidTr="00911011">
        <w:trPr>
          <w:cantSplit/>
        </w:trPr>
        <w:tc>
          <w:tcPr>
            <w:tcW w:w="663" w:type="dxa"/>
            <w:tcBorders>
              <w:top w:val="nil"/>
              <w:left w:val="nil"/>
              <w:bottom w:val="nil"/>
              <w:right w:val="nil"/>
            </w:tcBorders>
          </w:tcPr>
          <w:p w14:paraId="6F8B22D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7C56B73"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training course fee (part A)</w:t>
            </w:r>
          </w:p>
        </w:tc>
        <w:tc>
          <w:tcPr>
            <w:tcW w:w="1705" w:type="dxa"/>
            <w:tcBorders>
              <w:top w:val="nil"/>
              <w:left w:val="nil"/>
              <w:bottom w:val="nil"/>
              <w:right w:val="nil"/>
            </w:tcBorders>
          </w:tcPr>
          <w:p w14:paraId="7BB7FBA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$434.00 plus a booking fee of $30.00</w:t>
            </w:r>
          </w:p>
        </w:tc>
      </w:tr>
      <w:tr w:rsidR="002A3021" w:rsidRPr="002A3021" w14:paraId="753E047B" w14:textId="77777777" w:rsidTr="00911011">
        <w:trPr>
          <w:cantSplit/>
        </w:trPr>
        <w:tc>
          <w:tcPr>
            <w:tcW w:w="663" w:type="dxa"/>
            <w:tcBorders>
              <w:top w:val="nil"/>
              <w:left w:val="nil"/>
              <w:bottom w:val="nil"/>
              <w:right w:val="nil"/>
            </w:tcBorders>
          </w:tcPr>
          <w:p w14:paraId="5E9924A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41FE5BF"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training course fee (part B)</w:t>
            </w:r>
          </w:p>
        </w:tc>
        <w:tc>
          <w:tcPr>
            <w:tcW w:w="1705" w:type="dxa"/>
            <w:tcBorders>
              <w:top w:val="nil"/>
              <w:left w:val="nil"/>
              <w:bottom w:val="nil"/>
              <w:right w:val="nil"/>
            </w:tcBorders>
          </w:tcPr>
          <w:p w14:paraId="46BDAA6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$434.00 plus a booking fee of $30.00</w:t>
            </w:r>
          </w:p>
        </w:tc>
      </w:tr>
      <w:tr w:rsidR="002A3021" w:rsidRPr="002A3021" w14:paraId="1074148E" w14:textId="77777777" w:rsidTr="00911011">
        <w:trPr>
          <w:cantSplit/>
        </w:trPr>
        <w:tc>
          <w:tcPr>
            <w:tcW w:w="663" w:type="dxa"/>
            <w:tcBorders>
              <w:top w:val="nil"/>
              <w:left w:val="nil"/>
              <w:bottom w:val="nil"/>
              <w:right w:val="nil"/>
            </w:tcBorders>
          </w:tcPr>
          <w:p w14:paraId="673EDA3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1457F3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pre</w:t>
            </w:r>
            <w:r w:rsidRPr="002A3021">
              <w:rPr>
                <w:rFonts w:eastAsia="Times New Roman"/>
                <w:color w:val="000000"/>
                <w:sz w:val="20"/>
                <w:szCs w:val="20"/>
                <w:lang w:eastAsia="en-AU"/>
                <w14:ligatures w14:val="standardContextual"/>
              </w:rPr>
              <w:noBreakHyphen/>
              <w:t>licence motor bike training course—</w:t>
            </w:r>
          </w:p>
        </w:tc>
        <w:tc>
          <w:tcPr>
            <w:tcW w:w="1705" w:type="dxa"/>
            <w:tcBorders>
              <w:top w:val="nil"/>
              <w:left w:val="nil"/>
              <w:bottom w:val="nil"/>
              <w:right w:val="nil"/>
            </w:tcBorders>
          </w:tcPr>
          <w:p w14:paraId="122E2CA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BD8EAD8" w14:textId="77777777" w:rsidTr="00911011">
        <w:trPr>
          <w:cantSplit/>
        </w:trPr>
        <w:tc>
          <w:tcPr>
            <w:tcW w:w="663" w:type="dxa"/>
            <w:tcBorders>
              <w:top w:val="nil"/>
              <w:left w:val="nil"/>
              <w:bottom w:val="nil"/>
              <w:right w:val="nil"/>
            </w:tcBorders>
          </w:tcPr>
          <w:p w14:paraId="5045582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F540F2A"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training course fee</w:t>
            </w:r>
          </w:p>
        </w:tc>
        <w:tc>
          <w:tcPr>
            <w:tcW w:w="1705" w:type="dxa"/>
            <w:tcBorders>
              <w:top w:val="nil"/>
              <w:left w:val="nil"/>
              <w:bottom w:val="nil"/>
              <w:right w:val="nil"/>
            </w:tcBorders>
          </w:tcPr>
          <w:p w14:paraId="26D671C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$202.00 plus a booking fee of $30.00</w:t>
            </w:r>
          </w:p>
        </w:tc>
      </w:tr>
      <w:tr w:rsidR="002A3021" w:rsidRPr="002A3021" w14:paraId="1F9792F6" w14:textId="77777777" w:rsidTr="00911011">
        <w:trPr>
          <w:cantSplit/>
        </w:trPr>
        <w:tc>
          <w:tcPr>
            <w:tcW w:w="663" w:type="dxa"/>
            <w:tcBorders>
              <w:top w:val="nil"/>
              <w:left w:val="nil"/>
              <w:bottom w:val="nil"/>
              <w:right w:val="nil"/>
            </w:tcBorders>
          </w:tcPr>
          <w:p w14:paraId="1BB60F6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278A47A"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motor bike licence assessment fee</w:t>
            </w:r>
          </w:p>
        </w:tc>
        <w:tc>
          <w:tcPr>
            <w:tcW w:w="1705" w:type="dxa"/>
            <w:tcBorders>
              <w:top w:val="nil"/>
              <w:left w:val="nil"/>
              <w:bottom w:val="nil"/>
              <w:right w:val="nil"/>
            </w:tcBorders>
          </w:tcPr>
          <w:p w14:paraId="594AA48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$218.00 plus a booking fee of $30.00</w:t>
            </w:r>
          </w:p>
        </w:tc>
      </w:tr>
      <w:tr w:rsidR="002B2E13" w:rsidRPr="002A3021" w14:paraId="284B49F3" w14:textId="77777777" w:rsidTr="002B2E13">
        <w:trPr>
          <w:cantSplit/>
        </w:trPr>
        <w:tc>
          <w:tcPr>
            <w:tcW w:w="8785" w:type="dxa"/>
            <w:gridSpan w:val="3"/>
            <w:tcBorders>
              <w:top w:val="nil"/>
              <w:left w:val="nil"/>
              <w:bottom w:val="nil"/>
              <w:right w:val="nil"/>
            </w:tcBorders>
          </w:tcPr>
          <w:p w14:paraId="14EDA3C3" w14:textId="77777777" w:rsidR="002A3021" w:rsidRPr="002A3021" w:rsidRDefault="002A3021" w:rsidP="004311B6">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34—Proficiency test for motor driving instructor's licence</w:t>
            </w:r>
          </w:p>
        </w:tc>
      </w:tr>
      <w:tr w:rsidR="002A3021" w:rsidRPr="002A3021" w14:paraId="4C82CAEB" w14:textId="77777777" w:rsidTr="00911011">
        <w:trPr>
          <w:cantSplit/>
        </w:trPr>
        <w:tc>
          <w:tcPr>
            <w:tcW w:w="663" w:type="dxa"/>
            <w:tcBorders>
              <w:top w:val="nil"/>
              <w:left w:val="nil"/>
              <w:bottom w:val="nil"/>
              <w:right w:val="nil"/>
            </w:tcBorders>
          </w:tcPr>
          <w:p w14:paraId="6B60BDF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96408D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proficiency test of an applicant for a motor driving instructor's licence—</w:t>
            </w:r>
          </w:p>
        </w:tc>
        <w:tc>
          <w:tcPr>
            <w:tcW w:w="1705" w:type="dxa"/>
            <w:tcBorders>
              <w:top w:val="nil"/>
              <w:left w:val="nil"/>
              <w:bottom w:val="nil"/>
              <w:right w:val="nil"/>
            </w:tcBorders>
          </w:tcPr>
          <w:p w14:paraId="0DB3F9CC"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2D863C1" w14:textId="77777777" w:rsidTr="00911011">
        <w:trPr>
          <w:cantSplit/>
        </w:trPr>
        <w:tc>
          <w:tcPr>
            <w:tcW w:w="663" w:type="dxa"/>
            <w:tcBorders>
              <w:top w:val="nil"/>
              <w:left w:val="nil"/>
              <w:bottom w:val="nil"/>
              <w:right w:val="nil"/>
            </w:tcBorders>
          </w:tcPr>
          <w:p w14:paraId="50AF81F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819F6CF"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theory test—</w:t>
            </w:r>
          </w:p>
        </w:tc>
        <w:tc>
          <w:tcPr>
            <w:tcW w:w="1705" w:type="dxa"/>
            <w:tcBorders>
              <w:top w:val="nil"/>
              <w:left w:val="nil"/>
              <w:bottom w:val="nil"/>
              <w:right w:val="nil"/>
            </w:tcBorders>
          </w:tcPr>
          <w:p w14:paraId="171E5CB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1A683B9" w14:textId="77777777" w:rsidTr="00911011">
        <w:trPr>
          <w:cantSplit/>
        </w:trPr>
        <w:tc>
          <w:tcPr>
            <w:tcW w:w="663" w:type="dxa"/>
            <w:tcBorders>
              <w:top w:val="nil"/>
              <w:left w:val="nil"/>
              <w:bottom w:val="nil"/>
              <w:right w:val="nil"/>
            </w:tcBorders>
          </w:tcPr>
          <w:p w14:paraId="4277933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057965B"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test fee</w:t>
            </w:r>
          </w:p>
        </w:tc>
        <w:tc>
          <w:tcPr>
            <w:tcW w:w="1705" w:type="dxa"/>
            <w:tcBorders>
              <w:top w:val="nil"/>
              <w:left w:val="nil"/>
              <w:bottom w:val="nil"/>
              <w:right w:val="nil"/>
            </w:tcBorders>
          </w:tcPr>
          <w:p w14:paraId="3B2FBE5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$78.00</w:t>
            </w:r>
          </w:p>
        </w:tc>
      </w:tr>
      <w:tr w:rsidR="002A3021" w:rsidRPr="002A3021" w14:paraId="49D51E76" w14:textId="77777777" w:rsidTr="00911011">
        <w:trPr>
          <w:cantSplit/>
        </w:trPr>
        <w:tc>
          <w:tcPr>
            <w:tcW w:w="663" w:type="dxa"/>
            <w:tcBorders>
              <w:top w:val="nil"/>
              <w:left w:val="nil"/>
              <w:bottom w:val="nil"/>
              <w:right w:val="nil"/>
            </w:tcBorders>
          </w:tcPr>
          <w:p w14:paraId="5C18303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6FD956E"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695A575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bl>
    <w:p w14:paraId="758517B0" w14:textId="77777777" w:rsidR="004311B6" w:rsidRDefault="004311B6">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59EAB815" w14:textId="77777777" w:rsidTr="00911011">
        <w:trPr>
          <w:cantSplit/>
        </w:trPr>
        <w:tc>
          <w:tcPr>
            <w:tcW w:w="663" w:type="dxa"/>
            <w:tcBorders>
              <w:top w:val="nil"/>
              <w:left w:val="nil"/>
              <w:bottom w:val="nil"/>
              <w:right w:val="nil"/>
            </w:tcBorders>
          </w:tcPr>
          <w:p w14:paraId="0FFE72C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F85207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practical test conducted by a government authorised examiner—</w:t>
            </w:r>
          </w:p>
        </w:tc>
        <w:tc>
          <w:tcPr>
            <w:tcW w:w="1705" w:type="dxa"/>
            <w:tcBorders>
              <w:top w:val="nil"/>
              <w:left w:val="nil"/>
              <w:bottom w:val="nil"/>
              <w:right w:val="nil"/>
            </w:tcBorders>
          </w:tcPr>
          <w:p w14:paraId="213A701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AC7972D" w14:textId="77777777" w:rsidTr="00911011">
        <w:trPr>
          <w:cantSplit/>
        </w:trPr>
        <w:tc>
          <w:tcPr>
            <w:tcW w:w="663" w:type="dxa"/>
            <w:tcBorders>
              <w:top w:val="nil"/>
              <w:left w:val="nil"/>
              <w:bottom w:val="nil"/>
              <w:right w:val="nil"/>
            </w:tcBorders>
          </w:tcPr>
          <w:p w14:paraId="1CA4F16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ECD7B84"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test fee (per day)</w:t>
            </w:r>
          </w:p>
        </w:tc>
        <w:tc>
          <w:tcPr>
            <w:tcW w:w="1705" w:type="dxa"/>
            <w:tcBorders>
              <w:top w:val="nil"/>
              <w:left w:val="nil"/>
              <w:bottom w:val="nil"/>
              <w:right w:val="nil"/>
            </w:tcBorders>
          </w:tcPr>
          <w:p w14:paraId="2C08704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$292.00</w:t>
            </w:r>
          </w:p>
        </w:tc>
      </w:tr>
      <w:tr w:rsidR="002A3021" w:rsidRPr="002A3021" w14:paraId="7FC47102" w14:textId="77777777" w:rsidTr="00911011">
        <w:trPr>
          <w:cantSplit/>
        </w:trPr>
        <w:tc>
          <w:tcPr>
            <w:tcW w:w="663" w:type="dxa"/>
            <w:tcBorders>
              <w:top w:val="nil"/>
              <w:left w:val="nil"/>
              <w:bottom w:val="nil"/>
              <w:right w:val="nil"/>
            </w:tcBorders>
          </w:tcPr>
          <w:p w14:paraId="35FF753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440669F"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55AD989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2BA4810D" w14:textId="77777777" w:rsidTr="002B2E13">
        <w:trPr>
          <w:cantSplit/>
        </w:trPr>
        <w:tc>
          <w:tcPr>
            <w:tcW w:w="8785" w:type="dxa"/>
            <w:gridSpan w:val="3"/>
            <w:tcBorders>
              <w:top w:val="nil"/>
              <w:left w:val="nil"/>
              <w:bottom w:val="nil"/>
              <w:right w:val="nil"/>
            </w:tcBorders>
          </w:tcPr>
          <w:p w14:paraId="2E305FD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35—Motor driving instructor's licence</w:t>
            </w:r>
          </w:p>
        </w:tc>
      </w:tr>
      <w:tr w:rsidR="002A3021" w:rsidRPr="002A3021" w14:paraId="44A7DD2A" w14:textId="77777777" w:rsidTr="00911011">
        <w:trPr>
          <w:cantSplit/>
        </w:trPr>
        <w:tc>
          <w:tcPr>
            <w:tcW w:w="663" w:type="dxa"/>
            <w:tcBorders>
              <w:top w:val="nil"/>
              <w:left w:val="nil"/>
              <w:bottom w:val="nil"/>
              <w:right w:val="nil"/>
            </w:tcBorders>
          </w:tcPr>
          <w:p w14:paraId="60F7928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4BE52B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issue of a motor driving instructor's licence (per year)</w:t>
            </w:r>
          </w:p>
        </w:tc>
        <w:tc>
          <w:tcPr>
            <w:tcW w:w="1705" w:type="dxa"/>
            <w:tcBorders>
              <w:top w:val="nil"/>
              <w:left w:val="nil"/>
              <w:bottom w:val="nil"/>
              <w:right w:val="nil"/>
            </w:tcBorders>
          </w:tcPr>
          <w:p w14:paraId="6477028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$125.00</w:t>
            </w:r>
          </w:p>
        </w:tc>
      </w:tr>
      <w:tr w:rsidR="002B2E13" w:rsidRPr="002A3021" w14:paraId="0FCB06B3" w14:textId="77777777" w:rsidTr="002B2E13">
        <w:trPr>
          <w:cantSplit/>
        </w:trPr>
        <w:tc>
          <w:tcPr>
            <w:tcW w:w="8785" w:type="dxa"/>
            <w:gridSpan w:val="3"/>
            <w:tcBorders>
              <w:top w:val="nil"/>
              <w:left w:val="nil"/>
              <w:bottom w:val="nil"/>
              <w:right w:val="nil"/>
            </w:tcBorders>
          </w:tcPr>
          <w:p w14:paraId="76DC66F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36—Duplicate motor driving instructor's licence</w:t>
            </w:r>
          </w:p>
        </w:tc>
      </w:tr>
      <w:tr w:rsidR="002A3021" w:rsidRPr="002A3021" w14:paraId="14502A9A" w14:textId="77777777" w:rsidTr="00911011">
        <w:trPr>
          <w:cantSplit/>
        </w:trPr>
        <w:tc>
          <w:tcPr>
            <w:tcW w:w="663" w:type="dxa"/>
            <w:tcBorders>
              <w:top w:val="nil"/>
              <w:left w:val="nil"/>
              <w:bottom w:val="nil"/>
              <w:right w:val="nil"/>
            </w:tcBorders>
          </w:tcPr>
          <w:p w14:paraId="7ACCCC5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DC7A16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duplicate motor driving instructor's licence</w:t>
            </w:r>
          </w:p>
        </w:tc>
        <w:tc>
          <w:tcPr>
            <w:tcW w:w="1705" w:type="dxa"/>
            <w:tcBorders>
              <w:top w:val="nil"/>
              <w:left w:val="nil"/>
              <w:bottom w:val="nil"/>
              <w:right w:val="nil"/>
            </w:tcBorders>
          </w:tcPr>
          <w:p w14:paraId="0E880C65"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3F679889" w14:textId="77777777" w:rsidTr="002B2E13">
        <w:trPr>
          <w:cantSplit/>
        </w:trPr>
        <w:tc>
          <w:tcPr>
            <w:tcW w:w="8785" w:type="dxa"/>
            <w:gridSpan w:val="3"/>
            <w:tcBorders>
              <w:top w:val="nil"/>
              <w:left w:val="nil"/>
              <w:bottom w:val="nil"/>
              <w:right w:val="nil"/>
            </w:tcBorders>
          </w:tcPr>
          <w:p w14:paraId="627F1A5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37—Appointment as authorised examiner</w:t>
            </w:r>
          </w:p>
        </w:tc>
      </w:tr>
      <w:tr w:rsidR="002A3021" w:rsidRPr="002A3021" w14:paraId="6EB3904A" w14:textId="77777777" w:rsidTr="00911011">
        <w:trPr>
          <w:cantSplit/>
        </w:trPr>
        <w:tc>
          <w:tcPr>
            <w:tcW w:w="663" w:type="dxa"/>
            <w:tcBorders>
              <w:top w:val="nil"/>
              <w:left w:val="nil"/>
              <w:bottom w:val="nil"/>
              <w:right w:val="nil"/>
            </w:tcBorders>
          </w:tcPr>
          <w:p w14:paraId="0453956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597CE9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appointment as an authorised examiner (other than a government authorised examiner)—</w:t>
            </w:r>
          </w:p>
        </w:tc>
        <w:tc>
          <w:tcPr>
            <w:tcW w:w="1705" w:type="dxa"/>
            <w:tcBorders>
              <w:top w:val="nil"/>
              <w:left w:val="nil"/>
              <w:bottom w:val="nil"/>
              <w:right w:val="nil"/>
            </w:tcBorders>
          </w:tcPr>
          <w:p w14:paraId="7BDD2A7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E0E6158" w14:textId="77777777" w:rsidTr="00911011">
        <w:trPr>
          <w:cantSplit/>
        </w:trPr>
        <w:tc>
          <w:tcPr>
            <w:tcW w:w="663" w:type="dxa"/>
            <w:tcBorders>
              <w:top w:val="nil"/>
              <w:left w:val="nil"/>
              <w:bottom w:val="nil"/>
              <w:right w:val="nil"/>
            </w:tcBorders>
          </w:tcPr>
          <w:p w14:paraId="79B35E6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13917B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authorised to conduct competence based driver training and assessment (per year)</w:t>
            </w:r>
          </w:p>
        </w:tc>
        <w:tc>
          <w:tcPr>
            <w:tcW w:w="1705" w:type="dxa"/>
            <w:tcBorders>
              <w:top w:val="nil"/>
              <w:left w:val="nil"/>
              <w:bottom w:val="nil"/>
              <w:right w:val="nil"/>
            </w:tcBorders>
          </w:tcPr>
          <w:p w14:paraId="36509FC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$182.00</w:t>
            </w:r>
          </w:p>
        </w:tc>
      </w:tr>
      <w:tr w:rsidR="002A3021" w:rsidRPr="002A3021" w14:paraId="0A78EB90" w14:textId="77777777" w:rsidTr="00911011">
        <w:trPr>
          <w:cantSplit/>
        </w:trPr>
        <w:tc>
          <w:tcPr>
            <w:tcW w:w="663" w:type="dxa"/>
            <w:tcBorders>
              <w:top w:val="nil"/>
              <w:left w:val="nil"/>
              <w:bottom w:val="nil"/>
              <w:right w:val="nil"/>
            </w:tcBorders>
          </w:tcPr>
          <w:p w14:paraId="18B954D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8F7CCB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authorised to conduct Vehicle on Road Tests (per year)</w:t>
            </w:r>
          </w:p>
        </w:tc>
        <w:tc>
          <w:tcPr>
            <w:tcW w:w="1705" w:type="dxa"/>
            <w:tcBorders>
              <w:top w:val="nil"/>
              <w:left w:val="nil"/>
              <w:bottom w:val="nil"/>
              <w:right w:val="nil"/>
            </w:tcBorders>
          </w:tcPr>
          <w:p w14:paraId="757451F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$182.00</w:t>
            </w:r>
          </w:p>
        </w:tc>
      </w:tr>
      <w:tr w:rsidR="002B2E13" w:rsidRPr="002A3021" w14:paraId="743C7E35" w14:textId="77777777" w:rsidTr="002B2E13">
        <w:trPr>
          <w:cantSplit/>
        </w:trPr>
        <w:tc>
          <w:tcPr>
            <w:tcW w:w="8785" w:type="dxa"/>
            <w:gridSpan w:val="3"/>
            <w:tcBorders>
              <w:top w:val="nil"/>
              <w:left w:val="nil"/>
              <w:bottom w:val="nil"/>
              <w:right w:val="nil"/>
            </w:tcBorders>
          </w:tcPr>
          <w:p w14:paraId="5BF1B8C5"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38—Proficiency tests for authorised examiners</w:t>
            </w:r>
          </w:p>
        </w:tc>
      </w:tr>
      <w:tr w:rsidR="002A3021" w:rsidRPr="002A3021" w14:paraId="0333B991" w14:textId="77777777" w:rsidTr="00911011">
        <w:trPr>
          <w:cantSplit/>
        </w:trPr>
        <w:tc>
          <w:tcPr>
            <w:tcW w:w="663" w:type="dxa"/>
            <w:tcBorders>
              <w:top w:val="nil"/>
              <w:left w:val="nil"/>
              <w:bottom w:val="nil"/>
              <w:right w:val="nil"/>
            </w:tcBorders>
          </w:tcPr>
          <w:p w14:paraId="4FC2A82C"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79BA6FA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proficiency test, required by the Registrar, of an applicant for appointment as an authorised examiner in relation to the driving of motor vehicles with a gross vehicle mass not exceeding 4.5 t—</w:t>
            </w:r>
          </w:p>
        </w:tc>
        <w:tc>
          <w:tcPr>
            <w:tcW w:w="1705" w:type="dxa"/>
            <w:tcBorders>
              <w:top w:val="nil"/>
              <w:left w:val="nil"/>
              <w:bottom w:val="nil"/>
              <w:right w:val="nil"/>
            </w:tcBorders>
          </w:tcPr>
          <w:p w14:paraId="005976EB"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E77C8D9" w14:textId="77777777" w:rsidTr="00911011">
        <w:trPr>
          <w:cantSplit/>
        </w:trPr>
        <w:tc>
          <w:tcPr>
            <w:tcW w:w="663" w:type="dxa"/>
            <w:tcBorders>
              <w:top w:val="nil"/>
              <w:left w:val="nil"/>
              <w:bottom w:val="nil"/>
              <w:right w:val="nil"/>
            </w:tcBorders>
          </w:tcPr>
          <w:p w14:paraId="726298E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B9020E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practical training course test (per day)</w:t>
            </w:r>
          </w:p>
        </w:tc>
        <w:tc>
          <w:tcPr>
            <w:tcW w:w="1705" w:type="dxa"/>
            <w:tcBorders>
              <w:top w:val="nil"/>
              <w:left w:val="nil"/>
              <w:bottom w:val="nil"/>
              <w:right w:val="nil"/>
            </w:tcBorders>
          </w:tcPr>
          <w:p w14:paraId="734C3AC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$292.00</w:t>
            </w:r>
          </w:p>
        </w:tc>
      </w:tr>
      <w:tr w:rsidR="002A3021" w:rsidRPr="002A3021" w14:paraId="1D4724B4" w14:textId="77777777" w:rsidTr="00911011">
        <w:trPr>
          <w:cantSplit/>
        </w:trPr>
        <w:tc>
          <w:tcPr>
            <w:tcW w:w="663" w:type="dxa"/>
            <w:tcBorders>
              <w:top w:val="nil"/>
              <w:left w:val="nil"/>
              <w:bottom w:val="nil"/>
              <w:right w:val="nil"/>
            </w:tcBorders>
          </w:tcPr>
          <w:p w14:paraId="6460FDA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7F0D5A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6D42230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A3021" w:rsidRPr="002A3021" w14:paraId="4388E651" w14:textId="77777777" w:rsidTr="00911011">
        <w:trPr>
          <w:cantSplit/>
        </w:trPr>
        <w:tc>
          <w:tcPr>
            <w:tcW w:w="663" w:type="dxa"/>
            <w:tcBorders>
              <w:top w:val="nil"/>
              <w:left w:val="nil"/>
              <w:bottom w:val="nil"/>
              <w:right w:val="nil"/>
            </w:tcBorders>
          </w:tcPr>
          <w:p w14:paraId="4D57E0C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3F575F3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proficiency test, required by the Registrar, of an applicant for appointment as an authorised examiner in relation to the driving of motor vehicles with a gross vehicle mass exceeding 4.5 t—</w:t>
            </w:r>
          </w:p>
        </w:tc>
        <w:tc>
          <w:tcPr>
            <w:tcW w:w="1705" w:type="dxa"/>
            <w:tcBorders>
              <w:top w:val="nil"/>
              <w:left w:val="nil"/>
              <w:bottom w:val="nil"/>
              <w:right w:val="nil"/>
            </w:tcBorders>
          </w:tcPr>
          <w:p w14:paraId="15ED169B"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BBD42DC" w14:textId="77777777" w:rsidTr="00911011">
        <w:trPr>
          <w:cantSplit/>
        </w:trPr>
        <w:tc>
          <w:tcPr>
            <w:tcW w:w="663" w:type="dxa"/>
            <w:tcBorders>
              <w:top w:val="nil"/>
              <w:left w:val="nil"/>
              <w:bottom w:val="nil"/>
              <w:right w:val="nil"/>
            </w:tcBorders>
          </w:tcPr>
          <w:p w14:paraId="75F8792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84BE0A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practical training course test (per day)</w:t>
            </w:r>
          </w:p>
        </w:tc>
        <w:tc>
          <w:tcPr>
            <w:tcW w:w="1705" w:type="dxa"/>
            <w:tcBorders>
              <w:top w:val="nil"/>
              <w:left w:val="nil"/>
              <w:bottom w:val="nil"/>
              <w:right w:val="nil"/>
            </w:tcBorders>
          </w:tcPr>
          <w:p w14:paraId="71F6FFB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$492.00</w:t>
            </w:r>
          </w:p>
        </w:tc>
      </w:tr>
      <w:tr w:rsidR="002A3021" w:rsidRPr="002A3021" w14:paraId="5214BEFF" w14:textId="77777777" w:rsidTr="00911011">
        <w:trPr>
          <w:cantSplit/>
        </w:trPr>
        <w:tc>
          <w:tcPr>
            <w:tcW w:w="663" w:type="dxa"/>
            <w:tcBorders>
              <w:top w:val="nil"/>
              <w:left w:val="nil"/>
              <w:bottom w:val="nil"/>
              <w:right w:val="nil"/>
            </w:tcBorders>
          </w:tcPr>
          <w:p w14:paraId="16BAC61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64D535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test fee)</w:t>
            </w:r>
          </w:p>
        </w:tc>
        <w:tc>
          <w:tcPr>
            <w:tcW w:w="1705" w:type="dxa"/>
            <w:tcBorders>
              <w:top w:val="nil"/>
              <w:left w:val="nil"/>
              <w:bottom w:val="nil"/>
              <w:right w:val="nil"/>
            </w:tcBorders>
          </w:tcPr>
          <w:p w14:paraId="2F83104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A3021" w:rsidRPr="002A3021" w14:paraId="2FFCC6C0" w14:textId="77777777" w:rsidTr="00911011">
        <w:trPr>
          <w:cantSplit/>
        </w:trPr>
        <w:tc>
          <w:tcPr>
            <w:tcW w:w="663" w:type="dxa"/>
            <w:tcBorders>
              <w:top w:val="nil"/>
              <w:left w:val="nil"/>
              <w:bottom w:val="nil"/>
              <w:right w:val="nil"/>
            </w:tcBorders>
          </w:tcPr>
          <w:p w14:paraId="00F02DD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c>
          <w:tcPr>
            <w:tcW w:w="6417" w:type="dxa"/>
            <w:tcBorders>
              <w:top w:val="nil"/>
              <w:left w:val="nil"/>
              <w:bottom w:val="nil"/>
              <w:right w:val="nil"/>
            </w:tcBorders>
          </w:tcPr>
          <w:p w14:paraId="191BEFA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training course for an authorised examiner whose appointment has been suspended, required by the Registrar for resumption of the appointment—</w:t>
            </w:r>
          </w:p>
        </w:tc>
        <w:tc>
          <w:tcPr>
            <w:tcW w:w="1705" w:type="dxa"/>
            <w:tcBorders>
              <w:top w:val="nil"/>
              <w:left w:val="nil"/>
              <w:bottom w:val="nil"/>
              <w:right w:val="nil"/>
            </w:tcBorders>
          </w:tcPr>
          <w:p w14:paraId="5FC5528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E776675" w14:textId="77777777" w:rsidTr="00911011">
        <w:trPr>
          <w:cantSplit/>
        </w:trPr>
        <w:tc>
          <w:tcPr>
            <w:tcW w:w="663" w:type="dxa"/>
            <w:tcBorders>
              <w:top w:val="nil"/>
              <w:left w:val="nil"/>
              <w:bottom w:val="nil"/>
              <w:right w:val="nil"/>
            </w:tcBorders>
          </w:tcPr>
          <w:p w14:paraId="0F61758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8E6F50B"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training course (per day)</w:t>
            </w:r>
          </w:p>
        </w:tc>
        <w:tc>
          <w:tcPr>
            <w:tcW w:w="1705" w:type="dxa"/>
            <w:tcBorders>
              <w:top w:val="nil"/>
              <w:left w:val="nil"/>
              <w:bottom w:val="nil"/>
              <w:right w:val="nil"/>
            </w:tcBorders>
          </w:tcPr>
          <w:p w14:paraId="3F536C8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$292.00</w:t>
            </w:r>
          </w:p>
        </w:tc>
      </w:tr>
      <w:tr w:rsidR="002A3021" w:rsidRPr="002A3021" w14:paraId="70076341" w14:textId="77777777" w:rsidTr="00911011">
        <w:trPr>
          <w:cantSplit/>
        </w:trPr>
        <w:tc>
          <w:tcPr>
            <w:tcW w:w="663" w:type="dxa"/>
            <w:tcBorders>
              <w:top w:val="nil"/>
              <w:left w:val="nil"/>
              <w:bottom w:val="nil"/>
              <w:right w:val="nil"/>
            </w:tcBorders>
          </w:tcPr>
          <w:p w14:paraId="45A29A8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A0F08F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training course fee)</w:t>
            </w:r>
          </w:p>
        </w:tc>
        <w:tc>
          <w:tcPr>
            <w:tcW w:w="1705" w:type="dxa"/>
            <w:tcBorders>
              <w:top w:val="nil"/>
              <w:left w:val="nil"/>
              <w:bottom w:val="nil"/>
              <w:right w:val="nil"/>
            </w:tcBorders>
          </w:tcPr>
          <w:p w14:paraId="7DD85A2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B2E13" w:rsidRPr="002A3021" w14:paraId="702412BB" w14:textId="77777777" w:rsidTr="002B2E13">
        <w:trPr>
          <w:cantSplit/>
        </w:trPr>
        <w:tc>
          <w:tcPr>
            <w:tcW w:w="8785" w:type="dxa"/>
            <w:gridSpan w:val="3"/>
            <w:tcBorders>
              <w:top w:val="nil"/>
              <w:left w:val="nil"/>
              <w:bottom w:val="nil"/>
              <w:right w:val="nil"/>
            </w:tcBorders>
          </w:tcPr>
          <w:p w14:paraId="6677B3C4"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39—Lectures as to motor vehicle accidents and their causes</w:t>
            </w:r>
          </w:p>
        </w:tc>
      </w:tr>
      <w:tr w:rsidR="002A3021" w:rsidRPr="002A3021" w14:paraId="50D4A090" w14:textId="77777777" w:rsidTr="00911011">
        <w:trPr>
          <w:cantSplit/>
        </w:trPr>
        <w:tc>
          <w:tcPr>
            <w:tcW w:w="663" w:type="dxa"/>
            <w:tcBorders>
              <w:top w:val="nil"/>
              <w:left w:val="nil"/>
              <w:bottom w:val="nil"/>
              <w:right w:val="nil"/>
            </w:tcBorders>
          </w:tcPr>
          <w:p w14:paraId="32EF8D5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B0F055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For attendance at a lecture conducted under </w:t>
            </w:r>
            <w:hyperlink w:anchor="id0ebff841_e90e_40f8_961b_00889f024b21_d" w:history="1">
              <w:r w:rsidRPr="002A3021">
                <w:rPr>
                  <w:rFonts w:eastAsia="Times New Roman"/>
                  <w:color w:val="000000"/>
                  <w:sz w:val="20"/>
                  <w:szCs w:val="20"/>
                  <w:lang w:eastAsia="en-AU"/>
                  <w14:ligatures w14:val="standardContextual"/>
                </w:rPr>
                <w:t>regulation 79</w:t>
              </w:r>
            </w:hyperlink>
          </w:p>
        </w:tc>
        <w:tc>
          <w:tcPr>
            <w:tcW w:w="1705" w:type="dxa"/>
            <w:tcBorders>
              <w:top w:val="nil"/>
              <w:left w:val="nil"/>
              <w:bottom w:val="nil"/>
              <w:right w:val="nil"/>
            </w:tcBorders>
          </w:tcPr>
          <w:p w14:paraId="7A4C012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$38.00</w:t>
            </w:r>
          </w:p>
        </w:tc>
      </w:tr>
      <w:tr w:rsidR="002B2E13" w:rsidRPr="002A3021" w14:paraId="41C39FA2" w14:textId="77777777" w:rsidTr="002B2E13">
        <w:trPr>
          <w:cantSplit/>
        </w:trPr>
        <w:tc>
          <w:tcPr>
            <w:tcW w:w="8785" w:type="dxa"/>
            <w:gridSpan w:val="3"/>
            <w:tcBorders>
              <w:top w:val="nil"/>
              <w:left w:val="nil"/>
              <w:bottom w:val="nil"/>
              <w:right w:val="nil"/>
            </w:tcBorders>
          </w:tcPr>
          <w:p w14:paraId="0820901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40—Administration fee for issue of alcohol interlock scheme licence</w:t>
            </w:r>
          </w:p>
        </w:tc>
      </w:tr>
      <w:tr w:rsidR="002A3021" w:rsidRPr="002A3021" w14:paraId="02916F9C" w14:textId="77777777" w:rsidTr="00911011">
        <w:trPr>
          <w:cantSplit/>
        </w:trPr>
        <w:tc>
          <w:tcPr>
            <w:tcW w:w="663" w:type="dxa"/>
            <w:tcBorders>
              <w:top w:val="nil"/>
              <w:left w:val="nil"/>
              <w:bottom w:val="nil"/>
              <w:right w:val="nil"/>
            </w:tcBorders>
          </w:tcPr>
          <w:p w14:paraId="08CFED2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BC8FEA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the issue of a licence subject to mandatory alcohol interlock scheme conditions—for each month in the period for which the licence will be subject to alcohol interlock provisions (a part of a month being treated as a whole month)</w:t>
            </w:r>
          </w:p>
        </w:tc>
        <w:tc>
          <w:tcPr>
            <w:tcW w:w="1705" w:type="dxa"/>
            <w:tcBorders>
              <w:top w:val="nil"/>
              <w:left w:val="nil"/>
              <w:bottom w:val="nil"/>
              <w:right w:val="nil"/>
            </w:tcBorders>
          </w:tcPr>
          <w:p w14:paraId="58DF1E1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$20.00</w:t>
            </w:r>
          </w:p>
        </w:tc>
      </w:tr>
      <w:tr w:rsidR="002B2E13" w:rsidRPr="002A3021" w14:paraId="60EB0E88" w14:textId="77777777" w:rsidTr="002B2E13">
        <w:trPr>
          <w:cantSplit/>
        </w:trPr>
        <w:tc>
          <w:tcPr>
            <w:tcW w:w="8785" w:type="dxa"/>
            <w:gridSpan w:val="3"/>
            <w:tcBorders>
              <w:top w:val="nil"/>
              <w:left w:val="nil"/>
              <w:bottom w:val="nil"/>
              <w:right w:val="nil"/>
            </w:tcBorders>
          </w:tcPr>
          <w:p w14:paraId="207369B3"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41—Disabled person's parking permit</w:t>
            </w:r>
          </w:p>
        </w:tc>
      </w:tr>
      <w:tr w:rsidR="002A3021" w:rsidRPr="002A3021" w14:paraId="13F39157" w14:textId="77777777" w:rsidTr="00911011">
        <w:trPr>
          <w:cantSplit/>
        </w:trPr>
        <w:tc>
          <w:tcPr>
            <w:tcW w:w="663" w:type="dxa"/>
            <w:tcBorders>
              <w:top w:val="nil"/>
              <w:left w:val="nil"/>
              <w:bottom w:val="nil"/>
              <w:right w:val="nil"/>
            </w:tcBorders>
          </w:tcPr>
          <w:p w14:paraId="349965B4"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BDF6C4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issue of a disabled person's parking permit—</w:t>
            </w:r>
          </w:p>
        </w:tc>
        <w:tc>
          <w:tcPr>
            <w:tcW w:w="1705" w:type="dxa"/>
            <w:tcBorders>
              <w:top w:val="nil"/>
              <w:left w:val="nil"/>
              <w:bottom w:val="nil"/>
              <w:right w:val="nil"/>
            </w:tcBorders>
          </w:tcPr>
          <w:p w14:paraId="4548C67D"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A0F7666" w14:textId="77777777" w:rsidTr="00911011">
        <w:trPr>
          <w:cantSplit/>
        </w:trPr>
        <w:tc>
          <w:tcPr>
            <w:tcW w:w="663" w:type="dxa"/>
            <w:tcBorders>
              <w:top w:val="nil"/>
              <w:left w:val="nil"/>
              <w:bottom w:val="nil"/>
              <w:right w:val="nil"/>
            </w:tcBorders>
          </w:tcPr>
          <w:p w14:paraId="021B679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0629D91"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permit fee—</w:t>
            </w:r>
          </w:p>
        </w:tc>
        <w:tc>
          <w:tcPr>
            <w:tcW w:w="1705" w:type="dxa"/>
            <w:tcBorders>
              <w:top w:val="nil"/>
              <w:left w:val="nil"/>
              <w:bottom w:val="nil"/>
              <w:right w:val="nil"/>
            </w:tcBorders>
          </w:tcPr>
          <w:p w14:paraId="1243B1FA"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FEA2F51" w14:textId="77777777" w:rsidTr="00911011">
        <w:trPr>
          <w:cantSplit/>
        </w:trPr>
        <w:tc>
          <w:tcPr>
            <w:tcW w:w="663" w:type="dxa"/>
            <w:tcBorders>
              <w:top w:val="nil"/>
              <w:left w:val="nil"/>
              <w:bottom w:val="nil"/>
              <w:right w:val="nil"/>
            </w:tcBorders>
          </w:tcPr>
          <w:p w14:paraId="4E3DF1D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9735CDC"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for 1 year or less</w:t>
            </w:r>
          </w:p>
        </w:tc>
        <w:tc>
          <w:tcPr>
            <w:tcW w:w="1705" w:type="dxa"/>
            <w:tcBorders>
              <w:top w:val="nil"/>
              <w:left w:val="nil"/>
              <w:bottom w:val="nil"/>
              <w:right w:val="nil"/>
            </w:tcBorders>
          </w:tcPr>
          <w:p w14:paraId="19BE2DA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$3.00</w:t>
            </w:r>
          </w:p>
        </w:tc>
      </w:tr>
      <w:tr w:rsidR="002A3021" w:rsidRPr="002A3021" w14:paraId="177E25A6" w14:textId="77777777" w:rsidTr="00911011">
        <w:trPr>
          <w:cantSplit/>
        </w:trPr>
        <w:tc>
          <w:tcPr>
            <w:tcW w:w="663" w:type="dxa"/>
            <w:tcBorders>
              <w:top w:val="nil"/>
              <w:left w:val="nil"/>
              <w:bottom w:val="nil"/>
              <w:right w:val="nil"/>
            </w:tcBorders>
          </w:tcPr>
          <w:p w14:paraId="4626137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DC66CD0"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for 2 years</w:t>
            </w:r>
          </w:p>
        </w:tc>
        <w:tc>
          <w:tcPr>
            <w:tcW w:w="1705" w:type="dxa"/>
            <w:tcBorders>
              <w:top w:val="nil"/>
              <w:left w:val="nil"/>
              <w:bottom w:val="nil"/>
              <w:right w:val="nil"/>
            </w:tcBorders>
          </w:tcPr>
          <w:p w14:paraId="00494F9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$5.00</w:t>
            </w:r>
          </w:p>
        </w:tc>
      </w:tr>
    </w:tbl>
    <w:p w14:paraId="0B1AFED6" w14:textId="77777777" w:rsidR="004311B6" w:rsidRDefault="004311B6">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14F5132F" w14:textId="77777777" w:rsidTr="00911011">
        <w:trPr>
          <w:cantSplit/>
        </w:trPr>
        <w:tc>
          <w:tcPr>
            <w:tcW w:w="663" w:type="dxa"/>
            <w:tcBorders>
              <w:top w:val="nil"/>
              <w:left w:val="nil"/>
              <w:bottom w:val="nil"/>
              <w:right w:val="nil"/>
            </w:tcBorders>
          </w:tcPr>
          <w:p w14:paraId="5D771F1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3DF03F4D"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(iii)</w:t>
            </w:r>
            <w:r w:rsidRPr="002A3021">
              <w:rPr>
                <w:rFonts w:eastAsia="Times New Roman"/>
                <w:color w:val="000000"/>
                <w:sz w:val="20"/>
                <w:szCs w:val="20"/>
                <w:lang w:eastAsia="en-AU"/>
                <w14:ligatures w14:val="standardContextual"/>
              </w:rPr>
              <w:tab/>
              <w:t>for 3 years</w:t>
            </w:r>
          </w:p>
        </w:tc>
        <w:tc>
          <w:tcPr>
            <w:tcW w:w="1705" w:type="dxa"/>
            <w:tcBorders>
              <w:top w:val="nil"/>
              <w:left w:val="nil"/>
              <w:bottom w:val="nil"/>
              <w:right w:val="nil"/>
            </w:tcBorders>
          </w:tcPr>
          <w:p w14:paraId="44B954C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$7.00</w:t>
            </w:r>
          </w:p>
        </w:tc>
      </w:tr>
      <w:tr w:rsidR="002A3021" w:rsidRPr="002A3021" w14:paraId="188FE03E" w14:textId="77777777" w:rsidTr="00911011">
        <w:trPr>
          <w:cantSplit/>
        </w:trPr>
        <w:tc>
          <w:tcPr>
            <w:tcW w:w="663" w:type="dxa"/>
            <w:tcBorders>
              <w:top w:val="nil"/>
              <w:left w:val="nil"/>
              <w:bottom w:val="nil"/>
              <w:right w:val="nil"/>
            </w:tcBorders>
          </w:tcPr>
          <w:p w14:paraId="18EDA5D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0006360"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(iv)</w:t>
            </w:r>
            <w:r w:rsidRPr="002A3021">
              <w:rPr>
                <w:rFonts w:eastAsia="Times New Roman"/>
                <w:color w:val="000000"/>
                <w:sz w:val="20"/>
                <w:szCs w:val="20"/>
                <w:lang w:eastAsia="en-AU"/>
                <w14:ligatures w14:val="standardContextual"/>
              </w:rPr>
              <w:tab/>
              <w:t>for 4 years</w:t>
            </w:r>
          </w:p>
        </w:tc>
        <w:tc>
          <w:tcPr>
            <w:tcW w:w="1705" w:type="dxa"/>
            <w:tcBorders>
              <w:top w:val="nil"/>
              <w:left w:val="nil"/>
              <w:bottom w:val="nil"/>
              <w:right w:val="nil"/>
            </w:tcBorders>
          </w:tcPr>
          <w:p w14:paraId="59F1492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$9.00</w:t>
            </w:r>
          </w:p>
        </w:tc>
      </w:tr>
      <w:tr w:rsidR="002A3021" w:rsidRPr="002A3021" w14:paraId="49E4D009" w14:textId="77777777" w:rsidTr="00911011">
        <w:trPr>
          <w:cantSplit/>
        </w:trPr>
        <w:tc>
          <w:tcPr>
            <w:tcW w:w="663" w:type="dxa"/>
            <w:tcBorders>
              <w:top w:val="nil"/>
              <w:left w:val="nil"/>
              <w:bottom w:val="nil"/>
              <w:right w:val="nil"/>
            </w:tcBorders>
          </w:tcPr>
          <w:p w14:paraId="629A6F2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9A73A0E" w14:textId="77777777" w:rsidR="002A3021" w:rsidRPr="002A3021" w:rsidRDefault="002A3021" w:rsidP="002A302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(v)</w:t>
            </w:r>
            <w:r w:rsidRPr="002A3021">
              <w:rPr>
                <w:rFonts w:eastAsia="Times New Roman"/>
                <w:color w:val="000000"/>
                <w:sz w:val="20"/>
                <w:szCs w:val="20"/>
                <w:lang w:eastAsia="en-AU"/>
                <w14:ligatures w14:val="standardContextual"/>
              </w:rPr>
              <w:tab/>
              <w:t>for 5 years</w:t>
            </w:r>
          </w:p>
        </w:tc>
        <w:tc>
          <w:tcPr>
            <w:tcW w:w="1705" w:type="dxa"/>
            <w:tcBorders>
              <w:top w:val="nil"/>
              <w:left w:val="nil"/>
              <w:bottom w:val="nil"/>
              <w:right w:val="nil"/>
            </w:tcBorders>
          </w:tcPr>
          <w:p w14:paraId="7F6B13D5"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$14.00</w:t>
            </w:r>
          </w:p>
        </w:tc>
      </w:tr>
      <w:tr w:rsidR="002A3021" w:rsidRPr="002A3021" w14:paraId="3BEDE300" w14:textId="77777777" w:rsidTr="00911011">
        <w:trPr>
          <w:cantSplit/>
        </w:trPr>
        <w:tc>
          <w:tcPr>
            <w:tcW w:w="663" w:type="dxa"/>
            <w:tcBorders>
              <w:top w:val="nil"/>
              <w:left w:val="nil"/>
              <w:bottom w:val="nil"/>
              <w:right w:val="nil"/>
            </w:tcBorders>
          </w:tcPr>
          <w:p w14:paraId="6A0DB44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AC9B47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administration fee (payable in addition to the permit fee)</w:t>
            </w:r>
          </w:p>
        </w:tc>
        <w:tc>
          <w:tcPr>
            <w:tcW w:w="1705" w:type="dxa"/>
            <w:tcBorders>
              <w:top w:val="nil"/>
              <w:left w:val="nil"/>
              <w:bottom w:val="nil"/>
              <w:right w:val="nil"/>
            </w:tcBorders>
          </w:tcPr>
          <w:p w14:paraId="171C838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B2E13" w:rsidRPr="002A3021" w14:paraId="482713EE" w14:textId="77777777" w:rsidTr="002B2E13">
        <w:trPr>
          <w:cantSplit/>
        </w:trPr>
        <w:tc>
          <w:tcPr>
            <w:tcW w:w="8785" w:type="dxa"/>
            <w:gridSpan w:val="3"/>
            <w:tcBorders>
              <w:top w:val="nil"/>
              <w:left w:val="nil"/>
              <w:bottom w:val="nil"/>
              <w:right w:val="nil"/>
            </w:tcBorders>
          </w:tcPr>
          <w:p w14:paraId="302A497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42—Register searches etc</w:t>
            </w:r>
          </w:p>
        </w:tc>
      </w:tr>
      <w:tr w:rsidR="002A3021" w:rsidRPr="002A3021" w14:paraId="7ADAF593" w14:textId="77777777" w:rsidTr="00911011">
        <w:trPr>
          <w:cantSplit/>
        </w:trPr>
        <w:tc>
          <w:tcPr>
            <w:tcW w:w="663" w:type="dxa"/>
            <w:tcBorders>
              <w:top w:val="nil"/>
              <w:left w:val="nil"/>
              <w:bottom w:val="nil"/>
              <w:right w:val="nil"/>
            </w:tcBorders>
          </w:tcPr>
          <w:p w14:paraId="1E345D11"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59E3133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searching the register and supplying information—</w:t>
            </w:r>
          </w:p>
        </w:tc>
        <w:tc>
          <w:tcPr>
            <w:tcW w:w="1705" w:type="dxa"/>
            <w:tcBorders>
              <w:top w:val="nil"/>
              <w:left w:val="nil"/>
              <w:bottom w:val="nil"/>
              <w:right w:val="nil"/>
            </w:tcBorders>
          </w:tcPr>
          <w:p w14:paraId="77650E1A"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C1670A1" w14:textId="77777777" w:rsidTr="00911011">
        <w:trPr>
          <w:cantSplit/>
        </w:trPr>
        <w:tc>
          <w:tcPr>
            <w:tcW w:w="663" w:type="dxa"/>
            <w:tcBorders>
              <w:top w:val="nil"/>
              <w:left w:val="nil"/>
              <w:bottom w:val="nil"/>
              <w:right w:val="nil"/>
            </w:tcBorders>
          </w:tcPr>
          <w:p w14:paraId="3D0C0B9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225EEE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manual search of archived information (per search)</w:t>
            </w:r>
          </w:p>
        </w:tc>
        <w:tc>
          <w:tcPr>
            <w:tcW w:w="1705" w:type="dxa"/>
            <w:tcBorders>
              <w:top w:val="nil"/>
              <w:left w:val="nil"/>
              <w:bottom w:val="nil"/>
              <w:right w:val="nil"/>
            </w:tcBorders>
          </w:tcPr>
          <w:p w14:paraId="544A291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689C7C32" w14:textId="77777777" w:rsidTr="00911011">
        <w:trPr>
          <w:cantSplit/>
        </w:trPr>
        <w:tc>
          <w:tcPr>
            <w:tcW w:w="663" w:type="dxa"/>
            <w:tcBorders>
              <w:top w:val="nil"/>
              <w:left w:val="nil"/>
              <w:bottom w:val="nil"/>
              <w:right w:val="nil"/>
            </w:tcBorders>
          </w:tcPr>
          <w:p w14:paraId="43EBA93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2C70C21"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manual search of current information (per search)</w:t>
            </w:r>
          </w:p>
        </w:tc>
        <w:tc>
          <w:tcPr>
            <w:tcW w:w="1705" w:type="dxa"/>
            <w:tcBorders>
              <w:top w:val="nil"/>
              <w:left w:val="nil"/>
              <w:bottom w:val="nil"/>
              <w:right w:val="nil"/>
            </w:tcBorders>
          </w:tcPr>
          <w:p w14:paraId="6929187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A3021" w:rsidRPr="002A3021" w14:paraId="5DE9F073" w14:textId="77777777" w:rsidTr="00911011">
        <w:trPr>
          <w:cantSplit/>
        </w:trPr>
        <w:tc>
          <w:tcPr>
            <w:tcW w:w="663" w:type="dxa"/>
            <w:tcBorders>
              <w:top w:val="nil"/>
              <w:left w:val="nil"/>
              <w:bottom w:val="nil"/>
              <w:right w:val="nil"/>
            </w:tcBorders>
          </w:tcPr>
          <w:p w14:paraId="56558AB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AB8692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for multiple searches where separate extracts of entries are not required</w:t>
            </w:r>
          </w:p>
        </w:tc>
        <w:tc>
          <w:tcPr>
            <w:tcW w:w="1705" w:type="dxa"/>
            <w:tcBorders>
              <w:top w:val="nil"/>
              <w:left w:val="nil"/>
              <w:bottom w:val="nil"/>
              <w:right w:val="nil"/>
            </w:tcBorders>
          </w:tcPr>
          <w:p w14:paraId="7FA7A82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2 fee</w:t>
            </w:r>
          </w:p>
        </w:tc>
      </w:tr>
      <w:tr w:rsidR="002A3021" w:rsidRPr="002A3021" w14:paraId="0C423A03" w14:textId="77777777" w:rsidTr="00911011">
        <w:trPr>
          <w:cantSplit/>
        </w:trPr>
        <w:tc>
          <w:tcPr>
            <w:tcW w:w="663" w:type="dxa"/>
            <w:tcBorders>
              <w:top w:val="nil"/>
              <w:left w:val="nil"/>
              <w:bottom w:val="nil"/>
              <w:right w:val="nil"/>
            </w:tcBorders>
          </w:tcPr>
          <w:p w14:paraId="72BA4C5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010446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(d)</w:t>
            </w:r>
            <w:r w:rsidRPr="002A3021">
              <w:rPr>
                <w:rFonts w:eastAsia="Times New Roman"/>
                <w:color w:val="000000"/>
                <w:sz w:val="20"/>
                <w:szCs w:val="20"/>
                <w:lang w:eastAsia="en-AU"/>
                <w14:ligatures w14:val="standardContextual"/>
              </w:rPr>
              <w:tab/>
              <w:t>where the applicant prepares computer input data in a form acceptable to the Registrar (per search)</w:t>
            </w:r>
          </w:p>
        </w:tc>
        <w:tc>
          <w:tcPr>
            <w:tcW w:w="1705" w:type="dxa"/>
            <w:tcBorders>
              <w:top w:val="nil"/>
              <w:left w:val="nil"/>
              <w:bottom w:val="nil"/>
              <w:right w:val="nil"/>
            </w:tcBorders>
          </w:tcPr>
          <w:p w14:paraId="3B1E161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1 fee</w:t>
            </w:r>
          </w:p>
        </w:tc>
      </w:tr>
      <w:tr w:rsidR="002A3021" w:rsidRPr="002A3021" w14:paraId="45D747D1" w14:textId="77777777" w:rsidTr="00911011">
        <w:trPr>
          <w:cantSplit/>
        </w:trPr>
        <w:tc>
          <w:tcPr>
            <w:tcW w:w="663" w:type="dxa"/>
            <w:tcBorders>
              <w:top w:val="nil"/>
              <w:left w:val="nil"/>
              <w:bottom w:val="nil"/>
              <w:right w:val="nil"/>
            </w:tcBorders>
          </w:tcPr>
          <w:p w14:paraId="63B84DC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308C5FC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for an extract of an entry in the register</w:t>
            </w:r>
          </w:p>
        </w:tc>
        <w:tc>
          <w:tcPr>
            <w:tcW w:w="1705" w:type="dxa"/>
            <w:tcBorders>
              <w:top w:val="nil"/>
              <w:left w:val="nil"/>
              <w:bottom w:val="nil"/>
              <w:right w:val="nil"/>
            </w:tcBorders>
          </w:tcPr>
          <w:p w14:paraId="144212C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B2E13" w:rsidRPr="002A3021" w14:paraId="5D589968" w14:textId="77777777" w:rsidTr="002B2E13">
        <w:trPr>
          <w:cantSplit/>
        </w:trPr>
        <w:tc>
          <w:tcPr>
            <w:tcW w:w="8785" w:type="dxa"/>
            <w:gridSpan w:val="3"/>
            <w:tcBorders>
              <w:top w:val="nil"/>
              <w:left w:val="nil"/>
              <w:bottom w:val="nil"/>
              <w:right w:val="nil"/>
            </w:tcBorders>
          </w:tcPr>
          <w:p w14:paraId="6EEAE98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43—Motor vehicle examinations</w:t>
            </w:r>
          </w:p>
        </w:tc>
      </w:tr>
      <w:tr w:rsidR="002A3021" w:rsidRPr="002A3021" w14:paraId="1DEC9B01" w14:textId="77777777" w:rsidTr="00911011">
        <w:trPr>
          <w:cantSplit/>
        </w:trPr>
        <w:tc>
          <w:tcPr>
            <w:tcW w:w="663" w:type="dxa"/>
            <w:tcBorders>
              <w:top w:val="nil"/>
              <w:left w:val="nil"/>
              <w:bottom w:val="nil"/>
              <w:right w:val="nil"/>
            </w:tcBorders>
          </w:tcPr>
          <w:p w14:paraId="2B02224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0BEA663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For an examination of a motor vehicle for the purposes of completion of a report under </w:t>
            </w:r>
            <w:hyperlink w:anchor="id49e47efb_ee08_4a07_b7e3_9b264f38bf40_8" w:history="1">
              <w:r w:rsidRPr="002A3021">
                <w:rPr>
                  <w:rFonts w:eastAsia="Times New Roman"/>
                  <w:color w:val="000000"/>
                  <w:sz w:val="20"/>
                  <w:szCs w:val="20"/>
                  <w:lang w:eastAsia="en-AU"/>
                  <w14:ligatures w14:val="standardContextual"/>
                </w:rPr>
                <w:t>regulation 20</w:t>
              </w:r>
            </w:hyperlink>
          </w:p>
        </w:tc>
        <w:tc>
          <w:tcPr>
            <w:tcW w:w="1705" w:type="dxa"/>
            <w:tcBorders>
              <w:top w:val="nil"/>
              <w:left w:val="nil"/>
              <w:bottom w:val="nil"/>
              <w:right w:val="nil"/>
            </w:tcBorders>
          </w:tcPr>
          <w:p w14:paraId="3A605D6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$17.00</w:t>
            </w:r>
          </w:p>
        </w:tc>
      </w:tr>
      <w:tr w:rsidR="002A3021" w:rsidRPr="002A3021" w14:paraId="63471CFF" w14:textId="77777777" w:rsidTr="00911011">
        <w:trPr>
          <w:cantSplit/>
        </w:trPr>
        <w:tc>
          <w:tcPr>
            <w:tcW w:w="663" w:type="dxa"/>
            <w:tcBorders>
              <w:top w:val="nil"/>
              <w:left w:val="nil"/>
              <w:bottom w:val="nil"/>
              <w:right w:val="nil"/>
            </w:tcBorders>
          </w:tcPr>
          <w:p w14:paraId="190333A2"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2AE07F28"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 fee for an examination referred to in subclause (1) must be paid—</w:t>
            </w:r>
          </w:p>
        </w:tc>
        <w:tc>
          <w:tcPr>
            <w:tcW w:w="1705" w:type="dxa"/>
            <w:tcBorders>
              <w:top w:val="nil"/>
              <w:left w:val="nil"/>
              <w:bottom w:val="nil"/>
              <w:right w:val="nil"/>
            </w:tcBorders>
          </w:tcPr>
          <w:p w14:paraId="017AE8F1"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5C336E3D" w14:textId="77777777" w:rsidTr="00911011">
        <w:trPr>
          <w:cantSplit/>
        </w:trPr>
        <w:tc>
          <w:tcPr>
            <w:tcW w:w="663" w:type="dxa"/>
            <w:tcBorders>
              <w:top w:val="nil"/>
              <w:left w:val="nil"/>
              <w:bottom w:val="nil"/>
              <w:right w:val="nil"/>
            </w:tcBorders>
          </w:tcPr>
          <w:p w14:paraId="3A304C5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9EE560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 the case of an examination to be carried out by an authorised officer—on the registration of the vehicle; or</w:t>
            </w:r>
          </w:p>
        </w:tc>
        <w:tc>
          <w:tcPr>
            <w:tcW w:w="1705" w:type="dxa"/>
            <w:tcBorders>
              <w:top w:val="nil"/>
              <w:left w:val="nil"/>
              <w:bottom w:val="nil"/>
              <w:right w:val="nil"/>
            </w:tcBorders>
          </w:tcPr>
          <w:p w14:paraId="776797B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53D24F3" w14:textId="77777777" w:rsidTr="00911011">
        <w:trPr>
          <w:cantSplit/>
        </w:trPr>
        <w:tc>
          <w:tcPr>
            <w:tcW w:w="663" w:type="dxa"/>
            <w:tcBorders>
              <w:top w:val="nil"/>
              <w:left w:val="nil"/>
              <w:bottom w:val="nil"/>
              <w:right w:val="nil"/>
            </w:tcBorders>
          </w:tcPr>
          <w:p w14:paraId="3C190DA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282C897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in the case of an examination to be carried out by a police officer—prior to the examination.</w:t>
            </w:r>
          </w:p>
        </w:tc>
        <w:tc>
          <w:tcPr>
            <w:tcW w:w="1705" w:type="dxa"/>
            <w:tcBorders>
              <w:top w:val="nil"/>
              <w:left w:val="nil"/>
              <w:bottom w:val="nil"/>
              <w:right w:val="nil"/>
            </w:tcBorders>
          </w:tcPr>
          <w:p w14:paraId="4FA1977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239351B" w14:textId="77777777" w:rsidTr="00911011">
        <w:trPr>
          <w:cantSplit/>
        </w:trPr>
        <w:tc>
          <w:tcPr>
            <w:tcW w:w="663" w:type="dxa"/>
            <w:tcBorders>
              <w:top w:val="nil"/>
              <w:left w:val="nil"/>
              <w:bottom w:val="nil"/>
              <w:right w:val="nil"/>
            </w:tcBorders>
          </w:tcPr>
          <w:p w14:paraId="15BF3AE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c>
          <w:tcPr>
            <w:tcW w:w="6417" w:type="dxa"/>
            <w:tcBorders>
              <w:top w:val="nil"/>
              <w:left w:val="nil"/>
              <w:bottom w:val="nil"/>
              <w:right w:val="nil"/>
            </w:tcBorders>
          </w:tcPr>
          <w:p w14:paraId="64433B0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basic examination of a motor vehicle for the purposes of section 139(1)(d) of the Act to be carried out by a person authorised by the Registrar under section 139(10) of the Act</w:t>
            </w:r>
          </w:p>
        </w:tc>
        <w:tc>
          <w:tcPr>
            <w:tcW w:w="1705" w:type="dxa"/>
            <w:tcBorders>
              <w:top w:val="nil"/>
              <w:left w:val="nil"/>
              <w:bottom w:val="nil"/>
              <w:right w:val="nil"/>
            </w:tcBorders>
          </w:tcPr>
          <w:p w14:paraId="023B911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$45.00</w:t>
            </w:r>
          </w:p>
        </w:tc>
      </w:tr>
      <w:tr w:rsidR="002A3021" w:rsidRPr="002A3021" w14:paraId="7063364A" w14:textId="77777777" w:rsidTr="00911011">
        <w:trPr>
          <w:cantSplit/>
        </w:trPr>
        <w:tc>
          <w:tcPr>
            <w:tcW w:w="663" w:type="dxa"/>
            <w:tcBorders>
              <w:top w:val="nil"/>
              <w:left w:val="nil"/>
              <w:bottom w:val="nil"/>
              <w:right w:val="nil"/>
            </w:tcBorders>
          </w:tcPr>
          <w:p w14:paraId="27B73749"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c>
          <w:tcPr>
            <w:tcW w:w="6417" w:type="dxa"/>
            <w:tcBorders>
              <w:top w:val="nil"/>
              <w:left w:val="nil"/>
              <w:bottom w:val="nil"/>
              <w:right w:val="nil"/>
            </w:tcBorders>
          </w:tcPr>
          <w:p w14:paraId="3AD0BA4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basic examination of a motor vehicle for the purposes of section 139(1)(d) of the Act to be carried out by a police officer</w:t>
            </w:r>
          </w:p>
        </w:tc>
        <w:tc>
          <w:tcPr>
            <w:tcW w:w="1705" w:type="dxa"/>
            <w:tcBorders>
              <w:top w:val="nil"/>
              <w:left w:val="nil"/>
              <w:bottom w:val="nil"/>
              <w:right w:val="nil"/>
            </w:tcBorders>
          </w:tcPr>
          <w:p w14:paraId="7486BF3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$73.00</w:t>
            </w:r>
          </w:p>
        </w:tc>
      </w:tr>
      <w:tr w:rsidR="002A3021" w:rsidRPr="002A3021" w14:paraId="2CF0B177" w14:textId="77777777" w:rsidTr="00911011">
        <w:trPr>
          <w:cantSplit/>
        </w:trPr>
        <w:tc>
          <w:tcPr>
            <w:tcW w:w="663" w:type="dxa"/>
            <w:tcBorders>
              <w:top w:val="nil"/>
              <w:left w:val="nil"/>
              <w:bottom w:val="nil"/>
              <w:right w:val="nil"/>
            </w:tcBorders>
          </w:tcPr>
          <w:p w14:paraId="2926987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c>
          <w:tcPr>
            <w:tcW w:w="6417" w:type="dxa"/>
            <w:tcBorders>
              <w:top w:val="nil"/>
              <w:left w:val="nil"/>
              <w:bottom w:val="nil"/>
              <w:right w:val="nil"/>
            </w:tcBorders>
          </w:tcPr>
          <w:p w14:paraId="48B3D02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basic examination of a motor vehicle for the purposes of section 139(1)(d) of the Act to be carried out by an authorised officer at Transport Department premises</w:t>
            </w:r>
          </w:p>
        </w:tc>
        <w:tc>
          <w:tcPr>
            <w:tcW w:w="1705" w:type="dxa"/>
            <w:tcBorders>
              <w:top w:val="nil"/>
              <w:left w:val="nil"/>
              <w:bottom w:val="nil"/>
              <w:right w:val="nil"/>
            </w:tcBorders>
          </w:tcPr>
          <w:p w14:paraId="3544D6C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$73.00</w:t>
            </w:r>
          </w:p>
        </w:tc>
      </w:tr>
      <w:tr w:rsidR="002A3021" w:rsidRPr="002A3021" w14:paraId="36AF89BE" w14:textId="77777777" w:rsidTr="00911011">
        <w:trPr>
          <w:cantSplit/>
        </w:trPr>
        <w:tc>
          <w:tcPr>
            <w:tcW w:w="663" w:type="dxa"/>
            <w:tcBorders>
              <w:top w:val="nil"/>
              <w:left w:val="nil"/>
              <w:bottom w:val="nil"/>
              <w:right w:val="nil"/>
            </w:tcBorders>
          </w:tcPr>
          <w:p w14:paraId="28D4F0E8"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c>
          <w:tcPr>
            <w:tcW w:w="6417" w:type="dxa"/>
            <w:tcBorders>
              <w:top w:val="nil"/>
              <w:left w:val="nil"/>
              <w:bottom w:val="nil"/>
              <w:right w:val="nil"/>
            </w:tcBorders>
          </w:tcPr>
          <w:p w14:paraId="0C2AC37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basic examination of a motor vehicle for the purposes of section 139(1)(d) of the Act to be carried out by an authorised officer at a site other than Transport Department premises—</w:t>
            </w:r>
          </w:p>
        </w:tc>
        <w:tc>
          <w:tcPr>
            <w:tcW w:w="1705" w:type="dxa"/>
            <w:tcBorders>
              <w:top w:val="nil"/>
              <w:left w:val="nil"/>
              <w:bottom w:val="nil"/>
              <w:right w:val="nil"/>
            </w:tcBorders>
          </w:tcPr>
          <w:p w14:paraId="5F9A1F4C"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2812C357" w14:textId="77777777" w:rsidTr="00911011">
        <w:trPr>
          <w:cantSplit/>
        </w:trPr>
        <w:tc>
          <w:tcPr>
            <w:tcW w:w="663" w:type="dxa"/>
            <w:tcBorders>
              <w:top w:val="nil"/>
              <w:left w:val="nil"/>
              <w:bottom w:val="nil"/>
              <w:right w:val="nil"/>
            </w:tcBorders>
          </w:tcPr>
          <w:p w14:paraId="0743FD6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65D989C"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fee for call out (per site visit)—$245.00; plus</w:t>
            </w:r>
          </w:p>
        </w:tc>
        <w:tc>
          <w:tcPr>
            <w:tcW w:w="1705" w:type="dxa"/>
            <w:tcBorders>
              <w:top w:val="nil"/>
              <w:left w:val="nil"/>
              <w:bottom w:val="nil"/>
              <w:right w:val="nil"/>
            </w:tcBorders>
          </w:tcPr>
          <w:p w14:paraId="5FB46EFD"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8C8C38D" w14:textId="77777777" w:rsidTr="00911011">
        <w:trPr>
          <w:cantSplit/>
        </w:trPr>
        <w:tc>
          <w:tcPr>
            <w:tcW w:w="663" w:type="dxa"/>
            <w:tcBorders>
              <w:top w:val="nil"/>
              <w:left w:val="nil"/>
              <w:bottom w:val="nil"/>
              <w:right w:val="nil"/>
            </w:tcBorders>
          </w:tcPr>
          <w:p w14:paraId="72DCBBD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92016A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fee for examination (per vehicle)—$73.00.</w:t>
            </w:r>
          </w:p>
        </w:tc>
        <w:tc>
          <w:tcPr>
            <w:tcW w:w="1705" w:type="dxa"/>
            <w:tcBorders>
              <w:top w:val="nil"/>
              <w:left w:val="nil"/>
              <w:bottom w:val="nil"/>
              <w:right w:val="nil"/>
            </w:tcBorders>
          </w:tcPr>
          <w:p w14:paraId="7F10F66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924BF34" w14:textId="77777777" w:rsidTr="00911011">
        <w:trPr>
          <w:cantSplit/>
        </w:trPr>
        <w:tc>
          <w:tcPr>
            <w:tcW w:w="663" w:type="dxa"/>
            <w:tcBorders>
              <w:top w:val="nil"/>
              <w:left w:val="nil"/>
              <w:bottom w:val="nil"/>
              <w:right w:val="nil"/>
            </w:tcBorders>
          </w:tcPr>
          <w:p w14:paraId="5902C9A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c>
          <w:tcPr>
            <w:tcW w:w="6417" w:type="dxa"/>
            <w:tcBorders>
              <w:top w:val="nil"/>
              <w:left w:val="nil"/>
              <w:bottom w:val="nil"/>
              <w:right w:val="nil"/>
            </w:tcBorders>
          </w:tcPr>
          <w:p w14:paraId="5AFF8FF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comprehensive examination of a motor vehicle for the purposes of section 139(1)(d) of the Act to be carried out by an authorised officer</w:t>
            </w:r>
          </w:p>
        </w:tc>
        <w:tc>
          <w:tcPr>
            <w:tcW w:w="1705" w:type="dxa"/>
            <w:tcBorders>
              <w:top w:val="nil"/>
              <w:left w:val="nil"/>
              <w:bottom w:val="nil"/>
              <w:right w:val="nil"/>
            </w:tcBorders>
          </w:tcPr>
          <w:p w14:paraId="1942F7A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$339.00 plus a booking fee of $30.00</w:t>
            </w:r>
          </w:p>
        </w:tc>
      </w:tr>
      <w:tr w:rsidR="002A3021" w:rsidRPr="002A3021" w14:paraId="4722B155" w14:textId="77777777" w:rsidTr="00911011">
        <w:trPr>
          <w:cantSplit/>
        </w:trPr>
        <w:tc>
          <w:tcPr>
            <w:tcW w:w="663" w:type="dxa"/>
            <w:tcBorders>
              <w:top w:val="nil"/>
              <w:left w:val="nil"/>
              <w:bottom w:val="nil"/>
              <w:right w:val="nil"/>
            </w:tcBorders>
          </w:tcPr>
          <w:p w14:paraId="51C8046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w:t>
            </w:r>
          </w:p>
        </w:tc>
        <w:tc>
          <w:tcPr>
            <w:tcW w:w="6417" w:type="dxa"/>
            <w:tcBorders>
              <w:top w:val="nil"/>
              <w:left w:val="nil"/>
              <w:bottom w:val="nil"/>
              <w:right w:val="nil"/>
            </w:tcBorders>
          </w:tcPr>
          <w:p w14:paraId="015EE84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a further examination of a motor vehicle for the purposes of section 139(1)(d) of the Act following a comprehensive examination referred to in subclause (7), to be carried out by an authorised officer</w:t>
            </w:r>
          </w:p>
        </w:tc>
        <w:tc>
          <w:tcPr>
            <w:tcW w:w="1705" w:type="dxa"/>
            <w:tcBorders>
              <w:top w:val="nil"/>
              <w:left w:val="nil"/>
              <w:bottom w:val="nil"/>
              <w:right w:val="nil"/>
            </w:tcBorders>
          </w:tcPr>
          <w:p w14:paraId="31027A8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$45.00 plus a booking fee of $30.00</w:t>
            </w:r>
          </w:p>
        </w:tc>
      </w:tr>
      <w:tr w:rsidR="002A3021" w:rsidRPr="002A3021" w14:paraId="24EF1833" w14:textId="77777777" w:rsidTr="00911011">
        <w:trPr>
          <w:cantSplit/>
        </w:trPr>
        <w:tc>
          <w:tcPr>
            <w:tcW w:w="663" w:type="dxa"/>
            <w:tcBorders>
              <w:top w:val="nil"/>
              <w:left w:val="nil"/>
              <w:bottom w:val="nil"/>
              <w:right w:val="nil"/>
            </w:tcBorders>
          </w:tcPr>
          <w:p w14:paraId="18F9E2A2"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w:t>
            </w:r>
          </w:p>
        </w:tc>
        <w:tc>
          <w:tcPr>
            <w:tcW w:w="6417" w:type="dxa"/>
            <w:tcBorders>
              <w:top w:val="nil"/>
              <w:left w:val="nil"/>
              <w:bottom w:val="nil"/>
              <w:right w:val="nil"/>
            </w:tcBorders>
          </w:tcPr>
          <w:p w14:paraId="45782D6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 fee for an examination of a motor vehicle for the purposes of section 139(1)(d) of the Act must be paid—</w:t>
            </w:r>
          </w:p>
        </w:tc>
        <w:tc>
          <w:tcPr>
            <w:tcW w:w="1705" w:type="dxa"/>
            <w:tcBorders>
              <w:top w:val="nil"/>
              <w:left w:val="nil"/>
              <w:bottom w:val="nil"/>
              <w:right w:val="nil"/>
            </w:tcBorders>
          </w:tcPr>
          <w:p w14:paraId="2E73A0DD"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14DCB832" w14:textId="77777777" w:rsidTr="00911011">
        <w:trPr>
          <w:cantSplit/>
        </w:trPr>
        <w:tc>
          <w:tcPr>
            <w:tcW w:w="663" w:type="dxa"/>
            <w:tcBorders>
              <w:top w:val="nil"/>
              <w:left w:val="nil"/>
              <w:bottom w:val="nil"/>
              <w:right w:val="nil"/>
            </w:tcBorders>
          </w:tcPr>
          <w:p w14:paraId="0380352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688487E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in the case of a fee specified in subclause (3), (5) or (6)(b)—on the registration of the vehicle; or</w:t>
            </w:r>
          </w:p>
        </w:tc>
        <w:tc>
          <w:tcPr>
            <w:tcW w:w="1705" w:type="dxa"/>
            <w:tcBorders>
              <w:top w:val="nil"/>
              <w:left w:val="nil"/>
              <w:bottom w:val="nil"/>
              <w:right w:val="nil"/>
            </w:tcBorders>
          </w:tcPr>
          <w:p w14:paraId="3F5E046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bl>
    <w:p w14:paraId="2B08A250" w14:textId="77777777" w:rsidR="004311B6" w:rsidRDefault="004311B6">
      <w:r>
        <w:br w:type="page"/>
      </w:r>
    </w:p>
    <w:tbl>
      <w:tblPr>
        <w:tblW w:w="0" w:type="auto"/>
        <w:tblLayout w:type="fixed"/>
        <w:tblCellMar>
          <w:left w:w="60" w:type="dxa"/>
          <w:right w:w="60" w:type="dxa"/>
        </w:tblCellMar>
        <w:tblLook w:val="0000" w:firstRow="0" w:lastRow="0" w:firstColumn="0" w:lastColumn="0" w:noHBand="0" w:noVBand="0"/>
      </w:tblPr>
      <w:tblGrid>
        <w:gridCol w:w="663"/>
        <w:gridCol w:w="6417"/>
        <w:gridCol w:w="1705"/>
      </w:tblGrid>
      <w:tr w:rsidR="002A3021" w:rsidRPr="002A3021" w14:paraId="40469617" w14:textId="77777777" w:rsidTr="00911011">
        <w:trPr>
          <w:cantSplit/>
        </w:trPr>
        <w:tc>
          <w:tcPr>
            <w:tcW w:w="663" w:type="dxa"/>
            <w:tcBorders>
              <w:top w:val="nil"/>
              <w:left w:val="nil"/>
              <w:bottom w:val="nil"/>
              <w:right w:val="nil"/>
            </w:tcBorders>
          </w:tcPr>
          <w:p w14:paraId="72930D89"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E7B2387"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in the case of a fee specified in subclause (4), (6)(a), (7) or (8)—prior to the examination.</w:t>
            </w:r>
          </w:p>
        </w:tc>
        <w:tc>
          <w:tcPr>
            <w:tcW w:w="1705" w:type="dxa"/>
            <w:tcBorders>
              <w:top w:val="nil"/>
              <w:left w:val="nil"/>
              <w:bottom w:val="nil"/>
              <w:right w:val="nil"/>
            </w:tcBorders>
          </w:tcPr>
          <w:p w14:paraId="250EB51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5F539AD" w14:textId="77777777" w:rsidTr="00911011">
        <w:trPr>
          <w:cantSplit/>
        </w:trPr>
        <w:tc>
          <w:tcPr>
            <w:tcW w:w="663" w:type="dxa"/>
            <w:tcBorders>
              <w:top w:val="nil"/>
              <w:left w:val="nil"/>
              <w:bottom w:val="nil"/>
              <w:right w:val="nil"/>
            </w:tcBorders>
          </w:tcPr>
          <w:p w14:paraId="6EF8BC8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w:t>
            </w:r>
          </w:p>
        </w:tc>
        <w:tc>
          <w:tcPr>
            <w:tcW w:w="6417" w:type="dxa"/>
            <w:tcBorders>
              <w:top w:val="nil"/>
              <w:left w:val="nil"/>
              <w:bottom w:val="nil"/>
              <w:right w:val="nil"/>
            </w:tcBorders>
          </w:tcPr>
          <w:p w14:paraId="5766895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If more than 1 fee becomes payable under subclauses (1) to (7) (inclusive) in respect of the examination of the same motor vehicle, only the higher or highest fee (as the case may be) must be paid.</w:t>
            </w:r>
          </w:p>
        </w:tc>
        <w:tc>
          <w:tcPr>
            <w:tcW w:w="1705" w:type="dxa"/>
            <w:tcBorders>
              <w:top w:val="nil"/>
              <w:left w:val="nil"/>
              <w:bottom w:val="nil"/>
              <w:right w:val="nil"/>
            </w:tcBorders>
          </w:tcPr>
          <w:p w14:paraId="13B0F009"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8994193" w14:textId="77777777" w:rsidTr="00911011">
        <w:trPr>
          <w:cantSplit/>
        </w:trPr>
        <w:tc>
          <w:tcPr>
            <w:tcW w:w="663" w:type="dxa"/>
            <w:tcBorders>
              <w:top w:val="nil"/>
              <w:left w:val="nil"/>
              <w:bottom w:val="nil"/>
              <w:right w:val="nil"/>
            </w:tcBorders>
          </w:tcPr>
          <w:p w14:paraId="2BB2625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w:t>
            </w:r>
          </w:p>
        </w:tc>
        <w:tc>
          <w:tcPr>
            <w:tcW w:w="6417" w:type="dxa"/>
            <w:tcBorders>
              <w:top w:val="nil"/>
              <w:left w:val="nil"/>
              <w:bottom w:val="nil"/>
              <w:right w:val="nil"/>
            </w:tcBorders>
          </w:tcPr>
          <w:p w14:paraId="75744C5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 fee for an examination referred to in this clause to be carried out by a police officer must be paid to the South Australian Police Department.</w:t>
            </w:r>
          </w:p>
        </w:tc>
        <w:tc>
          <w:tcPr>
            <w:tcW w:w="1705" w:type="dxa"/>
            <w:tcBorders>
              <w:top w:val="nil"/>
              <w:left w:val="nil"/>
              <w:bottom w:val="nil"/>
              <w:right w:val="nil"/>
            </w:tcBorders>
          </w:tcPr>
          <w:p w14:paraId="09A0CB05"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543AFE22" w14:textId="77777777" w:rsidTr="002B2E13">
        <w:trPr>
          <w:cantSplit/>
        </w:trPr>
        <w:tc>
          <w:tcPr>
            <w:tcW w:w="8785" w:type="dxa"/>
            <w:gridSpan w:val="3"/>
            <w:tcBorders>
              <w:top w:val="nil"/>
              <w:left w:val="nil"/>
              <w:bottom w:val="nil"/>
              <w:right w:val="nil"/>
            </w:tcBorders>
          </w:tcPr>
          <w:p w14:paraId="2A759E8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44—Application for review of decision of Registrar</w:t>
            </w:r>
          </w:p>
        </w:tc>
      </w:tr>
      <w:tr w:rsidR="002A3021" w:rsidRPr="002A3021" w14:paraId="0AAA0B58" w14:textId="77777777" w:rsidTr="00911011">
        <w:trPr>
          <w:cantSplit/>
        </w:trPr>
        <w:tc>
          <w:tcPr>
            <w:tcW w:w="663" w:type="dxa"/>
            <w:tcBorders>
              <w:top w:val="nil"/>
              <w:left w:val="nil"/>
              <w:bottom w:val="nil"/>
              <w:right w:val="nil"/>
            </w:tcBorders>
          </w:tcPr>
          <w:p w14:paraId="7634499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4EF7637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on application for a review under section 98Z of the Act</w:t>
            </w:r>
          </w:p>
        </w:tc>
        <w:tc>
          <w:tcPr>
            <w:tcW w:w="1705" w:type="dxa"/>
            <w:tcBorders>
              <w:top w:val="nil"/>
              <w:left w:val="nil"/>
              <w:bottom w:val="nil"/>
              <w:right w:val="nil"/>
            </w:tcBorders>
          </w:tcPr>
          <w:p w14:paraId="03AFCF2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B2E13" w:rsidRPr="002A3021" w14:paraId="32112466" w14:textId="77777777" w:rsidTr="002B2E13">
        <w:trPr>
          <w:cantSplit/>
        </w:trPr>
        <w:tc>
          <w:tcPr>
            <w:tcW w:w="8785" w:type="dxa"/>
            <w:gridSpan w:val="3"/>
            <w:tcBorders>
              <w:top w:val="nil"/>
              <w:left w:val="nil"/>
              <w:bottom w:val="nil"/>
              <w:right w:val="nil"/>
            </w:tcBorders>
          </w:tcPr>
          <w:p w14:paraId="3881E71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45—Dishonoured cheque or debit card or credit card transactions</w:t>
            </w:r>
          </w:p>
        </w:tc>
      </w:tr>
      <w:tr w:rsidR="002A3021" w:rsidRPr="002A3021" w14:paraId="40DD7078" w14:textId="77777777" w:rsidTr="00911011">
        <w:trPr>
          <w:cantSplit/>
        </w:trPr>
        <w:tc>
          <w:tcPr>
            <w:tcW w:w="663" w:type="dxa"/>
            <w:tcBorders>
              <w:top w:val="nil"/>
              <w:left w:val="nil"/>
              <w:bottom w:val="nil"/>
              <w:right w:val="nil"/>
            </w:tcBorders>
          </w:tcPr>
          <w:p w14:paraId="56AE34C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42C447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under section 138B of the Act</w:t>
            </w:r>
          </w:p>
        </w:tc>
        <w:tc>
          <w:tcPr>
            <w:tcW w:w="1705" w:type="dxa"/>
            <w:tcBorders>
              <w:top w:val="nil"/>
              <w:left w:val="nil"/>
              <w:bottom w:val="nil"/>
              <w:right w:val="nil"/>
            </w:tcBorders>
          </w:tcPr>
          <w:p w14:paraId="614C22BC"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level 3 fee</w:t>
            </w:r>
          </w:p>
        </w:tc>
      </w:tr>
      <w:tr w:rsidR="002B2E13" w:rsidRPr="002A3021" w14:paraId="299546B7" w14:textId="77777777" w:rsidTr="002B2E13">
        <w:trPr>
          <w:cantSplit/>
        </w:trPr>
        <w:tc>
          <w:tcPr>
            <w:tcW w:w="8785" w:type="dxa"/>
            <w:gridSpan w:val="3"/>
            <w:tcBorders>
              <w:top w:val="nil"/>
              <w:left w:val="nil"/>
              <w:bottom w:val="nil"/>
              <w:right w:val="nil"/>
            </w:tcBorders>
          </w:tcPr>
          <w:p w14:paraId="0A30943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46—Fees payable by insurer for emergency treatment</w:t>
            </w:r>
          </w:p>
        </w:tc>
      </w:tr>
      <w:tr w:rsidR="002A3021" w:rsidRPr="002A3021" w14:paraId="6AA8725C" w14:textId="77777777" w:rsidTr="00911011">
        <w:trPr>
          <w:cantSplit/>
        </w:trPr>
        <w:tc>
          <w:tcPr>
            <w:tcW w:w="663" w:type="dxa"/>
            <w:tcBorders>
              <w:top w:val="nil"/>
              <w:left w:val="nil"/>
              <w:bottom w:val="nil"/>
              <w:right w:val="nil"/>
            </w:tcBorders>
          </w:tcPr>
          <w:p w14:paraId="5EC6A30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05687D5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For the purposes of section 110(1) of the Act—</w:t>
            </w:r>
          </w:p>
        </w:tc>
        <w:tc>
          <w:tcPr>
            <w:tcW w:w="1705" w:type="dxa"/>
            <w:tcBorders>
              <w:top w:val="nil"/>
              <w:left w:val="nil"/>
              <w:bottom w:val="nil"/>
              <w:right w:val="nil"/>
            </w:tcBorders>
          </w:tcPr>
          <w:p w14:paraId="149D1E84" w14:textId="77777777" w:rsidR="002A3021" w:rsidRPr="002A3021" w:rsidRDefault="002A3021" w:rsidP="002A3021">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1BD3CE6" w14:textId="77777777" w:rsidTr="00911011">
        <w:trPr>
          <w:cantSplit/>
        </w:trPr>
        <w:tc>
          <w:tcPr>
            <w:tcW w:w="663" w:type="dxa"/>
            <w:tcBorders>
              <w:top w:val="nil"/>
              <w:left w:val="nil"/>
              <w:bottom w:val="nil"/>
              <w:right w:val="nil"/>
            </w:tcBorders>
          </w:tcPr>
          <w:p w14:paraId="5B382D6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1532BD8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the fee payable to a medical practitioner who renders emergency treatment is a fee equal to a level 3 fee;</w:t>
            </w:r>
          </w:p>
        </w:tc>
        <w:tc>
          <w:tcPr>
            <w:tcW w:w="1705" w:type="dxa"/>
            <w:tcBorders>
              <w:top w:val="nil"/>
              <w:left w:val="nil"/>
              <w:bottom w:val="nil"/>
              <w:right w:val="nil"/>
            </w:tcBorders>
          </w:tcPr>
          <w:p w14:paraId="569DE09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4AD83136" w14:textId="77777777" w:rsidTr="00911011">
        <w:trPr>
          <w:cantSplit/>
        </w:trPr>
        <w:tc>
          <w:tcPr>
            <w:tcW w:w="663" w:type="dxa"/>
            <w:tcBorders>
              <w:top w:val="nil"/>
              <w:left w:val="nil"/>
              <w:bottom w:val="nil"/>
              <w:right w:val="nil"/>
            </w:tcBorders>
          </w:tcPr>
          <w:p w14:paraId="53D600B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53E58EE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the fee payable to a nurse who renders emergency treatment is a fee equal to a level 2 fee;</w:t>
            </w:r>
          </w:p>
        </w:tc>
        <w:tc>
          <w:tcPr>
            <w:tcW w:w="1705" w:type="dxa"/>
            <w:tcBorders>
              <w:top w:val="nil"/>
              <w:left w:val="nil"/>
              <w:bottom w:val="nil"/>
              <w:right w:val="nil"/>
            </w:tcBorders>
          </w:tcPr>
          <w:p w14:paraId="28A7DD0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3341487F" w14:textId="77777777" w:rsidTr="00911011">
        <w:trPr>
          <w:cantSplit/>
        </w:trPr>
        <w:tc>
          <w:tcPr>
            <w:tcW w:w="663" w:type="dxa"/>
            <w:tcBorders>
              <w:top w:val="nil"/>
              <w:left w:val="nil"/>
              <w:bottom w:val="nil"/>
              <w:right w:val="nil"/>
            </w:tcBorders>
          </w:tcPr>
          <w:p w14:paraId="62E4B74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417" w:type="dxa"/>
            <w:tcBorders>
              <w:top w:val="nil"/>
              <w:left w:val="nil"/>
              <w:bottom w:val="nil"/>
              <w:right w:val="nil"/>
            </w:tcBorders>
          </w:tcPr>
          <w:p w14:paraId="7B576C9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the amount payable to a person who conveys an injured person is an amount equal to one tenth of a level 1 fee for every kilometre that the person is conveyed.</w:t>
            </w:r>
          </w:p>
        </w:tc>
        <w:tc>
          <w:tcPr>
            <w:tcW w:w="1705" w:type="dxa"/>
            <w:tcBorders>
              <w:top w:val="nil"/>
              <w:left w:val="nil"/>
              <w:bottom w:val="nil"/>
              <w:right w:val="nil"/>
            </w:tcBorders>
          </w:tcPr>
          <w:p w14:paraId="63EDC23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B2E13" w:rsidRPr="002A3021" w14:paraId="65B9E6C1" w14:textId="77777777" w:rsidTr="002B2E13">
        <w:trPr>
          <w:cantSplit/>
        </w:trPr>
        <w:tc>
          <w:tcPr>
            <w:tcW w:w="8785" w:type="dxa"/>
            <w:gridSpan w:val="3"/>
            <w:tcBorders>
              <w:top w:val="nil"/>
              <w:left w:val="nil"/>
              <w:bottom w:val="nil"/>
              <w:right w:val="nil"/>
            </w:tcBorders>
          </w:tcPr>
          <w:p w14:paraId="6A86FBA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47—Fees payable in connection with service of notices of disqualification</w:t>
            </w:r>
          </w:p>
        </w:tc>
      </w:tr>
      <w:tr w:rsidR="002A3021" w:rsidRPr="002A3021" w14:paraId="4966209A" w14:textId="77777777" w:rsidTr="00911011">
        <w:trPr>
          <w:cantSplit/>
        </w:trPr>
        <w:tc>
          <w:tcPr>
            <w:tcW w:w="663" w:type="dxa"/>
            <w:tcBorders>
              <w:top w:val="nil"/>
              <w:left w:val="nil"/>
              <w:bottom w:val="nil"/>
              <w:right w:val="nil"/>
            </w:tcBorders>
          </w:tcPr>
          <w:p w14:paraId="27D65A5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c>
          <w:tcPr>
            <w:tcW w:w="6417" w:type="dxa"/>
            <w:tcBorders>
              <w:top w:val="nil"/>
              <w:left w:val="nil"/>
              <w:bottom w:val="nil"/>
              <w:right w:val="nil"/>
            </w:tcBorders>
          </w:tcPr>
          <w:p w14:paraId="6553DE5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Administration fee payable under section 139BD of the Act</w:t>
            </w:r>
          </w:p>
        </w:tc>
        <w:tc>
          <w:tcPr>
            <w:tcW w:w="1705" w:type="dxa"/>
            <w:tcBorders>
              <w:top w:val="nil"/>
              <w:left w:val="nil"/>
              <w:bottom w:val="nil"/>
              <w:right w:val="nil"/>
            </w:tcBorders>
          </w:tcPr>
          <w:p w14:paraId="5D84C42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$41.00</w:t>
            </w:r>
          </w:p>
        </w:tc>
      </w:tr>
      <w:tr w:rsidR="002A3021" w:rsidRPr="002A3021" w14:paraId="3CA4A6C2" w14:textId="77777777" w:rsidTr="00911011">
        <w:trPr>
          <w:cantSplit/>
        </w:trPr>
        <w:tc>
          <w:tcPr>
            <w:tcW w:w="663" w:type="dxa"/>
            <w:tcBorders>
              <w:top w:val="nil"/>
              <w:left w:val="nil"/>
              <w:bottom w:val="nil"/>
              <w:right w:val="nil"/>
            </w:tcBorders>
          </w:tcPr>
          <w:p w14:paraId="6DFD874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c>
          <w:tcPr>
            <w:tcW w:w="6417" w:type="dxa"/>
            <w:tcBorders>
              <w:top w:val="nil"/>
              <w:left w:val="nil"/>
              <w:bottom w:val="nil"/>
              <w:right w:val="nil"/>
            </w:tcBorders>
          </w:tcPr>
          <w:p w14:paraId="323B14F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Service fee payable under section 139BD of the Act</w:t>
            </w:r>
          </w:p>
        </w:tc>
        <w:tc>
          <w:tcPr>
            <w:tcW w:w="1705" w:type="dxa"/>
            <w:tcBorders>
              <w:top w:val="nil"/>
              <w:left w:val="nil"/>
              <w:bottom w:val="nil"/>
              <w:right w:val="nil"/>
            </w:tcBorders>
          </w:tcPr>
          <w:p w14:paraId="1F9F4848"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$144.00</w:t>
            </w:r>
          </w:p>
        </w:tc>
      </w:tr>
    </w:tbl>
    <w:p w14:paraId="139E2796"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79" w:name="Elkera_Print_TOC177"/>
      <w:bookmarkStart w:id="380" w:name="id4cf36092_ce1d_4fd0_ae0e_a5bd69d0e404_e"/>
      <w:r w:rsidRPr="002A3021">
        <w:rPr>
          <w:rFonts w:eastAsia="Times New Roman"/>
          <w:b/>
          <w:bCs/>
          <w:color w:val="000000"/>
          <w:sz w:val="32"/>
          <w:szCs w:val="32"/>
          <w:lang w:eastAsia="en-AU"/>
          <w14:ligatures w14:val="standardContextual"/>
        </w:rPr>
        <w:t>Schedule 2—Classification of driver's licences</w:t>
      </w:r>
      <w:bookmarkEnd w:id="379"/>
      <w:bookmarkEnd w:id="380"/>
    </w:p>
    <w:p w14:paraId="3561676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1" w:name="Elkera_Print_TOC178"/>
      <w:bookmarkStart w:id="382" w:name="Elkera_Print_BK178"/>
      <w:r w:rsidRPr="002A3021">
        <w:rPr>
          <w:rFonts w:eastAsia="Times New Roman"/>
          <w:b/>
          <w:bCs/>
          <w:color w:val="000000"/>
          <w:sz w:val="26"/>
          <w:szCs w:val="26"/>
          <w:lang w:eastAsia="en-AU"/>
          <w14:ligatures w14:val="standardContextual"/>
        </w:rPr>
        <w:t>1—Classification of licences</w:t>
      </w:r>
      <w:bookmarkEnd w:id="381"/>
      <w:bookmarkEnd w:id="382"/>
    </w:p>
    <w:p w14:paraId="74C9BAC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Subject to this clause, a licence that is endorsed with a classification appearing in column 1 of the table below authorises the holder of the licence to drive a motor vehicle of the description appearing opposite that classification in column 2.</w:t>
      </w:r>
    </w:p>
    <w:p w14:paraId="7A10547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 xml:space="preserve">A licence that is assigned the R classification in accordance with </w:t>
      </w:r>
      <w:hyperlink w:anchor="idc036435c_03a8_4df7_8af4_76caf7900401_5" w:history="1">
        <w:r w:rsidRPr="002A3021">
          <w:rPr>
            <w:rFonts w:eastAsia="Times New Roman"/>
            <w:color w:val="000000"/>
            <w:sz w:val="23"/>
            <w:szCs w:val="23"/>
            <w:lang w:eastAsia="en-AU"/>
            <w14:ligatures w14:val="standardContextual"/>
          </w:rPr>
          <w:t>regulation 45(2)</w:t>
        </w:r>
      </w:hyperlink>
      <w:r w:rsidRPr="002A3021">
        <w:rPr>
          <w:rFonts w:eastAsia="Times New Roman"/>
          <w:color w:val="000000"/>
          <w:sz w:val="23"/>
          <w:szCs w:val="23"/>
          <w:lang w:eastAsia="en-AU"/>
          <w14:ligatures w14:val="standardContextual"/>
        </w:rPr>
        <w:t xml:space="preserve"> is not required to be endorsed with that classification in order to authorise the holder of the licence to drive any motor bike or motor trike.</w:t>
      </w:r>
    </w:p>
    <w:p w14:paraId="5F862FBA"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 xml:space="preserve">A reference in column 3 of the table below to a </w:t>
      </w:r>
      <w:r w:rsidRPr="002A3021">
        <w:rPr>
          <w:rFonts w:eastAsia="Times New Roman"/>
          <w:b/>
          <w:bCs/>
          <w:i/>
          <w:iCs/>
          <w:color w:val="000000"/>
          <w:sz w:val="23"/>
          <w:szCs w:val="23"/>
          <w:lang w:eastAsia="en-AU"/>
          <w14:ligatures w14:val="standardContextual"/>
        </w:rPr>
        <w:t>driver's licence</w:t>
      </w:r>
      <w:r w:rsidRPr="002A3021">
        <w:rPr>
          <w:rFonts w:eastAsia="Times New Roman"/>
          <w:color w:val="000000"/>
          <w:sz w:val="23"/>
          <w:szCs w:val="23"/>
          <w:lang w:eastAsia="en-AU"/>
          <w14:ligatures w14:val="standardContextual"/>
        </w:rPr>
        <w:t xml:space="preserve"> of a particular class includes a reference to an interstate licence of that class.</w:t>
      </w:r>
    </w:p>
    <w:p w14:paraId="39E1D733"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83" w:name="id8d4d93c8_d318_4ed1_9ece_56be92d3d4"/>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Subject to this clause, the Registrar may not endorse a licence with a particular classification unless the Registrar is satisfied that the applicant—</w:t>
      </w:r>
      <w:bookmarkEnd w:id="383"/>
    </w:p>
    <w:p w14:paraId="2809973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fulfils the criteria specified in column 3 of the table below; and</w:t>
      </w:r>
    </w:p>
    <w:p w14:paraId="12FA209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has—</w:t>
      </w:r>
    </w:p>
    <w:p w14:paraId="20C05EDA"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passed a practical driving test approved by the Registrar; or</w:t>
      </w:r>
    </w:p>
    <w:p w14:paraId="0F03948F"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completed a driver training course approved by the Registrar,</w:t>
      </w:r>
    </w:p>
    <w:p w14:paraId="1766F0BE"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in respect of that classification.</w:t>
      </w:r>
    </w:p>
    <w:p w14:paraId="632E64BD"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84" w:name="id462802b0_9c87_4f75_a337_e6eeae24cf"/>
      <w:r w:rsidRPr="002A3021">
        <w:rPr>
          <w:rFonts w:eastAsia="Times New Roman"/>
          <w:color w:val="000000"/>
          <w:sz w:val="23"/>
          <w:szCs w:val="23"/>
          <w:lang w:eastAsia="en-AU"/>
          <w14:ligatures w14:val="standardContextual"/>
        </w:rPr>
        <w:lastRenderedPageBreak/>
        <w:tab/>
        <w:t>(5)</w:t>
      </w:r>
      <w:r w:rsidRPr="002A3021">
        <w:rPr>
          <w:rFonts w:eastAsia="Times New Roman"/>
          <w:color w:val="000000"/>
          <w:sz w:val="23"/>
          <w:szCs w:val="23"/>
          <w:lang w:eastAsia="en-AU"/>
          <w14:ligatures w14:val="standardContextual"/>
        </w:rPr>
        <w:tab/>
        <w:t>The Registrar may endorse a licence with a particular classification despite the fact that the applicant does not fulfil the criteria specified in column 3 of the table below in respect of that classification if—</w:t>
      </w:r>
      <w:bookmarkEnd w:id="384"/>
    </w:p>
    <w:p w14:paraId="05DB9DF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applicant is of or over the age of 18 years; and</w:t>
      </w:r>
    </w:p>
    <w:p w14:paraId="55472D5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Registrar is satisfied that—</w:t>
      </w:r>
    </w:p>
    <w:p w14:paraId="26A38068"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by reason of the applicant having undertaken the driver training course known as the "Training In Lieu of Experience" ("TILE") course or some other driver training course approved by the Registrar; or</w:t>
      </w:r>
    </w:p>
    <w:p w14:paraId="6981DDC9"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for some other reason,</w:t>
      </w:r>
    </w:p>
    <w:p w14:paraId="36265737" w14:textId="77777777" w:rsidR="002A3021" w:rsidRPr="002A3021" w:rsidRDefault="002A3021" w:rsidP="002A302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special circumstances exist for doing so.</w:t>
      </w:r>
    </w:p>
    <w:p w14:paraId="77ECA1B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(6)</w:t>
      </w:r>
      <w:r w:rsidRPr="002A3021">
        <w:rPr>
          <w:rFonts w:eastAsia="Times New Roman"/>
          <w:color w:val="000000"/>
          <w:sz w:val="23"/>
          <w:szCs w:val="23"/>
          <w:lang w:eastAsia="en-AU"/>
          <w14:ligatures w14:val="standardContextual"/>
        </w:rPr>
        <w:tab/>
        <w:t xml:space="preserve">Without limiting </w:t>
      </w:r>
      <w:hyperlink w:anchor="id462802b0_9c87_4f75_a337_e6eeae24cf" w:history="1">
        <w:r w:rsidRPr="002A3021">
          <w:rPr>
            <w:rFonts w:eastAsia="Times New Roman"/>
            <w:color w:val="000000"/>
            <w:sz w:val="23"/>
            <w:szCs w:val="23"/>
            <w:lang w:eastAsia="en-AU"/>
            <w14:ligatures w14:val="standardContextual"/>
          </w:rPr>
          <w:t>subclause (5)</w:t>
        </w:r>
      </w:hyperlink>
      <w:r w:rsidRPr="002A3021">
        <w:rPr>
          <w:rFonts w:eastAsia="Times New Roman"/>
          <w:color w:val="000000"/>
          <w:sz w:val="23"/>
          <w:szCs w:val="23"/>
          <w:lang w:eastAsia="en-AU"/>
          <w14:ligatures w14:val="standardContextual"/>
        </w:rPr>
        <w:t>, the Registrar may endorse a licence with the MC classification despite the fact that the applicant does not fulfil the criteria specified in column 3 of the table below in respect of that classification if—</w:t>
      </w:r>
    </w:p>
    <w:p w14:paraId="4C05917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applicant holds a driver's licence endorsed with the classification HC or HR; and</w:t>
      </w:r>
    </w:p>
    <w:p w14:paraId="0CA9AED7"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Registrar is satisfied that the applicant—</w:t>
      </w:r>
    </w:p>
    <w:p w14:paraId="64A51B36"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w:t>
      </w:r>
      <w:r w:rsidRPr="002A3021">
        <w:rPr>
          <w:rFonts w:eastAsia="Times New Roman"/>
          <w:color w:val="000000"/>
          <w:sz w:val="23"/>
          <w:szCs w:val="23"/>
          <w:lang w:eastAsia="en-AU"/>
          <w14:ligatures w14:val="standardContextual"/>
        </w:rPr>
        <w:tab/>
        <w:t>has completed a training course approved by the Registrar; and</w:t>
      </w:r>
    </w:p>
    <w:p w14:paraId="2D11CDCC" w14:textId="77777777" w:rsidR="002A3021" w:rsidRPr="002A3021" w:rsidRDefault="002A3021" w:rsidP="002A30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(ii)</w:t>
      </w:r>
      <w:r w:rsidRPr="002A3021">
        <w:rPr>
          <w:rFonts w:eastAsia="Times New Roman"/>
          <w:color w:val="000000"/>
          <w:sz w:val="23"/>
          <w:szCs w:val="23"/>
          <w:lang w:eastAsia="en-AU"/>
          <w14:ligatures w14:val="standardContextual"/>
        </w:rPr>
        <w:tab/>
        <w:t>met any other requirements determined by the Registrar.</w:t>
      </w:r>
    </w:p>
    <w:p w14:paraId="1F10C32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(7)</w:t>
      </w:r>
      <w:r w:rsidRPr="002A3021">
        <w:rPr>
          <w:rFonts w:eastAsia="Times New Roman"/>
          <w:color w:val="000000"/>
          <w:sz w:val="23"/>
          <w:szCs w:val="23"/>
          <w:lang w:eastAsia="en-AU"/>
          <w14:ligatures w14:val="standardContextual"/>
        </w:rPr>
        <w:tab/>
        <w:t>In determining whether the holder of a licence has the minimum driving experience prescribed in column 3 of this Schedule, any period during which—</w:t>
      </w:r>
    </w:p>
    <w:p w14:paraId="611BAA4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person's licence was suspended; or</w:t>
      </w:r>
    </w:p>
    <w:p w14:paraId="7D6029F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the person was disqualified from holding or obtaining a licence in this State or in another State or Territory of the Commonwealth,</w:t>
      </w:r>
    </w:p>
    <w:p w14:paraId="6D3740E5"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is not to be taken into account.</w:t>
      </w:r>
    </w:p>
    <w:p w14:paraId="7BC192BD" w14:textId="77777777" w:rsidR="002A3021" w:rsidRPr="002A3021" w:rsidRDefault="002A3021" w:rsidP="002A3021">
      <w:pPr>
        <w:keepNext/>
        <w:keepLines/>
        <w:autoSpaceDE w:val="0"/>
        <w:autoSpaceDN w:val="0"/>
        <w:adjustRightInd w:val="0"/>
        <w:spacing w:before="120" w:after="0" w:line="240" w:lineRule="auto"/>
        <w:ind w:left="1361"/>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205"/>
        <w:gridCol w:w="4242"/>
        <w:gridCol w:w="3338"/>
      </w:tblGrid>
      <w:tr w:rsidR="002A3021" w:rsidRPr="002A3021" w14:paraId="4ADD83E4" w14:textId="77777777" w:rsidTr="00911011">
        <w:trPr>
          <w:cantSplit/>
          <w:tblHeader/>
        </w:trPr>
        <w:tc>
          <w:tcPr>
            <w:tcW w:w="1205" w:type="dxa"/>
            <w:tcBorders>
              <w:top w:val="nil"/>
              <w:left w:val="nil"/>
              <w:bottom w:val="single" w:sz="4" w:space="0" w:color="auto"/>
              <w:right w:val="nil"/>
            </w:tcBorders>
          </w:tcPr>
          <w:p w14:paraId="4C275F1C"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1—Licence class</w:t>
            </w:r>
          </w:p>
        </w:tc>
        <w:tc>
          <w:tcPr>
            <w:tcW w:w="4242" w:type="dxa"/>
            <w:tcBorders>
              <w:top w:val="nil"/>
              <w:left w:val="nil"/>
              <w:bottom w:val="single" w:sz="4" w:space="0" w:color="auto"/>
              <w:right w:val="nil"/>
            </w:tcBorders>
          </w:tcPr>
          <w:p w14:paraId="1D789828"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2—Motor vehicles authorised to be driven</w:t>
            </w:r>
          </w:p>
        </w:tc>
        <w:tc>
          <w:tcPr>
            <w:tcW w:w="3338" w:type="dxa"/>
            <w:tcBorders>
              <w:top w:val="nil"/>
              <w:left w:val="nil"/>
              <w:bottom w:val="single" w:sz="4" w:space="0" w:color="auto"/>
              <w:right w:val="nil"/>
            </w:tcBorders>
          </w:tcPr>
          <w:p w14:paraId="3671E7FC"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3—Minimum driving experience</w:t>
            </w:r>
          </w:p>
        </w:tc>
      </w:tr>
      <w:tr w:rsidR="002A3021" w:rsidRPr="002A3021" w14:paraId="201636D2" w14:textId="77777777" w:rsidTr="00911011">
        <w:trPr>
          <w:cantSplit/>
        </w:trPr>
        <w:tc>
          <w:tcPr>
            <w:tcW w:w="1205" w:type="dxa"/>
            <w:tcBorders>
              <w:top w:val="single" w:sz="4" w:space="0" w:color="auto"/>
              <w:left w:val="nil"/>
              <w:bottom w:val="nil"/>
              <w:right w:val="nil"/>
            </w:tcBorders>
          </w:tcPr>
          <w:p w14:paraId="2F19976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w:t>
            </w:r>
          </w:p>
        </w:tc>
        <w:tc>
          <w:tcPr>
            <w:tcW w:w="4242" w:type="dxa"/>
            <w:tcBorders>
              <w:top w:val="single" w:sz="4" w:space="0" w:color="auto"/>
              <w:left w:val="nil"/>
              <w:bottom w:val="nil"/>
              <w:right w:val="nil"/>
            </w:tcBorders>
          </w:tcPr>
          <w:p w14:paraId="03D1E82B" w14:textId="77777777" w:rsidR="002A3021" w:rsidRPr="002A3021" w:rsidRDefault="002A3021" w:rsidP="002A302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 motor vehicle with a GVM not greater than 4.5 t but not including—</w:t>
            </w:r>
          </w:p>
          <w:p w14:paraId="26C4715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bus; or</w:t>
            </w:r>
          </w:p>
          <w:p w14:paraId="593E0262"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 motor bike or motor trike; or</w:t>
            </w:r>
          </w:p>
          <w:p w14:paraId="3AEE3E45"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(c)</w:t>
            </w:r>
            <w:r w:rsidRPr="002A3021">
              <w:rPr>
                <w:rFonts w:eastAsia="Times New Roman"/>
                <w:color w:val="000000"/>
                <w:sz w:val="20"/>
                <w:szCs w:val="20"/>
                <w:lang w:eastAsia="en-AU"/>
                <w14:ligatures w14:val="standardContextual"/>
              </w:rPr>
              <w:tab/>
              <w:t>an ultra high powered vehicle.</w:t>
            </w:r>
          </w:p>
          <w:p w14:paraId="60D7C0A5" w14:textId="77777777" w:rsidR="002A3021" w:rsidRPr="002A3021" w:rsidRDefault="002A3021" w:rsidP="002A302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r w:rsidRPr="002A3021">
              <w:rPr>
                <w:rFonts w:eastAsia="Times New Roman"/>
                <w:color w:val="000000"/>
                <w:sz w:val="20"/>
                <w:szCs w:val="20"/>
                <w:lang w:eastAsia="en-AU"/>
                <w14:ligatures w14:val="standardContextual"/>
              </w:rPr>
              <w:tab/>
              <w:t xml:space="preserve">A motor vehicle included in 1 towing a single trailer, subject to the combination mass limits fixed under the </w:t>
            </w:r>
            <w:hyperlink r:id="rId75" w:history="1">
              <w:r w:rsidRPr="002A3021">
                <w:rPr>
                  <w:rFonts w:eastAsia="Times New Roman"/>
                  <w:i/>
                  <w:iCs/>
                  <w:color w:val="000000"/>
                  <w:sz w:val="20"/>
                  <w:szCs w:val="20"/>
                  <w:lang w:eastAsia="en-AU"/>
                  <w14:ligatures w14:val="standardContextual"/>
                </w:rPr>
                <w:t>Road Traffic Act 1961</w:t>
              </w:r>
            </w:hyperlink>
            <w:r w:rsidRPr="002A3021">
              <w:rPr>
                <w:rFonts w:eastAsia="Times New Roman"/>
                <w:color w:val="000000"/>
                <w:sz w:val="20"/>
                <w:szCs w:val="20"/>
                <w:lang w:eastAsia="en-AU"/>
                <w14:ligatures w14:val="standardContextual"/>
              </w:rPr>
              <w:t>.</w:t>
            </w:r>
          </w:p>
        </w:tc>
        <w:tc>
          <w:tcPr>
            <w:tcW w:w="3338" w:type="dxa"/>
            <w:tcBorders>
              <w:top w:val="single" w:sz="4" w:space="0" w:color="auto"/>
              <w:left w:val="nil"/>
              <w:bottom w:val="nil"/>
              <w:right w:val="nil"/>
            </w:tcBorders>
          </w:tcPr>
          <w:p w14:paraId="5006632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Nil.</w:t>
            </w:r>
          </w:p>
        </w:tc>
      </w:tr>
    </w:tbl>
    <w:p w14:paraId="560EB989" w14:textId="77777777" w:rsidR="004311B6" w:rsidRDefault="004311B6">
      <w:r>
        <w:br w:type="page"/>
      </w:r>
    </w:p>
    <w:tbl>
      <w:tblPr>
        <w:tblW w:w="0" w:type="auto"/>
        <w:tblLayout w:type="fixed"/>
        <w:tblCellMar>
          <w:left w:w="60" w:type="dxa"/>
          <w:right w:w="60" w:type="dxa"/>
        </w:tblCellMar>
        <w:tblLook w:val="0000" w:firstRow="0" w:lastRow="0" w:firstColumn="0" w:lastColumn="0" w:noHBand="0" w:noVBand="0"/>
      </w:tblPr>
      <w:tblGrid>
        <w:gridCol w:w="1205"/>
        <w:gridCol w:w="4242"/>
        <w:gridCol w:w="3338"/>
      </w:tblGrid>
      <w:tr w:rsidR="002F7211" w:rsidRPr="002A3021" w14:paraId="61E8A3A6" w14:textId="77777777" w:rsidTr="00D53A13">
        <w:trPr>
          <w:cantSplit/>
        </w:trPr>
        <w:tc>
          <w:tcPr>
            <w:tcW w:w="1205" w:type="dxa"/>
            <w:tcBorders>
              <w:top w:val="nil"/>
              <w:left w:val="nil"/>
              <w:bottom w:val="single" w:sz="4" w:space="0" w:color="auto"/>
              <w:right w:val="nil"/>
            </w:tcBorders>
          </w:tcPr>
          <w:p w14:paraId="0F41C87F" w14:textId="5FB30685"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1—Licence class</w:t>
            </w:r>
          </w:p>
        </w:tc>
        <w:tc>
          <w:tcPr>
            <w:tcW w:w="4242" w:type="dxa"/>
            <w:tcBorders>
              <w:top w:val="nil"/>
              <w:left w:val="nil"/>
              <w:bottom w:val="single" w:sz="4" w:space="0" w:color="auto"/>
              <w:right w:val="nil"/>
            </w:tcBorders>
          </w:tcPr>
          <w:p w14:paraId="17099685" w14:textId="720E1493"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2—Motor vehicles authorised to be driven</w:t>
            </w:r>
          </w:p>
        </w:tc>
        <w:tc>
          <w:tcPr>
            <w:tcW w:w="3338" w:type="dxa"/>
            <w:tcBorders>
              <w:top w:val="nil"/>
              <w:left w:val="nil"/>
              <w:bottom w:val="single" w:sz="4" w:space="0" w:color="auto"/>
              <w:right w:val="nil"/>
            </w:tcBorders>
          </w:tcPr>
          <w:p w14:paraId="65E01DEB" w14:textId="213839B3"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3—Minimum driving experience</w:t>
            </w:r>
          </w:p>
        </w:tc>
      </w:tr>
      <w:tr w:rsidR="002F7211" w:rsidRPr="002A3021" w14:paraId="7E7C8CF2" w14:textId="77777777" w:rsidTr="00D53A13">
        <w:trPr>
          <w:cantSplit/>
        </w:trPr>
        <w:tc>
          <w:tcPr>
            <w:tcW w:w="1205" w:type="dxa"/>
            <w:tcBorders>
              <w:top w:val="single" w:sz="4" w:space="0" w:color="auto"/>
              <w:left w:val="nil"/>
              <w:bottom w:val="nil"/>
              <w:right w:val="nil"/>
            </w:tcBorders>
          </w:tcPr>
          <w:p w14:paraId="4782B213" w14:textId="53FDA0E3"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LR</w:t>
            </w:r>
          </w:p>
        </w:tc>
        <w:tc>
          <w:tcPr>
            <w:tcW w:w="4242" w:type="dxa"/>
            <w:tcBorders>
              <w:top w:val="single" w:sz="4" w:space="0" w:color="auto"/>
              <w:left w:val="nil"/>
              <w:bottom w:val="nil"/>
              <w:right w:val="nil"/>
            </w:tcBorders>
          </w:tcPr>
          <w:p w14:paraId="44120160"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 motor vehicle authorised to be driven by a licence of the preceding class.</w:t>
            </w:r>
          </w:p>
          <w:p w14:paraId="01CBA2B6"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r w:rsidRPr="002A3021">
              <w:rPr>
                <w:rFonts w:eastAsia="Times New Roman"/>
                <w:color w:val="000000"/>
                <w:sz w:val="20"/>
                <w:szCs w:val="20"/>
                <w:lang w:eastAsia="en-AU"/>
                <w14:ligatures w14:val="standardContextual"/>
              </w:rPr>
              <w:tab/>
              <w:t>A motor vehicle with a GVM greater than 4.5 t but not greater than 8 t.</w:t>
            </w:r>
          </w:p>
          <w:p w14:paraId="7C2DC3A1"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r w:rsidRPr="002A3021">
              <w:rPr>
                <w:rFonts w:eastAsia="Times New Roman"/>
                <w:color w:val="000000"/>
                <w:sz w:val="20"/>
                <w:szCs w:val="20"/>
                <w:lang w:eastAsia="en-AU"/>
                <w14:ligatures w14:val="standardContextual"/>
              </w:rPr>
              <w:tab/>
              <w:t>A bus with a GVM not greater than 8 t.</w:t>
            </w:r>
          </w:p>
          <w:p w14:paraId="7BF656BE" w14:textId="02B6FB72"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r w:rsidRPr="002A3021">
              <w:rPr>
                <w:rFonts w:eastAsia="Times New Roman"/>
                <w:color w:val="000000"/>
                <w:sz w:val="20"/>
                <w:szCs w:val="20"/>
                <w:lang w:eastAsia="en-AU"/>
                <w14:ligatures w14:val="standardContextual"/>
              </w:rPr>
              <w:tab/>
              <w:t xml:space="preserve">A motor vehicle included in 2 or 3 towing a single trailer, subject to the combination mass limits fixed under the </w:t>
            </w:r>
            <w:hyperlink r:id="rId76" w:history="1">
              <w:r w:rsidRPr="002A3021">
                <w:rPr>
                  <w:rFonts w:eastAsia="Times New Roman"/>
                  <w:i/>
                  <w:iCs/>
                  <w:color w:val="000000"/>
                  <w:sz w:val="20"/>
                  <w:szCs w:val="20"/>
                  <w:lang w:eastAsia="en-AU"/>
                  <w14:ligatures w14:val="standardContextual"/>
                </w:rPr>
                <w:t>Road Traffic Act 1961</w:t>
              </w:r>
            </w:hyperlink>
            <w:r w:rsidRPr="002A3021">
              <w:rPr>
                <w:rFonts w:eastAsia="Times New Roman"/>
                <w:color w:val="000000"/>
                <w:sz w:val="20"/>
                <w:szCs w:val="20"/>
                <w:lang w:eastAsia="en-AU"/>
                <w14:ligatures w14:val="standardContextual"/>
              </w:rPr>
              <w:t xml:space="preserve"> or the </w:t>
            </w:r>
            <w:hyperlink r:id="rId77" w:history="1">
              <w:r w:rsidRPr="002A3021">
                <w:rPr>
                  <w:rFonts w:eastAsia="Times New Roman"/>
                  <w:i/>
                  <w:iCs/>
                  <w:color w:val="000000"/>
                  <w:sz w:val="20"/>
                  <w:szCs w:val="20"/>
                  <w:lang w:eastAsia="en-AU"/>
                  <w14:ligatures w14:val="standardContextual"/>
                </w:rPr>
                <w:t>Heavy Vehicle National Law (South Australia)</w:t>
              </w:r>
            </w:hyperlink>
            <w:r w:rsidRPr="002A3021">
              <w:rPr>
                <w:rFonts w:eastAsia="Times New Roman"/>
                <w:color w:val="000000"/>
                <w:sz w:val="20"/>
                <w:szCs w:val="20"/>
                <w:lang w:eastAsia="en-AU"/>
                <w14:ligatures w14:val="standardContextual"/>
              </w:rPr>
              <w:t>.</w:t>
            </w:r>
          </w:p>
        </w:tc>
        <w:tc>
          <w:tcPr>
            <w:tcW w:w="3338" w:type="dxa"/>
            <w:tcBorders>
              <w:top w:val="single" w:sz="4" w:space="0" w:color="auto"/>
              <w:left w:val="nil"/>
              <w:bottom w:val="nil"/>
              <w:right w:val="nil"/>
            </w:tcBorders>
          </w:tcPr>
          <w:p w14:paraId="346AC10B" w14:textId="40D8E382"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 a driver's licence endorsed with the classification C for at least 1 year.</w:t>
            </w:r>
          </w:p>
        </w:tc>
      </w:tr>
      <w:tr w:rsidR="002F7211" w:rsidRPr="002A3021" w14:paraId="7B8B9EB4" w14:textId="77777777" w:rsidTr="00911011">
        <w:trPr>
          <w:cantSplit/>
        </w:trPr>
        <w:tc>
          <w:tcPr>
            <w:tcW w:w="1205" w:type="dxa"/>
            <w:tcBorders>
              <w:top w:val="nil"/>
              <w:left w:val="nil"/>
              <w:bottom w:val="nil"/>
              <w:right w:val="nil"/>
            </w:tcBorders>
          </w:tcPr>
          <w:p w14:paraId="34DB0AFF"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MR</w:t>
            </w:r>
          </w:p>
        </w:tc>
        <w:tc>
          <w:tcPr>
            <w:tcW w:w="4242" w:type="dxa"/>
            <w:tcBorders>
              <w:top w:val="nil"/>
              <w:left w:val="nil"/>
              <w:bottom w:val="nil"/>
              <w:right w:val="nil"/>
            </w:tcBorders>
          </w:tcPr>
          <w:p w14:paraId="52419D7F"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 motor vehicle authorised to be driven by a licence of a preceding class.</w:t>
            </w:r>
          </w:p>
          <w:p w14:paraId="3A43E834"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r w:rsidRPr="002A3021">
              <w:rPr>
                <w:rFonts w:eastAsia="Times New Roman"/>
                <w:color w:val="000000"/>
                <w:sz w:val="20"/>
                <w:szCs w:val="20"/>
                <w:lang w:eastAsia="en-AU"/>
                <w14:ligatures w14:val="standardContextual"/>
              </w:rPr>
              <w:tab/>
              <w:t>A motor vehicle (other than a special purpose vehicle) with 2 axles and a GVM greater than 8 t.</w:t>
            </w:r>
          </w:p>
          <w:p w14:paraId="5A2FEF47"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r w:rsidRPr="002A3021">
              <w:rPr>
                <w:rFonts w:eastAsia="Times New Roman"/>
                <w:color w:val="000000"/>
                <w:sz w:val="20"/>
                <w:szCs w:val="20"/>
                <w:lang w:eastAsia="en-AU"/>
                <w14:ligatures w14:val="standardContextual"/>
              </w:rPr>
              <w:tab/>
              <w:t>A motor vehicle included in 2 towing a single trailer (other than a semi</w:t>
            </w:r>
            <w:r w:rsidRPr="002A3021">
              <w:rPr>
                <w:rFonts w:eastAsia="Times New Roman"/>
                <w:color w:val="000000"/>
                <w:sz w:val="20"/>
                <w:szCs w:val="20"/>
                <w:lang w:eastAsia="en-AU"/>
                <w14:ligatures w14:val="standardContextual"/>
              </w:rPr>
              <w:noBreakHyphen/>
              <w:t xml:space="preserve">trailer) with a GVM not greater than 9 t, subject to the combination mass limits fixed under the </w:t>
            </w:r>
            <w:hyperlink r:id="rId78" w:history="1">
              <w:r w:rsidRPr="002A3021">
                <w:rPr>
                  <w:rFonts w:eastAsia="Times New Roman"/>
                  <w:i/>
                  <w:iCs/>
                  <w:color w:val="000000"/>
                  <w:sz w:val="20"/>
                  <w:szCs w:val="20"/>
                  <w:lang w:eastAsia="en-AU"/>
                  <w14:ligatures w14:val="standardContextual"/>
                </w:rPr>
                <w:t>Heavy Vehicle National Law (South Australia)</w:t>
              </w:r>
            </w:hyperlink>
            <w:r w:rsidRPr="002A3021">
              <w:rPr>
                <w:rFonts w:eastAsia="Times New Roman"/>
                <w:color w:val="000000"/>
                <w:sz w:val="20"/>
                <w:szCs w:val="20"/>
                <w:lang w:eastAsia="en-AU"/>
                <w14:ligatures w14:val="standardContextual"/>
              </w:rPr>
              <w:t>.</w:t>
            </w:r>
          </w:p>
          <w:p w14:paraId="7BFB4F34"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r w:rsidRPr="002A3021">
              <w:rPr>
                <w:rFonts w:eastAsia="Times New Roman"/>
                <w:color w:val="000000"/>
                <w:sz w:val="20"/>
                <w:szCs w:val="20"/>
                <w:lang w:eastAsia="en-AU"/>
                <w14:ligatures w14:val="standardContextual"/>
              </w:rPr>
              <w:tab/>
              <w:t>A special purpose vehicle with—</w:t>
            </w:r>
          </w:p>
          <w:p w14:paraId="731A8AFA" w14:textId="77777777" w:rsidR="002F7211" w:rsidRPr="002A3021" w:rsidRDefault="002F7211" w:rsidP="002F721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2 axles and a GVM greater than 8 t; or</w:t>
            </w:r>
          </w:p>
          <w:p w14:paraId="5C529A38" w14:textId="77777777" w:rsidR="002F7211" w:rsidRPr="002A3021" w:rsidRDefault="002F7211" w:rsidP="002F721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3 or more axles and a GVM not greater than 15 t.</w:t>
            </w:r>
          </w:p>
        </w:tc>
        <w:tc>
          <w:tcPr>
            <w:tcW w:w="3338" w:type="dxa"/>
            <w:tcBorders>
              <w:top w:val="nil"/>
              <w:left w:val="nil"/>
              <w:bottom w:val="nil"/>
              <w:right w:val="nil"/>
            </w:tcBorders>
          </w:tcPr>
          <w:p w14:paraId="67F34ADB"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 a driver's licence endorsed with the classification C for at least 1 year.</w:t>
            </w:r>
          </w:p>
        </w:tc>
      </w:tr>
      <w:tr w:rsidR="002F7211" w:rsidRPr="002A3021" w14:paraId="4028D469" w14:textId="77777777" w:rsidTr="00911011">
        <w:trPr>
          <w:cantSplit/>
        </w:trPr>
        <w:tc>
          <w:tcPr>
            <w:tcW w:w="1205" w:type="dxa"/>
            <w:tcBorders>
              <w:top w:val="nil"/>
              <w:left w:val="nil"/>
              <w:bottom w:val="nil"/>
              <w:right w:val="nil"/>
            </w:tcBorders>
          </w:tcPr>
          <w:p w14:paraId="365455DA"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HR</w:t>
            </w:r>
          </w:p>
        </w:tc>
        <w:tc>
          <w:tcPr>
            <w:tcW w:w="4242" w:type="dxa"/>
            <w:tcBorders>
              <w:top w:val="nil"/>
              <w:left w:val="nil"/>
              <w:bottom w:val="nil"/>
              <w:right w:val="nil"/>
            </w:tcBorders>
          </w:tcPr>
          <w:p w14:paraId="5C6E6CC7"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 motor vehicle authorised to be driven by a licence of a preceding class.</w:t>
            </w:r>
          </w:p>
          <w:p w14:paraId="134FED4E"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r w:rsidRPr="002A3021">
              <w:rPr>
                <w:rFonts w:eastAsia="Times New Roman"/>
                <w:color w:val="000000"/>
                <w:sz w:val="20"/>
                <w:szCs w:val="20"/>
                <w:lang w:eastAsia="en-AU"/>
                <w14:ligatures w14:val="standardContextual"/>
              </w:rPr>
              <w:tab/>
              <w:t>A motor vehicle (other than an articulated motor vehicle or a special purpose vehicle) with 3 or more axles and a GVM greater than 8 t.</w:t>
            </w:r>
          </w:p>
          <w:p w14:paraId="7C4F8919"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r w:rsidRPr="002A3021">
              <w:rPr>
                <w:rFonts w:eastAsia="Times New Roman"/>
                <w:color w:val="000000"/>
                <w:sz w:val="20"/>
                <w:szCs w:val="20"/>
                <w:lang w:eastAsia="en-AU"/>
                <w14:ligatures w14:val="standardContextual"/>
              </w:rPr>
              <w:tab/>
              <w:t>A motor vehicle included in 2 towing a single trailer (other than a semi</w:t>
            </w:r>
            <w:r w:rsidRPr="002A3021">
              <w:rPr>
                <w:rFonts w:eastAsia="Times New Roman"/>
                <w:color w:val="000000"/>
                <w:sz w:val="20"/>
                <w:szCs w:val="20"/>
                <w:lang w:eastAsia="en-AU"/>
                <w14:ligatures w14:val="standardContextual"/>
              </w:rPr>
              <w:noBreakHyphen/>
              <w:t xml:space="preserve">trailer) with a GVM not greater than 9 t, subject to the combination mass limits fixed under the </w:t>
            </w:r>
            <w:hyperlink r:id="rId79" w:history="1">
              <w:r w:rsidRPr="002A3021">
                <w:rPr>
                  <w:rFonts w:eastAsia="Times New Roman"/>
                  <w:i/>
                  <w:iCs/>
                  <w:color w:val="000000"/>
                  <w:sz w:val="20"/>
                  <w:szCs w:val="20"/>
                  <w:lang w:eastAsia="en-AU"/>
                  <w14:ligatures w14:val="standardContextual"/>
                </w:rPr>
                <w:t>Heavy Vehicle National Law (South Australia)</w:t>
              </w:r>
            </w:hyperlink>
            <w:r w:rsidRPr="002A3021">
              <w:rPr>
                <w:rFonts w:eastAsia="Times New Roman"/>
                <w:color w:val="000000"/>
                <w:sz w:val="20"/>
                <w:szCs w:val="20"/>
                <w:lang w:eastAsia="en-AU"/>
                <w14:ligatures w14:val="standardContextual"/>
              </w:rPr>
              <w:t>.</w:t>
            </w:r>
          </w:p>
          <w:p w14:paraId="124B7407"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r w:rsidRPr="002A3021">
              <w:rPr>
                <w:rFonts w:eastAsia="Times New Roman"/>
                <w:color w:val="000000"/>
                <w:sz w:val="20"/>
                <w:szCs w:val="20"/>
                <w:lang w:eastAsia="en-AU"/>
                <w14:ligatures w14:val="standardContextual"/>
              </w:rPr>
              <w:tab/>
              <w:t>An articulated bus with 3 or more axles and a GVM greater than 8 t.</w:t>
            </w:r>
          </w:p>
          <w:p w14:paraId="73AEF267"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r w:rsidRPr="002A3021">
              <w:rPr>
                <w:rFonts w:eastAsia="Times New Roman"/>
                <w:color w:val="000000"/>
                <w:sz w:val="20"/>
                <w:szCs w:val="20"/>
                <w:lang w:eastAsia="en-AU"/>
                <w14:ligatures w14:val="standardContextual"/>
              </w:rPr>
              <w:tab/>
              <w:t>A special purpose vehicle with 3 or more axles and a GVM greater than 15 t.</w:t>
            </w:r>
          </w:p>
        </w:tc>
        <w:tc>
          <w:tcPr>
            <w:tcW w:w="3338" w:type="dxa"/>
            <w:tcBorders>
              <w:top w:val="nil"/>
              <w:left w:val="nil"/>
              <w:bottom w:val="nil"/>
              <w:right w:val="nil"/>
            </w:tcBorders>
          </w:tcPr>
          <w:p w14:paraId="19964CA9"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w:t>
            </w:r>
          </w:p>
          <w:p w14:paraId="3607B0F5" w14:textId="77777777" w:rsidR="002F7211" w:rsidRPr="002A3021" w:rsidRDefault="002F7211" w:rsidP="002F7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a driver's licence endorsed with the classification C for at least 2 years; or</w:t>
            </w:r>
          </w:p>
          <w:p w14:paraId="601C7E5E" w14:textId="77777777" w:rsidR="002F7211" w:rsidRPr="002A3021" w:rsidRDefault="002F7211" w:rsidP="002F721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 driver's licence endorsed with the classification LR or MR for at least 1 year.</w:t>
            </w:r>
          </w:p>
        </w:tc>
      </w:tr>
    </w:tbl>
    <w:p w14:paraId="2F0FCB33" w14:textId="77777777" w:rsidR="004311B6" w:rsidRDefault="004311B6">
      <w:r>
        <w:br w:type="page"/>
      </w:r>
    </w:p>
    <w:tbl>
      <w:tblPr>
        <w:tblW w:w="0" w:type="auto"/>
        <w:tblLayout w:type="fixed"/>
        <w:tblCellMar>
          <w:left w:w="60" w:type="dxa"/>
          <w:right w:w="60" w:type="dxa"/>
        </w:tblCellMar>
        <w:tblLook w:val="0000" w:firstRow="0" w:lastRow="0" w:firstColumn="0" w:lastColumn="0" w:noHBand="0" w:noVBand="0"/>
      </w:tblPr>
      <w:tblGrid>
        <w:gridCol w:w="1205"/>
        <w:gridCol w:w="4242"/>
        <w:gridCol w:w="3338"/>
      </w:tblGrid>
      <w:tr w:rsidR="002F7211" w:rsidRPr="002A3021" w14:paraId="62562C9B" w14:textId="77777777" w:rsidTr="00D53A13">
        <w:trPr>
          <w:cantSplit/>
        </w:trPr>
        <w:tc>
          <w:tcPr>
            <w:tcW w:w="1205" w:type="dxa"/>
            <w:tcBorders>
              <w:top w:val="nil"/>
              <w:left w:val="nil"/>
              <w:bottom w:val="single" w:sz="4" w:space="0" w:color="auto"/>
              <w:right w:val="nil"/>
            </w:tcBorders>
          </w:tcPr>
          <w:p w14:paraId="79698813" w14:textId="18FAD3BD"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1—Licence class</w:t>
            </w:r>
          </w:p>
        </w:tc>
        <w:tc>
          <w:tcPr>
            <w:tcW w:w="4242" w:type="dxa"/>
            <w:tcBorders>
              <w:top w:val="nil"/>
              <w:left w:val="nil"/>
              <w:bottom w:val="single" w:sz="4" w:space="0" w:color="auto"/>
              <w:right w:val="nil"/>
            </w:tcBorders>
          </w:tcPr>
          <w:p w14:paraId="5C021CEE" w14:textId="6999C9AE"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2—Motor vehicles authorised to be driven</w:t>
            </w:r>
          </w:p>
        </w:tc>
        <w:tc>
          <w:tcPr>
            <w:tcW w:w="3338" w:type="dxa"/>
            <w:tcBorders>
              <w:top w:val="nil"/>
              <w:left w:val="nil"/>
              <w:bottom w:val="single" w:sz="4" w:space="0" w:color="auto"/>
              <w:right w:val="nil"/>
            </w:tcBorders>
          </w:tcPr>
          <w:p w14:paraId="581CC248" w14:textId="4BDB181D"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3—Minimum driving experience</w:t>
            </w:r>
          </w:p>
        </w:tc>
      </w:tr>
      <w:tr w:rsidR="002F7211" w:rsidRPr="002A3021" w14:paraId="19D4E0E1" w14:textId="77777777" w:rsidTr="00D53A13">
        <w:trPr>
          <w:cantSplit/>
        </w:trPr>
        <w:tc>
          <w:tcPr>
            <w:tcW w:w="1205" w:type="dxa"/>
            <w:tcBorders>
              <w:top w:val="single" w:sz="4" w:space="0" w:color="auto"/>
              <w:left w:val="nil"/>
              <w:bottom w:val="nil"/>
              <w:right w:val="nil"/>
            </w:tcBorders>
          </w:tcPr>
          <w:p w14:paraId="26548FFE" w14:textId="6ECE89D3"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HC</w:t>
            </w:r>
          </w:p>
        </w:tc>
        <w:tc>
          <w:tcPr>
            <w:tcW w:w="4242" w:type="dxa"/>
            <w:tcBorders>
              <w:top w:val="single" w:sz="4" w:space="0" w:color="auto"/>
              <w:left w:val="nil"/>
              <w:bottom w:val="nil"/>
              <w:right w:val="nil"/>
            </w:tcBorders>
          </w:tcPr>
          <w:p w14:paraId="048A4DD4"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 motor vehicle authorised to be driven by a licence of a preceding class.</w:t>
            </w:r>
          </w:p>
          <w:p w14:paraId="48D88054"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r w:rsidRPr="002A3021">
              <w:rPr>
                <w:rFonts w:eastAsia="Times New Roman"/>
                <w:color w:val="000000"/>
                <w:sz w:val="20"/>
                <w:szCs w:val="20"/>
                <w:lang w:eastAsia="en-AU"/>
                <w14:ligatures w14:val="standardContextual"/>
              </w:rPr>
              <w:tab/>
              <w:t>A prime mover to which is attached a single semi</w:t>
            </w:r>
            <w:r w:rsidRPr="002A3021">
              <w:rPr>
                <w:rFonts w:eastAsia="Times New Roman"/>
                <w:color w:val="000000"/>
                <w:sz w:val="20"/>
                <w:szCs w:val="20"/>
                <w:lang w:eastAsia="en-AU"/>
                <w14:ligatures w14:val="standardContextual"/>
              </w:rPr>
              <w:noBreakHyphen/>
              <w:t>trailer (whether or not any unladen converter dolly or low loader dolly is also attached).</w:t>
            </w:r>
          </w:p>
          <w:p w14:paraId="1524BCBF" w14:textId="34BFE6D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r w:rsidRPr="002A3021">
              <w:rPr>
                <w:rFonts w:eastAsia="Times New Roman"/>
                <w:color w:val="000000"/>
                <w:sz w:val="20"/>
                <w:szCs w:val="20"/>
                <w:lang w:eastAsia="en-AU"/>
                <w14:ligatures w14:val="standardContextual"/>
              </w:rPr>
              <w:tab/>
              <w:t>A rigid motor vehicle to which is attached a single trailer with a GVM greater than 9 t (whether or not any unladen converter dolly or low loader dolly is also attached).</w:t>
            </w:r>
          </w:p>
        </w:tc>
        <w:tc>
          <w:tcPr>
            <w:tcW w:w="3338" w:type="dxa"/>
            <w:tcBorders>
              <w:top w:val="single" w:sz="4" w:space="0" w:color="auto"/>
              <w:left w:val="nil"/>
              <w:bottom w:val="nil"/>
              <w:right w:val="nil"/>
            </w:tcBorders>
          </w:tcPr>
          <w:p w14:paraId="3D69AB14" w14:textId="41079528"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 a driver's licence endorsed with the classification MR or HR for at least 1 year.</w:t>
            </w:r>
          </w:p>
        </w:tc>
      </w:tr>
      <w:tr w:rsidR="002F7211" w:rsidRPr="002A3021" w14:paraId="429871E9" w14:textId="77777777" w:rsidTr="00911011">
        <w:trPr>
          <w:cantSplit/>
        </w:trPr>
        <w:tc>
          <w:tcPr>
            <w:tcW w:w="1205" w:type="dxa"/>
            <w:tcBorders>
              <w:top w:val="nil"/>
              <w:left w:val="nil"/>
              <w:bottom w:val="nil"/>
              <w:right w:val="nil"/>
            </w:tcBorders>
          </w:tcPr>
          <w:p w14:paraId="1EFA1818"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MC</w:t>
            </w:r>
          </w:p>
        </w:tc>
        <w:tc>
          <w:tcPr>
            <w:tcW w:w="4242" w:type="dxa"/>
            <w:tcBorders>
              <w:top w:val="nil"/>
              <w:left w:val="nil"/>
              <w:bottom w:val="nil"/>
              <w:right w:val="nil"/>
            </w:tcBorders>
          </w:tcPr>
          <w:p w14:paraId="7B7B05C4"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Any motor vehicle or combination of motor vehicles except a motor bike, a motor trike or an ultra high powered vehicle.</w:t>
            </w:r>
          </w:p>
        </w:tc>
        <w:tc>
          <w:tcPr>
            <w:tcW w:w="3338" w:type="dxa"/>
            <w:tcBorders>
              <w:top w:val="nil"/>
              <w:left w:val="nil"/>
              <w:bottom w:val="nil"/>
              <w:right w:val="nil"/>
            </w:tcBorders>
          </w:tcPr>
          <w:p w14:paraId="3999211F"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 a driver's licence endorsed with the classification HC or HR for at least 1 year.</w:t>
            </w:r>
          </w:p>
        </w:tc>
      </w:tr>
      <w:tr w:rsidR="002F7211" w:rsidRPr="002A3021" w14:paraId="53908B9C" w14:textId="77777777" w:rsidTr="00911011">
        <w:trPr>
          <w:cantSplit/>
        </w:trPr>
        <w:tc>
          <w:tcPr>
            <w:tcW w:w="1205" w:type="dxa"/>
            <w:tcBorders>
              <w:top w:val="nil"/>
              <w:left w:val="nil"/>
              <w:bottom w:val="nil"/>
              <w:right w:val="nil"/>
            </w:tcBorders>
          </w:tcPr>
          <w:p w14:paraId="6D56D4B4"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U</w:t>
            </w:r>
          </w:p>
        </w:tc>
        <w:tc>
          <w:tcPr>
            <w:tcW w:w="4242" w:type="dxa"/>
            <w:tcBorders>
              <w:top w:val="nil"/>
              <w:left w:val="nil"/>
              <w:bottom w:val="nil"/>
              <w:right w:val="nil"/>
            </w:tcBorders>
          </w:tcPr>
          <w:p w14:paraId="372AEE29"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An ultra high powered vehicle.</w:t>
            </w:r>
          </w:p>
        </w:tc>
        <w:tc>
          <w:tcPr>
            <w:tcW w:w="3338" w:type="dxa"/>
            <w:tcBorders>
              <w:top w:val="nil"/>
              <w:left w:val="nil"/>
              <w:bottom w:val="nil"/>
              <w:right w:val="nil"/>
            </w:tcBorders>
          </w:tcPr>
          <w:p w14:paraId="04FF5C9C"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hold a licence that is not a learner's permit, a provisional licence or a driver's licence endorsed with only the classification R</w:t>
            </w:r>
            <w:r w:rsidRPr="002A3021">
              <w:rPr>
                <w:rFonts w:eastAsia="Times New Roman"/>
                <w:color w:val="000000"/>
                <w:sz w:val="20"/>
                <w:szCs w:val="20"/>
                <w:lang w:eastAsia="en-AU"/>
                <w14:ligatures w14:val="standardContextual"/>
              </w:rPr>
              <w:noBreakHyphen/>
              <w:t>DATE or R.</w:t>
            </w:r>
          </w:p>
        </w:tc>
      </w:tr>
      <w:tr w:rsidR="002F7211" w:rsidRPr="002A3021" w14:paraId="2F934934" w14:textId="77777777" w:rsidTr="00911011">
        <w:trPr>
          <w:cantSplit/>
        </w:trPr>
        <w:tc>
          <w:tcPr>
            <w:tcW w:w="1205" w:type="dxa"/>
            <w:tcBorders>
              <w:top w:val="nil"/>
              <w:left w:val="nil"/>
              <w:bottom w:val="nil"/>
              <w:right w:val="nil"/>
            </w:tcBorders>
          </w:tcPr>
          <w:p w14:paraId="6B48CFB0"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R</w:t>
            </w:r>
            <w:r w:rsidRPr="002A3021">
              <w:rPr>
                <w:rFonts w:eastAsia="Times New Roman"/>
                <w:color w:val="000000"/>
                <w:sz w:val="20"/>
                <w:szCs w:val="20"/>
                <w:lang w:eastAsia="en-AU"/>
                <w14:ligatures w14:val="standardContextual"/>
              </w:rPr>
              <w:noBreakHyphen/>
              <w:t>DATE</w:t>
            </w:r>
          </w:p>
        </w:tc>
        <w:tc>
          <w:tcPr>
            <w:tcW w:w="4242" w:type="dxa"/>
            <w:tcBorders>
              <w:top w:val="nil"/>
              <w:left w:val="nil"/>
              <w:bottom w:val="nil"/>
              <w:right w:val="nil"/>
            </w:tcBorders>
          </w:tcPr>
          <w:p w14:paraId="635481FB"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 motor bike or motor trike that—</w:t>
            </w:r>
          </w:p>
          <w:p w14:paraId="3C0B5B84" w14:textId="77777777" w:rsidR="002F7211" w:rsidRPr="002A3021" w:rsidRDefault="002F7211" w:rsidP="002F721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has—</w:t>
            </w:r>
          </w:p>
          <w:p w14:paraId="1AC2AEEC" w14:textId="77777777" w:rsidR="002F7211" w:rsidRPr="002A3021" w:rsidRDefault="002F7211" w:rsidP="002F721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an internal combustion engine with a capacity not exceeding 660 mL and a power to weight ratio not exceeding 150 kW per tonne; or</w:t>
            </w:r>
          </w:p>
          <w:p w14:paraId="39BD50A7" w14:textId="77777777" w:rsidR="002F7211" w:rsidRPr="002A3021" w:rsidRDefault="002F7211" w:rsidP="002F721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an electric motor with a power output not exceeding 25 kW; and</w:t>
            </w:r>
          </w:p>
          <w:p w14:paraId="2ECBE3FF" w14:textId="77777777" w:rsidR="002F7211" w:rsidRPr="002A3021" w:rsidRDefault="002F7211" w:rsidP="002F721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is of a kind approved from time to time by the Registrar by notice in the Gazette.</w:t>
            </w:r>
          </w:p>
        </w:tc>
        <w:tc>
          <w:tcPr>
            <w:tcW w:w="3338" w:type="dxa"/>
            <w:tcBorders>
              <w:top w:val="nil"/>
              <w:left w:val="nil"/>
              <w:bottom w:val="nil"/>
              <w:right w:val="nil"/>
            </w:tcBorders>
          </w:tcPr>
          <w:p w14:paraId="5EF6727F"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 a learner's permit authorising the holder to drive a motor bike for at least 1 year.</w:t>
            </w:r>
          </w:p>
        </w:tc>
      </w:tr>
      <w:tr w:rsidR="002F7211" w:rsidRPr="002A3021" w14:paraId="3227CB26" w14:textId="77777777" w:rsidTr="00911011">
        <w:trPr>
          <w:cantSplit/>
        </w:trPr>
        <w:tc>
          <w:tcPr>
            <w:tcW w:w="1205" w:type="dxa"/>
            <w:tcBorders>
              <w:top w:val="nil"/>
              <w:left w:val="nil"/>
              <w:bottom w:val="nil"/>
              <w:right w:val="nil"/>
            </w:tcBorders>
          </w:tcPr>
          <w:p w14:paraId="406C2C47"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R</w:t>
            </w:r>
          </w:p>
        </w:tc>
        <w:tc>
          <w:tcPr>
            <w:tcW w:w="4242" w:type="dxa"/>
            <w:tcBorders>
              <w:top w:val="nil"/>
              <w:left w:val="nil"/>
              <w:bottom w:val="nil"/>
              <w:right w:val="nil"/>
            </w:tcBorders>
          </w:tcPr>
          <w:p w14:paraId="10EB7836" w14:textId="77777777" w:rsidR="002F7211" w:rsidRPr="002A3021" w:rsidRDefault="002F7211" w:rsidP="002F7211">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r w:rsidRPr="002A3021">
              <w:rPr>
                <w:rFonts w:eastAsia="Times New Roman"/>
                <w:color w:val="000000"/>
                <w:sz w:val="20"/>
                <w:szCs w:val="20"/>
                <w:lang w:eastAsia="en-AU"/>
                <w14:ligatures w14:val="standardContextual"/>
              </w:rPr>
              <w:tab/>
              <w:t>Any motor bike or motor trike.</w:t>
            </w:r>
          </w:p>
        </w:tc>
        <w:tc>
          <w:tcPr>
            <w:tcW w:w="3338" w:type="dxa"/>
            <w:tcBorders>
              <w:top w:val="nil"/>
              <w:left w:val="nil"/>
              <w:bottom w:val="nil"/>
              <w:right w:val="nil"/>
            </w:tcBorders>
          </w:tcPr>
          <w:p w14:paraId="346F6FFB" w14:textId="77777777" w:rsidR="002F7211" w:rsidRPr="002A3021" w:rsidRDefault="002F7211" w:rsidP="002F721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applicant must have held a driver's licence endorsed with the classification R</w:t>
            </w:r>
            <w:r w:rsidRPr="002A3021">
              <w:rPr>
                <w:rFonts w:eastAsia="Times New Roman"/>
                <w:color w:val="000000"/>
                <w:sz w:val="20"/>
                <w:szCs w:val="20"/>
                <w:lang w:eastAsia="en-AU"/>
                <w14:ligatures w14:val="standardContextual"/>
              </w:rPr>
              <w:noBreakHyphen/>
              <w:t>DATE for at least 2 years.</w:t>
            </w:r>
          </w:p>
        </w:tc>
      </w:tr>
    </w:tbl>
    <w:p w14:paraId="3BA937EA"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85" w:name="Elkera_Print_TOC180"/>
      <w:bookmarkStart w:id="386" w:name="id35f3213d_a88c_4973_96b0_dabbe37e8376_3"/>
      <w:r w:rsidRPr="002A3021">
        <w:rPr>
          <w:rFonts w:eastAsia="Times New Roman"/>
          <w:b/>
          <w:bCs/>
          <w:color w:val="000000"/>
          <w:sz w:val="32"/>
          <w:szCs w:val="32"/>
          <w:lang w:eastAsia="en-AU"/>
          <w14:ligatures w14:val="standardContextual"/>
        </w:rPr>
        <w:t>Schedule 3—Conditions of driver's licences and learner's permits</w:t>
      </w:r>
      <w:bookmarkEnd w:id="385"/>
      <w:bookmarkEnd w:id="386"/>
    </w:p>
    <w:p w14:paraId="65D2CDF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7" w:name="Elkera_Print_TOC181"/>
      <w:bookmarkStart w:id="388" w:name="Elkera_Print_BK181"/>
      <w:r w:rsidRPr="002A3021">
        <w:rPr>
          <w:rFonts w:eastAsia="Times New Roman"/>
          <w:b/>
          <w:bCs/>
          <w:color w:val="000000"/>
          <w:sz w:val="26"/>
          <w:szCs w:val="26"/>
          <w:lang w:eastAsia="en-AU"/>
          <w14:ligatures w14:val="standardContextual"/>
        </w:rPr>
        <w:t>1—Endorsement of conditions of licences and permits</w:t>
      </w:r>
      <w:bookmarkEnd w:id="387"/>
      <w:bookmarkEnd w:id="388"/>
    </w:p>
    <w:p w14:paraId="633390C2"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Where a provision of the Act requires a condition imposed on a licence or learner's permit to be endorsed on the licence or permit, the condition is sufficiently endorsed if—</w:t>
      </w:r>
    </w:p>
    <w:p w14:paraId="4C454621"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full particulars of the condition are endorsed on the front of the licence or permit; or</w:t>
      </w:r>
    </w:p>
    <w:p w14:paraId="18A05029"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lastRenderedPageBreak/>
        <w:tab/>
        <w:t>(b)</w:t>
      </w:r>
      <w:r w:rsidRPr="002A3021">
        <w:rPr>
          <w:rFonts w:eastAsia="Times New Roman"/>
          <w:color w:val="000000"/>
          <w:sz w:val="23"/>
          <w:szCs w:val="23"/>
          <w:lang w:eastAsia="en-AU"/>
          <w14:ligatures w14:val="standardContextual"/>
        </w:rPr>
        <w:tab/>
        <w:t>in the case of a condition set out in column 1 of the table below—the front of the licence or permit is endorsed with the letter appearing opposite in column 2; or</w:t>
      </w:r>
    </w:p>
    <w:p w14:paraId="592FE52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(c)</w:t>
      </w:r>
      <w:r w:rsidRPr="002A3021">
        <w:rPr>
          <w:rFonts w:eastAsia="Times New Roman"/>
          <w:color w:val="000000"/>
          <w:sz w:val="23"/>
          <w:szCs w:val="23"/>
          <w:lang w:eastAsia="en-AU"/>
          <w14:ligatures w14:val="standardContextual"/>
        </w:rPr>
        <w:tab/>
        <w:t>in the case of a condition recorded on the register and advised in writing by the Registrar to the holder of the licence or permit—the front of the licence or permit is endorsed with the letter "X"; or</w:t>
      </w:r>
    </w:p>
    <w:p w14:paraId="1D76BBB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(d)</w:t>
      </w:r>
      <w:r w:rsidRPr="002A3021">
        <w:rPr>
          <w:rFonts w:eastAsia="Times New Roman"/>
          <w:color w:val="000000"/>
          <w:sz w:val="23"/>
          <w:szCs w:val="23"/>
          <w:lang w:eastAsia="en-AU"/>
          <w14:ligatures w14:val="standardContextual"/>
        </w:rPr>
        <w:tab/>
        <w:t>in the case of a condition imposed by a court—the front of the licence or permit is endorsed with the letter "Y".</w:t>
      </w:r>
    </w:p>
    <w:p w14:paraId="6F0D592A"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794" w:type="dxa"/>
        <w:tblLayout w:type="fixed"/>
        <w:tblCellMar>
          <w:left w:w="60" w:type="dxa"/>
          <w:right w:w="60" w:type="dxa"/>
        </w:tblCellMar>
        <w:tblLook w:val="0000" w:firstRow="0" w:lastRow="0" w:firstColumn="0" w:lastColumn="0" w:noHBand="0" w:noVBand="0"/>
      </w:tblPr>
      <w:tblGrid>
        <w:gridCol w:w="6176"/>
        <w:gridCol w:w="1816"/>
      </w:tblGrid>
      <w:tr w:rsidR="002A3021" w:rsidRPr="002A3021" w14:paraId="03C37BED" w14:textId="77777777" w:rsidTr="00911011">
        <w:trPr>
          <w:cantSplit/>
          <w:tblHeader/>
        </w:trPr>
        <w:tc>
          <w:tcPr>
            <w:tcW w:w="6176" w:type="dxa"/>
            <w:tcBorders>
              <w:top w:val="nil"/>
              <w:left w:val="nil"/>
              <w:bottom w:val="single" w:sz="4" w:space="0" w:color="auto"/>
              <w:right w:val="nil"/>
            </w:tcBorders>
          </w:tcPr>
          <w:p w14:paraId="6E2284BC"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1—Condition</w:t>
            </w:r>
          </w:p>
        </w:tc>
        <w:tc>
          <w:tcPr>
            <w:tcW w:w="1816" w:type="dxa"/>
            <w:tcBorders>
              <w:top w:val="nil"/>
              <w:left w:val="nil"/>
              <w:bottom w:val="single" w:sz="4" w:space="0" w:color="auto"/>
              <w:right w:val="nil"/>
            </w:tcBorders>
          </w:tcPr>
          <w:p w14:paraId="3D4B1077"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2—Letter</w:t>
            </w:r>
          </w:p>
        </w:tc>
      </w:tr>
      <w:tr w:rsidR="002A3021" w:rsidRPr="002A3021" w14:paraId="2D959E83" w14:textId="77777777" w:rsidTr="00911011">
        <w:trPr>
          <w:cantSplit/>
        </w:trPr>
        <w:tc>
          <w:tcPr>
            <w:tcW w:w="6176" w:type="dxa"/>
            <w:tcBorders>
              <w:top w:val="single" w:sz="4" w:space="0" w:color="auto"/>
              <w:left w:val="nil"/>
              <w:bottom w:val="nil"/>
              <w:right w:val="nil"/>
            </w:tcBorders>
          </w:tcPr>
          <w:p w14:paraId="7D75ECA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only a motor vehicle that is fitted with automatic transmission.</w:t>
            </w:r>
          </w:p>
        </w:tc>
        <w:tc>
          <w:tcPr>
            <w:tcW w:w="1816" w:type="dxa"/>
            <w:tcBorders>
              <w:top w:val="single" w:sz="4" w:space="0" w:color="auto"/>
              <w:left w:val="nil"/>
              <w:bottom w:val="nil"/>
              <w:right w:val="nil"/>
            </w:tcBorders>
          </w:tcPr>
          <w:p w14:paraId="30043C9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w:t>
            </w:r>
          </w:p>
        </w:tc>
      </w:tr>
      <w:tr w:rsidR="002A3021" w:rsidRPr="002A3021" w14:paraId="0F67DAB9" w14:textId="77777777" w:rsidTr="00911011">
        <w:trPr>
          <w:cantSplit/>
        </w:trPr>
        <w:tc>
          <w:tcPr>
            <w:tcW w:w="6176" w:type="dxa"/>
            <w:tcBorders>
              <w:top w:val="nil"/>
              <w:left w:val="nil"/>
              <w:bottom w:val="nil"/>
              <w:right w:val="nil"/>
            </w:tcBorders>
          </w:tcPr>
          <w:p w14:paraId="5FEED4C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only a motor vehicle that is fitted with automatic or synchromesh transmission.</w:t>
            </w:r>
          </w:p>
        </w:tc>
        <w:tc>
          <w:tcPr>
            <w:tcW w:w="1816" w:type="dxa"/>
            <w:tcBorders>
              <w:top w:val="nil"/>
              <w:left w:val="nil"/>
              <w:bottom w:val="nil"/>
              <w:right w:val="nil"/>
            </w:tcBorders>
          </w:tcPr>
          <w:p w14:paraId="6865407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w:t>
            </w:r>
          </w:p>
        </w:tc>
      </w:tr>
      <w:tr w:rsidR="002A3021" w:rsidRPr="002A3021" w14:paraId="6FBBBB0A" w14:textId="77777777" w:rsidTr="00911011">
        <w:trPr>
          <w:cantSplit/>
        </w:trPr>
        <w:tc>
          <w:tcPr>
            <w:tcW w:w="6176" w:type="dxa"/>
            <w:tcBorders>
              <w:top w:val="nil"/>
              <w:left w:val="nil"/>
              <w:bottom w:val="nil"/>
              <w:right w:val="nil"/>
            </w:tcBorders>
          </w:tcPr>
          <w:p w14:paraId="1E3EA07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is permitted to drive only a motor bike or motor trike that—</w:t>
            </w:r>
          </w:p>
          <w:p w14:paraId="639F6E2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has—</w:t>
            </w:r>
          </w:p>
          <w:p w14:paraId="765144A6"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an internal combustion engine with a capacity not exceeding 660 mL and a power to weight ratio not exceeding 150 kW per tonne; or</w:t>
            </w:r>
          </w:p>
          <w:p w14:paraId="26C391E3"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an electric motor with a power output not exceeding 25 kW; and</w:t>
            </w:r>
          </w:p>
          <w:p w14:paraId="37C0756D"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is of a kind approved from time to time by the Registrar by notice in the Gazette.</w:t>
            </w:r>
          </w:p>
        </w:tc>
        <w:tc>
          <w:tcPr>
            <w:tcW w:w="1816" w:type="dxa"/>
            <w:tcBorders>
              <w:top w:val="nil"/>
              <w:left w:val="nil"/>
              <w:bottom w:val="nil"/>
              <w:right w:val="nil"/>
            </w:tcBorders>
          </w:tcPr>
          <w:p w14:paraId="6D65A6C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w:t>
            </w:r>
          </w:p>
        </w:tc>
      </w:tr>
      <w:tr w:rsidR="002A3021" w:rsidRPr="002A3021" w14:paraId="6B787200" w14:textId="77777777" w:rsidTr="00911011">
        <w:trPr>
          <w:cantSplit/>
        </w:trPr>
        <w:tc>
          <w:tcPr>
            <w:tcW w:w="6176" w:type="dxa"/>
            <w:tcBorders>
              <w:top w:val="nil"/>
              <w:left w:val="nil"/>
              <w:bottom w:val="nil"/>
              <w:right w:val="nil"/>
            </w:tcBorders>
          </w:tcPr>
          <w:p w14:paraId="100368F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permit is permitted to drive only a motor bike or motor trike that—</w:t>
            </w:r>
          </w:p>
          <w:p w14:paraId="6DDFA39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has—</w:t>
            </w:r>
          </w:p>
          <w:p w14:paraId="37932D4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w:t>
            </w:r>
            <w:r w:rsidRPr="002A3021">
              <w:rPr>
                <w:rFonts w:eastAsia="Times New Roman"/>
                <w:color w:val="000000"/>
                <w:sz w:val="20"/>
                <w:szCs w:val="20"/>
                <w:lang w:eastAsia="en-AU"/>
                <w14:ligatures w14:val="standardContextual"/>
              </w:rPr>
              <w:tab/>
              <w:t>an internal combustion engine with a capacity not exceeding 660 mL and a power to weight ratio not exceeding 150 kW per tonne; or</w:t>
            </w:r>
          </w:p>
          <w:p w14:paraId="243D8FDB"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(ii)</w:t>
            </w:r>
            <w:r w:rsidRPr="002A3021">
              <w:rPr>
                <w:rFonts w:eastAsia="Times New Roman"/>
                <w:color w:val="000000"/>
                <w:sz w:val="20"/>
                <w:szCs w:val="20"/>
                <w:lang w:eastAsia="en-AU"/>
                <w14:ligatures w14:val="standardContextual"/>
              </w:rPr>
              <w:tab/>
              <w:t>an electric motor with a power output not exceeding 25 kW; and</w:t>
            </w:r>
          </w:p>
          <w:p w14:paraId="68C496D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is of a kind approved from time to time by the Registrar by notice in the Gazette.</w:t>
            </w:r>
          </w:p>
        </w:tc>
        <w:tc>
          <w:tcPr>
            <w:tcW w:w="1816" w:type="dxa"/>
            <w:tcBorders>
              <w:top w:val="nil"/>
              <w:left w:val="nil"/>
              <w:bottom w:val="nil"/>
              <w:right w:val="nil"/>
            </w:tcBorders>
          </w:tcPr>
          <w:p w14:paraId="58DB2DC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R</w:t>
            </w:r>
            <w:r w:rsidRPr="002A3021">
              <w:rPr>
                <w:rFonts w:eastAsia="Times New Roman"/>
                <w:color w:val="000000"/>
                <w:sz w:val="20"/>
                <w:szCs w:val="20"/>
                <w:lang w:eastAsia="en-AU"/>
                <w14:ligatures w14:val="standardContextual"/>
              </w:rPr>
              <w:noBreakHyphen/>
              <w:t>DATE</w:t>
            </w:r>
          </w:p>
        </w:tc>
      </w:tr>
      <w:tr w:rsidR="002A3021" w:rsidRPr="002A3021" w14:paraId="3EB3FBC1" w14:textId="77777777" w:rsidTr="00911011">
        <w:trPr>
          <w:cantSplit/>
        </w:trPr>
        <w:tc>
          <w:tcPr>
            <w:tcW w:w="6176" w:type="dxa"/>
            <w:tcBorders>
              <w:top w:val="nil"/>
              <w:left w:val="nil"/>
              <w:bottom w:val="nil"/>
              <w:right w:val="nil"/>
            </w:tcBorders>
          </w:tcPr>
          <w:p w14:paraId="06BA5F1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only a motor bike that is fitted with automatic transmission</w:t>
            </w:r>
          </w:p>
        </w:tc>
        <w:tc>
          <w:tcPr>
            <w:tcW w:w="1816" w:type="dxa"/>
            <w:tcBorders>
              <w:top w:val="nil"/>
              <w:left w:val="nil"/>
              <w:bottom w:val="nil"/>
              <w:right w:val="nil"/>
            </w:tcBorders>
          </w:tcPr>
          <w:p w14:paraId="36DFB1C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M</w:t>
            </w:r>
          </w:p>
        </w:tc>
      </w:tr>
      <w:tr w:rsidR="002A3021" w:rsidRPr="002A3021" w14:paraId="0CC8A05D" w14:textId="77777777" w:rsidTr="00911011">
        <w:trPr>
          <w:cantSplit/>
        </w:trPr>
        <w:tc>
          <w:tcPr>
            <w:tcW w:w="6176" w:type="dxa"/>
            <w:tcBorders>
              <w:top w:val="nil"/>
              <w:left w:val="nil"/>
              <w:bottom w:val="nil"/>
              <w:right w:val="nil"/>
            </w:tcBorders>
          </w:tcPr>
          <w:p w14:paraId="19CDFA8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only a motor vehicle fitted with an alcohol interlock.</w:t>
            </w:r>
          </w:p>
        </w:tc>
        <w:tc>
          <w:tcPr>
            <w:tcW w:w="1816" w:type="dxa"/>
            <w:tcBorders>
              <w:top w:val="nil"/>
              <w:left w:val="nil"/>
              <w:bottom w:val="nil"/>
              <w:right w:val="nil"/>
            </w:tcBorders>
          </w:tcPr>
          <w:p w14:paraId="0E0FBCB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w:t>
            </w:r>
          </w:p>
        </w:tc>
      </w:tr>
      <w:tr w:rsidR="002A3021" w:rsidRPr="002A3021" w14:paraId="605241F8" w14:textId="77777777" w:rsidTr="00911011">
        <w:trPr>
          <w:cantSplit/>
        </w:trPr>
        <w:tc>
          <w:tcPr>
            <w:tcW w:w="6176" w:type="dxa"/>
            <w:tcBorders>
              <w:top w:val="nil"/>
              <w:left w:val="nil"/>
              <w:bottom w:val="nil"/>
              <w:right w:val="nil"/>
            </w:tcBorders>
          </w:tcPr>
          <w:p w14:paraId="07BCD36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must, at all times while driving, wear glasses or contact lenses prescribed by a medical practitioner or optometrist.</w:t>
            </w:r>
          </w:p>
        </w:tc>
        <w:tc>
          <w:tcPr>
            <w:tcW w:w="1816" w:type="dxa"/>
            <w:tcBorders>
              <w:top w:val="nil"/>
              <w:left w:val="nil"/>
              <w:bottom w:val="nil"/>
              <w:right w:val="nil"/>
            </w:tcBorders>
          </w:tcPr>
          <w:p w14:paraId="7205B73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w:t>
            </w:r>
          </w:p>
        </w:tc>
      </w:tr>
      <w:tr w:rsidR="002A3021" w:rsidRPr="002A3021" w14:paraId="2EEE1EEB" w14:textId="77777777" w:rsidTr="00911011">
        <w:trPr>
          <w:cantSplit/>
        </w:trPr>
        <w:tc>
          <w:tcPr>
            <w:tcW w:w="6176" w:type="dxa"/>
            <w:tcBorders>
              <w:top w:val="nil"/>
              <w:left w:val="nil"/>
              <w:bottom w:val="nil"/>
              <w:right w:val="nil"/>
            </w:tcBorders>
          </w:tcPr>
          <w:p w14:paraId="4EB9BF8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only a bus or truck that is fitted with automatic transmission.</w:t>
            </w:r>
          </w:p>
        </w:tc>
        <w:tc>
          <w:tcPr>
            <w:tcW w:w="1816" w:type="dxa"/>
            <w:tcBorders>
              <w:top w:val="nil"/>
              <w:left w:val="nil"/>
              <w:bottom w:val="nil"/>
              <w:right w:val="nil"/>
            </w:tcBorders>
          </w:tcPr>
          <w:p w14:paraId="46F48DB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w:t>
            </w:r>
          </w:p>
        </w:tc>
      </w:tr>
      <w:tr w:rsidR="002A3021" w:rsidRPr="002A3021" w14:paraId="05D21819" w14:textId="77777777" w:rsidTr="00911011">
        <w:trPr>
          <w:cantSplit/>
        </w:trPr>
        <w:tc>
          <w:tcPr>
            <w:tcW w:w="6176" w:type="dxa"/>
            <w:tcBorders>
              <w:top w:val="nil"/>
              <w:left w:val="nil"/>
              <w:bottom w:val="nil"/>
              <w:right w:val="nil"/>
            </w:tcBorders>
          </w:tcPr>
          <w:p w14:paraId="0024EB0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only a motor vehicle that is modified as recorded on the register and advised in writing by the Registrar to the holder.</w:t>
            </w:r>
          </w:p>
        </w:tc>
        <w:tc>
          <w:tcPr>
            <w:tcW w:w="1816" w:type="dxa"/>
            <w:tcBorders>
              <w:top w:val="nil"/>
              <w:left w:val="nil"/>
              <w:bottom w:val="nil"/>
              <w:right w:val="nil"/>
            </w:tcBorders>
          </w:tcPr>
          <w:p w14:paraId="2358195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V</w:t>
            </w:r>
          </w:p>
        </w:tc>
      </w:tr>
      <w:tr w:rsidR="002A3021" w:rsidRPr="002A3021" w14:paraId="7D874B40" w14:textId="77777777" w:rsidTr="00911011">
        <w:trPr>
          <w:cantSplit/>
        </w:trPr>
        <w:tc>
          <w:tcPr>
            <w:tcW w:w="6176" w:type="dxa"/>
            <w:tcBorders>
              <w:top w:val="nil"/>
              <w:left w:val="nil"/>
              <w:bottom w:val="nil"/>
              <w:right w:val="nil"/>
            </w:tcBorders>
          </w:tcPr>
          <w:p w14:paraId="67F33CF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holder of the licence or permit is permitted to drive a motor vehicle only if the concentration of alcohol present in the holder's blood is 0.</w:t>
            </w:r>
          </w:p>
        </w:tc>
        <w:tc>
          <w:tcPr>
            <w:tcW w:w="1816" w:type="dxa"/>
            <w:tcBorders>
              <w:top w:val="nil"/>
              <w:left w:val="nil"/>
              <w:bottom w:val="nil"/>
              <w:right w:val="nil"/>
            </w:tcBorders>
          </w:tcPr>
          <w:p w14:paraId="7977A1C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Z</w:t>
            </w:r>
          </w:p>
        </w:tc>
      </w:tr>
    </w:tbl>
    <w:p w14:paraId="4A5EDA59"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89" w:name="Elkera_Print_TOC183"/>
      <w:bookmarkStart w:id="390" w:name="id30c33d1c_ae29_4698_9210_7e6f0c0f4f28_a"/>
      <w:r w:rsidRPr="002A3021">
        <w:rPr>
          <w:rFonts w:eastAsia="Times New Roman"/>
          <w:b/>
          <w:bCs/>
          <w:color w:val="000000"/>
          <w:sz w:val="32"/>
          <w:szCs w:val="32"/>
          <w:lang w:eastAsia="en-AU"/>
          <w14:ligatures w14:val="standardContextual"/>
        </w:rPr>
        <w:lastRenderedPageBreak/>
        <w:t>Schedule 4—Demerit points</w:t>
      </w:r>
      <w:bookmarkEnd w:id="389"/>
      <w:bookmarkEnd w:id="390"/>
    </w:p>
    <w:p w14:paraId="33EB6B2A" w14:textId="77777777" w:rsidR="002A3021" w:rsidRPr="002A3021" w:rsidRDefault="002A3021" w:rsidP="002A3021">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A3021">
        <w:rPr>
          <w:rFonts w:eastAsia="Times New Roman"/>
          <w:b/>
          <w:bCs/>
          <w:color w:val="000000"/>
          <w:sz w:val="32"/>
          <w:szCs w:val="32"/>
          <w:lang w:eastAsia="en-AU"/>
          <w14:ligatures w14:val="standardContextual"/>
        </w:rPr>
        <w:t>Part 1—Demerit points within the national scheme</w:t>
      </w:r>
    </w:p>
    <w:p w14:paraId="697AF42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1" w:name="Elkera_Print_TOC186"/>
      <w:bookmarkStart w:id="392" w:name="Elkera_Print_BK186"/>
      <w:r w:rsidRPr="002A3021">
        <w:rPr>
          <w:rFonts w:eastAsia="Times New Roman"/>
          <w:b/>
          <w:bCs/>
          <w:color w:val="000000"/>
          <w:sz w:val="26"/>
          <w:szCs w:val="26"/>
          <w:lang w:eastAsia="en-AU"/>
          <w14:ligatures w14:val="standardContextual"/>
        </w:rPr>
        <w:t xml:space="preserve">1—Offences against </w:t>
      </w:r>
      <w:r w:rsidRPr="002A3021">
        <w:rPr>
          <w:rFonts w:eastAsia="Times New Roman"/>
          <w:b/>
          <w:bCs/>
          <w:i/>
          <w:iCs/>
          <w:color w:val="000000"/>
          <w:sz w:val="26"/>
          <w:szCs w:val="26"/>
          <w:lang w:eastAsia="en-AU"/>
          <w14:ligatures w14:val="standardContextual"/>
        </w:rPr>
        <w:t>Road Traffic Act 1961</w:t>
      </w:r>
      <w:bookmarkEnd w:id="391"/>
      <w:bookmarkEnd w:id="392"/>
    </w:p>
    <w:p w14:paraId="2CF4C04D"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066"/>
        <w:gridCol w:w="6376"/>
        <w:gridCol w:w="1343"/>
      </w:tblGrid>
      <w:tr w:rsidR="002A3021" w:rsidRPr="002A3021" w14:paraId="40297114" w14:textId="77777777" w:rsidTr="00911011">
        <w:trPr>
          <w:cantSplit/>
          <w:tblHeader/>
        </w:trPr>
        <w:tc>
          <w:tcPr>
            <w:tcW w:w="1066" w:type="dxa"/>
            <w:tcBorders>
              <w:top w:val="nil"/>
              <w:left w:val="nil"/>
              <w:bottom w:val="single" w:sz="4" w:space="0" w:color="auto"/>
              <w:right w:val="nil"/>
            </w:tcBorders>
            <w:vAlign w:val="center"/>
          </w:tcPr>
          <w:p w14:paraId="44821ECB"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Section</w:t>
            </w:r>
          </w:p>
        </w:tc>
        <w:tc>
          <w:tcPr>
            <w:tcW w:w="6376" w:type="dxa"/>
            <w:tcBorders>
              <w:top w:val="nil"/>
              <w:left w:val="nil"/>
              <w:bottom w:val="single" w:sz="4" w:space="0" w:color="auto"/>
              <w:right w:val="nil"/>
            </w:tcBorders>
            <w:vAlign w:val="center"/>
          </w:tcPr>
          <w:p w14:paraId="4EE41CE6"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0" w:history="1">
              <w:r w:rsidRPr="002A3021">
                <w:rPr>
                  <w:rFonts w:eastAsia="Times New Roman"/>
                  <w:b/>
                  <w:bCs/>
                  <w:i/>
                  <w:iCs/>
                  <w:color w:val="000000"/>
                  <w:sz w:val="20"/>
                  <w:szCs w:val="20"/>
                  <w:lang w:eastAsia="en-AU"/>
                  <w14:ligatures w14:val="standardContextual"/>
                </w:rPr>
                <w:t>Road Traffic Act 1961</w:t>
              </w:r>
            </w:hyperlink>
          </w:p>
        </w:tc>
        <w:tc>
          <w:tcPr>
            <w:tcW w:w="1343" w:type="dxa"/>
            <w:tcBorders>
              <w:top w:val="nil"/>
              <w:left w:val="nil"/>
              <w:bottom w:val="single" w:sz="4" w:space="0" w:color="auto"/>
              <w:right w:val="nil"/>
            </w:tcBorders>
            <w:vAlign w:val="center"/>
          </w:tcPr>
          <w:p w14:paraId="20358484"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34900B9F" w14:textId="77777777" w:rsidTr="00911011">
        <w:trPr>
          <w:cantSplit/>
        </w:trPr>
        <w:tc>
          <w:tcPr>
            <w:tcW w:w="1066" w:type="dxa"/>
            <w:tcBorders>
              <w:top w:val="single" w:sz="4" w:space="0" w:color="auto"/>
              <w:left w:val="nil"/>
              <w:bottom w:val="nil"/>
              <w:right w:val="nil"/>
            </w:tcBorders>
          </w:tcPr>
          <w:p w14:paraId="10E3DDC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79B(2)</w:t>
            </w:r>
          </w:p>
        </w:tc>
        <w:tc>
          <w:tcPr>
            <w:tcW w:w="6376" w:type="dxa"/>
            <w:tcBorders>
              <w:top w:val="single" w:sz="4" w:space="0" w:color="auto"/>
              <w:left w:val="nil"/>
              <w:bottom w:val="nil"/>
              <w:right w:val="nil"/>
            </w:tcBorders>
            <w:vAlign w:val="center"/>
          </w:tcPr>
          <w:p w14:paraId="10C059D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Being the owner of a vehicle that appears from evidence obtained through the operation of a photographic detection device to have been involved in the commission of a prescribed offence</w:t>
            </w:r>
          </w:p>
        </w:tc>
        <w:tc>
          <w:tcPr>
            <w:tcW w:w="1343" w:type="dxa"/>
            <w:tcBorders>
              <w:top w:val="single" w:sz="4" w:space="0" w:color="auto"/>
              <w:left w:val="nil"/>
              <w:bottom w:val="nil"/>
              <w:right w:val="nil"/>
            </w:tcBorders>
            <w:vAlign w:val="center"/>
          </w:tcPr>
          <w:p w14:paraId="3E433D3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5586827" w14:textId="77777777" w:rsidTr="00911011">
        <w:trPr>
          <w:cantSplit/>
        </w:trPr>
        <w:tc>
          <w:tcPr>
            <w:tcW w:w="1066" w:type="dxa"/>
            <w:tcBorders>
              <w:top w:val="nil"/>
              <w:left w:val="nil"/>
              <w:bottom w:val="nil"/>
              <w:right w:val="nil"/>
            </w:tcBorders>
          </w:tcPr>
          <w:p w14:paraId="151AA5C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3A56CD6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where the owner is a natural person</w:t>
            </w:r>
          </w:p>
        </w:tc>
        <w:tc>
          <w:tcPr>
            <w:tcW w:w="1343" w:type="dxa"/>
            <w:tcBorders>
              <w:top w:val="nil"/>
              <w:left w:val="nil"/>
              <w:bottom w:val="nil"/>
              <w:right w:val="nil"/>
            </w:tcBorders>
          </w:tcPr>
          <w:p w14:paraId="2F121FB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number of demerit points prescribed by these regulations for the prescribed offence in which the vehicle appears to have been involved</w:t>
            </w:r>
          </w:p>
        </w:tc>
      </w:tr>
      <w:tr w:rsidR="002A3021" w:rsidRPr="002A3021" w14:paraId="18D1640A" w14:textId="77777777" w:rsidTr="00911011">
        <w:trPr>
          <w:cantSplit/>
        </w:trPr>
        <w:tc>
          <w:tcPr>
            <w:tcW w:w="1066" w:type="dxa"/>
            <w:tcBorders>
              <w:top w:val="nil"/>
              <w:left w:val="nil"/>
              <w:bottom w:val="nil"/>
              <w:right w:val="nil"/>
            </w:tcBorders>
          </w:tcPr>
          <w:p w14:paraId="0BA09FD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164A(1)</w:t>
            </w:r>
          </w:p>
        </w:tc>
        <w:tc>
          <w:tcPr>
            <w:tcW w:w="6376" w:type="dxa"/>
            <w:tcBorders>
              <w:top w:val="nil"/>
              <w:left w:val="nil"/>
              <w:bottom w:val="nil"/>
              <w:right w:val="nil"/>
            </w:tcBorders>
            <w:vAlign w:val="center"/>
          </w:tcPr>
          <w:p w14:paraId="2C210F1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or failing to comply with provision of Act</w:t>
            </w:r>
          </w:p>
        </w:tc>
        <w:tc>
          <w:tcPr>
            <w:tcW w:w="1343" w:type="dxa"/>
            <w:tcBorders>
              <w:top w:val="nil"/>
              <w:left w:val="nil"/>
              <w:bottom w:val="nil"/>
              <w:right w:val="nil"/>
            </w:tcBorders>
          </w:tcPr>
          <w:p w14:paraId="0B4CB53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38ACEBBD" w14:textId="77777777" w:rsidTr="00911011">
        <w:trPr>
          <w:cantSplit/>
        </w:trPr>
        <w:tc>
          <w:tcPr>
            <w:tcW w:w="1066" w:type="dxa"/>
            <w:tcBorders>
              <w:top w:val="nil"/>
              <w:left w:val="nil"/>
              <w:bottom w:val="nil"/>
              <w:right w:val="nil"/>
            </w:tcBorders>
            <w:vAlign w:val="center"/>
          </w:tcPr>
          <w:p w14:paraId="33F791A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vAlign w:val="center"/>
          </w:tcPr>
          <w:p w14:paraId="3B9C5C9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of or failure to comply with—</w:t>
            </w:r>
          </w:p>
        </w:tc>
        <w:tc>
          <w:tcPr>
            <w:tcW w:w="1343" w:type="dxa"/>
            <w:tcBorders>
              <w:top w:val="nil"/>
              <w:left w:val="nil"/>
              <w:bottom w:val="nil"/>
              <w:right w:val="nil"/>
            </w:tcBorders>
            <w:vAlign w:val="center"/>
          </w:tcPr>
          <w:p w14:paraId="7899A070"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4DE7510" w14:textId="77777777" w:rsidTr="00911011">
        <w:trPr>
          <w:cantSplit/>
        </w:trPr>
        <w:tc>
          <w:tcPr>
            <w:tcW w:w="1066" w:type="dxa"/>
            <w:tcBorders>
              <w:top w:val="nil"/>
              <w:left w:val="nil"/>
              <w:bottom w:val="nil"/>
              <w:right w:val="nil"/>
            </w:tcBorders>
            <w:vAlign w:val="center"/>
          </w:tcPr>
          <w:p w14:paraId="5CDC7FA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vAlign w:val="center"/>
          </w:tcPr>
          <w:p w14:paraId="121A539C"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45—</w:t>
            </w:r>
            <w:r w:rsidRPr="002A3021">
              <w:rPr>
                <w:rFonts w:eastAsia="Times New Roman"/>
                <w:i/>
                <w:iCs/>
                <w:color w:val="000000"/>
                <w:sz w:val="20"/>
                <w:szCs w:val="20"/>
                <w:lang w:eastAsia="en-AU"/>
                <w14:ligatures w14:val="standardContextual"/>
              </w:rPr>
              <w:t>Driving without due care or attention etc</w:t>
            </w:r>
          </w:p>
        </w:tc>
        <w:tc>
          <w:tcPr>
            <w:tcW w:w="1343" w:type="dxa"/>
            <w:tcBorders>
              <w:top w:val="nil"/>
              <w:left w:val="nil"/>
              <w:bottom w:val="nil"/>
              <w:right w:val="nil"/>
            </w:tcBorders>
          </w:tcPr>
          <w:p w14:paraId="170639A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453DC5E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3" w:name="Elkera_Print_TOC187"/>
      <w:bookmarkStart w:id="394" w:name="Elkera_Print_BK187"/>
      <w:r w:rsidRPr="002A3021">
        <w:rPr>
          <w:rFonts w:eastAsia="Times New Roman"/>
          <w:b/>
          <w:bCs/>
          <w:color w:val="000000"/>
          <w:sz w:val="26"/>
          <w:szCs w:val="26"/>
          <w:lang w:eastAsia="en-AU"/>
          <w14:ligatures w14:val="standardContextual"/>
        </w:rPr>
        <w:t xml:space="preserve">2—Offences against </w:t>
      </w:r>
      <w:r w:rsidRPr="002A3021">
        <w:rPr>
          <w:rFonts w:eastAsia="Times New Roman"/>
          <w:b/>
          <w:bCs/>
          <w:i/>
          <w:iCs/>
          <w:color w:val="000000"/>
          <w:sz w:val="26"/>
          <w:szCs w:val="26"/>
          <w:lang w:eastAsia="en-AU"/>
          <w14:ligatures w14:val="standardContextual"/>
        </w:rPr>
        <w:t>Australian Road Rules</w:t>
      </w:r>
      <w:bookmarkEnd w:id="393"/>
      <w:bookmarkEnd w:id="394"/>
    </w:p>
    <w:p w14:paraId="6DDDCF49"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076"/>
        <w:gridCol w:w="6353"/>
        <w:gridCol w:w="1356"/>
      </w:tblGrid>
      <w:tr w:rsidR="002A3021" w:rsidRPr="002A3021" w14:paraId="63C388E5" w14:textId="77777777" w:rsidTr="00911011">
        <w:trPr>
          <w:cantSplit/>
          <w:tblHeader/>
        </w:trPr>
        <w:tc>
          <w:tcPr>
            <w:tcW w:w="1076" w:type="dxa"/>
            <w:tcBorders>
              <w:top w:val="nil"/>
              <w:left w:val="nil"/>
              <w:bottom w:val="single" w:sz="4" w:space="0" w:color="auto"/>
              <w:right w:val="nil"/>
            </w:tcBorders>
          </w:tcPr>
          <w:p w14:paraId="71660F57"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Rule</w:t>
            </w:r>
          </w:p>
        </w:tc>
        <w:tc>
          <w:tcPr>
            <w:tcW w:w="6353" w:type="dxa"/>
            <w:tcBorders>
              <w:top w:val="nil"/>
              <w:left w:val="nil"/>
              <w:bottom w:val="single" w:sz="4" w:space="0" w:color="auto"/>
              <w:right w:val="nil"/>
            </w:tcBorders>
          </w:tcPr>
          <w:p w14:paraId="73676521"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1" w:history="1">
              <w:r w:rsidRPr="002A3021">
                <w:rPr>
                  <w:rFonts w:eastAsia="Times New Roman"/>
                  <w:b/>
                  <w:bCs/>
                  <w:i/>
                  <w:iCs/>
                  <w:color w:val="000000"/>
                  <w:sz w:val="20"/>
                  <w:szCs w:val="20"/>
                  <w:lang w:eastAsia="en-AU"/>
                  <w14:ligatures w14:val="standardContextual"/>
                </w:rPr>
                <w:t>Australian Road Rules</w:t>
              </w:r>
            </w:hyperlink>
          </w:p>
        </w:tc>
        <w:tc>
          <w:tcPr>
            <w:tcW w:w="1356" w:type="dxa"/>
            <w:tcBorders>
              <w:top w:val="nil"/>
              <w:left w:val="nil"/>
              <w:bottom w:val="single" w:sz="4" w:space="0" w:color="auto"/>
              <w:right w:val="nil"/>
            </w:tcBorders>
          </w:tcPr>
          <w:p w14:paraId="609F8BD0"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334B51EE" w14:textId="77777777" w:rsidTr="00911011">
        <w:trPr>
          <w:cantSplit/>
        </w:trPr>
        <w:tc>
          <w:tcPr>
            <w:tcW w:w="1076" w:type="dxa"/>
            <w:tcBorders>
              <w:top w:val="single" w:sz="4" w:space="0" w:color="auto"/>
              <w:left w:val="nil"/>
              <w:bottom w:val="nil"/>
              <w:right w:val="nil"/>
            </w:tcBorders>
          </w:tcPr>
          <w:p w14:paraId="5F67AD5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27(1)</w:t>
            </w:r>
          </w:p>
        </w:tc>
        <w:tc>
          <w:tcPr>
            <w:tcW w:w="6353" w:type="dxa"/>
            <w:tcBorders>
              <w:top w:val="single" w:sz="4" w:space="0" w:color="auto"/>
              <w:left w:val="nil"/>
              <w:bottom w:val="nil"/>
              <w:right w:val="nil"/>
            </w:tcBorders>
          </w:tcPr>
          <w:p w14:paraId="27715E3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left when starting left turn (from other than multi</w:t>
            </w:r>
            <w:r w:rsidRPr="002A3021">
              <w:rPr>
                <w:rFonts w:eastAsia="Times New Roman"/>
                <w:i/>
                <w:iCs/>
                <w:color w:val="000000"/>
                <w:sz w:val="20"/>
                <w:szCs w:val="20"/>
                <w:lang w:eastAsia="en-AU"/>
                <w14:ligatures w14:val="standardContextual"/>
              </w:rPr>
              <w:noBreakHyphen/>
              <w:t>lane road)</w:t>
            </w:r>
          </w:p>
        </w:tc>
        <w:tc>
          <w:tcPr>
            <w:tcW w:w="1356" w:type="dxa"/>
            <w:tcBorders>
              <w:top w:val="single" w:sz="4" w:space="0" w:color="auto"/>
              <w:left w:val="nil"/>
              <w:bottom w:val="nil"/>
              <w:right w:val="nil"/>
            </w:tcBorders>
          </w:tcPr>
          <w:p w14:paraId="433715C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5A4FAD04" w14:textId="77777777" w:rsidTr="00911011">
        <w:trPr>
          <w:cantSplit/>
        </w:trPr>
        <w:tc>
          <w:tcPr>
            <w:tcW w:w="1076" w:type="dxa"/>
            <w:tcBorders>
              <w:top w:val="nil"/>
              <w:left w:val="nil"/>
              <w:bottom w:val="nil"/>
              <w:right w:val="nil"/>
            </w:tcBorders>
          </w:tcPr>
          <w:p w14:paraId="6B92DAB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28(1)</w:t>
            </w:r>
          </w:p>
        </w:tc>
        <w:tc>
          <w:tcPr>
            <w:tcW w:w="6353" w:type="dxa"/>
            <w:tcBorders>
              <w:top w:val="nil"/>
              <w:left w:val="nil"/>
              <w:bottom w:val="nil"/>
              <w:right w:val="nil"/>
            </w:tcBorders>
          </w:tcPr>
          <w:p w14:paraId="7BDEAF9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within left lane when starting left turn on multi</w:t>
            </w:r>
            <w:r w:rsidRPr="002A3021">
              <w:rPr>
                <w:rFonts w:eastAsia="Times New Roman"/>
                <w:i/>
                <w:iCs/>
                <w:color w:val="000000"/>
                <w:sz w:val="20"/>
                <w:szCs w:val="20"/>
                <w:lang w:eastAsia="en-AU"/>
                <w14:ligatures w14:val="standardContextual"/>
              </w:rPr>
              <w:noBreakHyphen/>
              <w:t>lane road</w:t>
            </w:r>
          </w:p>
        </w:tc>
        <w:tc>
          <w:tcPr>
            <w:tcW w:w="1356" w:type="dxa"/>
            <w:tcBorders>
              <w:top w:val="nil"/>
              <w:left w:val="nil"/>
              <w:bottom w:val="nil"/>
              <w:right w:val="nil"/>
            </w:tcBorders>
          </w:tcPr>
          <w:p w14:paraId="29025A5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0E8D8426" w14:textId="77777777" w:rsidTr="00911011">
        <w:trPr>
          <w:cantSplit/>
        </w:trPr>
        <w:tc>
          <w:tcPr>
            <w:tcW w:w="1076" w:type="dxa"/>
            <w:tcBorders>
              <w:top w:val="nil"/>
              <w:left w:val="nil"/>
              <w:bottom w:val="nil"/>
              <w:right w:val="nil"/>
            </w:tcBorders>
          </w:tcPr>
          <w:p w14:paraId="3DAD594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29(1)</w:t>
            </w:r>
          </w:p>
        </w:tc>
        <w:tc>
          <w:tcPr>
            <w:tcW w:w="6353" w:type="dxa"/>
            <w:tcBorders>
              <w:top w:val="nil"/>
              <w:left w:val="nil"/>
              <w:bottom w:val="nil"/>
              <w:right w:val="nil"/>
            </w:tcBorders>
          </w:tcPr>
          <w:p w14:paraId="3E45F4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make left turn as indicated by turn line</w:t>
            </w:r>
          </w:p>
        </w:tc>
        <w:tc>
          <w:tcPr>
            <w:tcW w:w="1356" w:type="dxa"/>
            <w:tcBorders>
              <w:top w:val="nil"/>
              <w:left w:val="nil"/>
              <w:bottom w:val="nil"/>
              <w:right w:val="nil"/>
            </w:tcBorders>
          </w:tcPr>
          <w:p w14:paraId="1CC361D9"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45CA7041" w14:textId="77777777" w:rsidTr="00911011">
        <w:trPr>
          <w:cantSplit/>
        </w:trPr>
        <w:tc>
          <w:tcPr>
            <w:tcW w:w="1076" w:type="dxa"/>
            <w:tcBorders>
              <w:top w:val="nil"/>
              <w:left w:val="nil"/>
              <w:bottom w:val="nil"/>
              <w:right w:val="nil"/>
            </w:tcBorders>
          </w:tcPr>
          <w:p w14:paraId="66134FC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31(1)</w:t>
            </w:r>
          </w:p>
        </w:tc>
        <w:tc>
          <w:tcPr>
            <w:tcW w:w="6353" w:type="dxa"/>
            <w:tcBorders>
              <w:top w:val="nil"/>
              <w:left w:val="nil"/>
              <w:bottom w:val="nil"/>
              <w:right w:val="nil"/>
            </w:tcBorders>
          </w:tcPr>
          <w:p w14:paraId="0DE7E14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Starting right turn incorrectly (from other than multi</w:t>
            </w:r>
            <w:r w:rsidRPr="002A3021">
              <w:rPr>
                <w:rFonts w:eastAsia="Times New Roman"/>
                <w:i/>
                <w:iCs/>
                <w:color w:val="000000"/>
                <w:sz w:val="20"/>
                <w:szCs w:val="20"/>
                <w:lang w:eastAsia="en-AU"/>
                <w14:ligatures w14:val="standardContextual"/>
              </w:rPr>
              <w:noBreakHyphen/>
              <w:t>lane road)</w:t>
            </w:r>
          </w:p>
        </w:tc>
        <w:tc>
          <w:tcPr>
            <w:tcW w:w="1356" w:type="dxa"/>
            <w:tcBorders>
              <w:top w:val="nil"/>
              <w:left w:val="nil"/>
              <w:bottom w:val="nil"/>
              <w:right w:val="nil"/>
            </w:tcBorders>
          </w:tcPr>
          <w:p w14:paraId="13B9464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214D0615" w14:textId="77777777" w:rsidTr="00911011">
        <w:trPr>
          <w:cantSplit/>
        </w:trPr>
        <w:tc>
          <w:tcPr>
            <w:tcW w:w="1076" w:type="dxa"/>
            <w:tcBorders>
              <w:top w:val="nil"/>
              <w:left w:val="nil"/>
              <w:bottom w:val="nil"/>
              <w:right w:val="nil"/>
            </w:tcBorders>
          </w:tcPr>
          <w:p w14:paraId="0241529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32(1)</w:t>
            </w:r>
          </w:p>
        </w:tc>
        <w:tc>
          <w:tcPr>
            <w:tcW w:w="6353" w:type="dxa"/>
            <w:tcBorders>
              <w:top w:val="nil"/>
              <w:left w:val="nil"/>
              <w:bottom w:val="nil"/>
              <w:right w:val="nil"/>
            </w:tcBorders>
          </w:tcPr>
          <w:p w14:paraId="1F0B4B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within right lane when starting right turn on multi</w:t>
            </w:r>
            <w:r w:rsidRPr="002A3021">
              <w:rPr>
                <w:rFonts w:eastAsia="Times New Roman"/>
                <w:i/>
                <w:iCs/>
                <w:color w:val="000000"/>
                <w:sz w:val="20"/>
                <w:szCs w:val="20"/>
                <w:lang w:eastAsia="en-AU"/>
                <w14:ligatures w14:val="standardContextual"/>
              </w:rPr>
              <w:noBreakHyphen/>
              <w:t>lane road</w:t>
            </w:r>
          </w:p>
        </w:tc>
        <w:tc>
          <w:tcPr>
            <w:tcW w:w="1356" w:type="dxa"/>
            <w:tcBorders>
              <w:top w:val="nil"/>
              <w:left w:val="nil"/>
              <w:bottom w:val="nil"/>
              <w:right w:val="nil"/>
            </w:tcBorders>
          </w:tcPr>
          <w:p w14:paraId="0F5DECA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1F59C1BF" w14:textId="77777777" w:rsidTr="00911011">
        <w:trPr>
          <w:cantSplit/>
        </w:trPr>
        <w:tc>
          <w:tcPr>
            <w:tcW w:w="1076" w:type="dxa"/>
            <w:tcBorders>
              <w:top w:val="nil"/>
              <w:left w:val="nil"/>
              <w:bottom w:val="nil"/>
              <w:right w:val="nil"/>
            </w:tcBorders>
          </w:tcPr>
          <w:p w14:paraId="22EF22A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33(1)</w:t>
            </w:r>
          </w:p>
        </w:tc>
        <w:tc>
          <w:tcPr>
            <w:tcW w:w="6353" w:type="dxa"/>
            <w:tcBorders>
              <w:top w:val="nil"/>
              <w:left w:val="nil"/>
              <w:bottom w:val="nil"/>
              <w:right w:val="nil"/>
            </w:tcBorders>
          </w:tcPr>
          <w:p w14:paraId="4B1238E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right turn at intersection incorrectly</w:t>
            </w:r>
          </w:p>
        </w:tc>
        <w:tc>
          <w:tcPr>
            <w:tcW w:w="1356" w:type="dxa"/>
            <w:tcBorders>
              <w:top w:val="nil"/>
              <w:left w:val="nil"/>
              <w:bottom w:val="nil"/>
              <w:right w:val="nil"/>
            </w:tcBorders>
          </w:tcPr>
          <w:p w14:paraId="151D47D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41C5AB53" w14:textId="77777777" w:rsidTr="00911011">
        <w:trPr>
          <w:cantSplit/>
        </w:trPr>
        <w:tc>
          <w:tcPr>
            <w:tcW w:w="1076" w:type="dxa"/>
            <w:tcBorders>
              <w:top w:val="nil"/>
              <w:left w:val="nil"/>
              <w:bottom w:val="nil"/>
              <w:right w:val="nil"/>
            </w:tcBorders>
          </w:tcPr>
          <w:p w14:paraId="516A908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34(1)</w:t>
            </w:r>
          </w:p>
        </w:tc>
        <w:tc>
          <w:tcPr>
            <w:tcW w:w="6353" w:type="dxa"/>
            <w:tcBorders>
              <w:top w:val="nil"/>
              <w:left w:val="nil"/>
              <w:bottom w:val="nil"/>
              <w:right w:val="nil"/>
            </w:tcBorders>
          </w:tcPr>
          <w:p w14:paraId="00378A9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hook turn at "hook turn only" sign incorrectly</w:t>
            </w:r>
          </w:p>
        </w:tc>
        <w:tc>
          <w:tcPr>
            <w:tcW w:w="1356" w:type="dxa"/>
            <w:tcBorders>
              <w:top w:val="nil"/>
              <w:left w:val="nil"/>
              <w:bottom w:val="nil"/>
              <w:right w:val="nil"/>
            </w:tcBorders>
          </w:tcPr>
          <w:p w14:paraId="6DCBE2B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039F36F1" w14:textId="77777777" w:rsidTr="00911011">
        <w:trPr>
          <w:cantSplit/>
        </w:trPr>
        <w:tc>
          <w:tcPr>
            <w:tcW w:w="1076" w:type="dxa"/>
            <w:tcBorders>
              <w:top w:val="nil"/>
              <w:left w:val="nil"/>
              <w:bottom w:val="nil"/>
              <w:right w:val="nil"/>
            </w:tcBorders>
          </w:tcPr>
          <w:p w14:paraId="574A686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37</w:t>
            </w:r>
          </w:p>
        </w:tc>
        <w:tc>
          <w:tcPr>
            <w:tcW w:w="6353" w:type="dxa"/>
            <w:tcBorders>
              <w:top w:val="nil"/>
              <w:left w:val="nil"/>
              <w:bottom w:val="nil"/>
              <w:right w:val="nil"/>
            </w:tcBorders>
          </w:tcPr>
          <w:p w14:paraId="5C93AAF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Starting U</w:t>
            </w:r>
            <w:r w:rsidRPr="002A3021">
              <w:rPr>
                <w:rFonts w:eastAsia="Times New Roman"/>
                <w:i/>
                <w:iCs/>
                <w:color w:val="000000"/>
                <w:sz w:val="20"/>
                <w:szCs w:val="20"/>
                <w:lang w:eastAsia="en-AU"/>
                <w14:ligatures w14:val="standardContextual"/>
              </w:rPr>
              <w:noBreakHyphen/>
              <w:t>turn without clear view etc</w:t>
            </w:r>
          </w:p>
        </w:tc>
        <w:tc>
          <w:tcPr>
            <w:tcW w:w="1356" w:type="dxa"/>
            <w:tcBorders>
              <w:top w:val="nil"/>
              <w:left w:val="nil"/>
              <w:bottom w:val="nil"/>
              <w:right w:val="nil"/>
            </w:tcBorders>
          </w:tcPr>
          <w:p w14:paraId="2813332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4DF3C4DB" w14:textId="77777777" w:rsidTr="00911011">
        <w:trPr>
          <w:cantSplit/>
        </w:trPr>
        <w:tc>
          <w:tcPr>
            <w:tcW w:w="1076" w:type="dxa"/>
            <w:tcBorders>
              <w:top w:val="nil"/>
              <w:left w:val="nil"/>
              <w:bottom w:val="nil"/>
              <w:right w:val="nil"/>
            </w:tcBorders>
          </w:tcPr>
          <w:p w14:paraId="0E0B7D1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38(1)</w:t>
            </w:r>
          </w:p>
        </w:tc>
        <w:tc>
          <w:tcPr>
            <w:tcW w:w="6353" w:type="dxa"/>
            <w:tcBorders>
              <w:top w:val="nil"/>
              <w:left w:val="nil"/>
              <w:bottom w:val="nil"/>
              <w:right w:val="nil"/>
            </w:tcBorders>
          </w:tcPr>
          <w:p w14:paraId="69CB98E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making U</w:t>
            </w:r>
            <w:r w:rsidRPr="002A3021">
              <w:rPr>
                <w:rFonts w:eastAsia="Times New Roman"/>
                <w:i/>
                <w:iCs/>
                <w:color w:val="000000"/>
                <w:sz w:val="20"/>
                <w:szCs w:val="20"/>
                <w:lang w:eastAsia="en-AU"/>
                <w14:ligatures w14:val="standardContextual"/>
              </w:rPr>
              <w:noBreakHyphen/>
              <w:t>turn</w:t>
            </w:r>
          </w:p>
        </w:tc>
        <w:tc>
          <w:tcPr>
            <w:tcW w:w="1356" w:type="dxa"/>
            <w:tcBorders>
              <w:top w:val="nil"/>
              <w:left w:val="nil"/>
              <w:bottom w:val="nil"/>
              <w:right w:val="nil"/>
            </w:tcBorders>
          </w:tcPr>
          <w:p w14:paraId="42B5A7D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A266F86" w14:textId="77777777" w:rsidTr="00911011">
        <w:trPr>
          <w:cantSplit/>
        </w:trPr>
        <w:tc>
          <w:tcPr>
            <w:tcW w:w="1076" w:type="dxa"/>
            <w:tcBorders>
              <w:top w:val="nil"/>
              <w:left w:val="nil"/>
              <w:bottom w:val="nil"/>
              <w:right w:val="nil"/>
            </w:tcBorders>
          </w:tcPr>
          <w:p w14:paraId="1BD3EDC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39(1)</w:t>
            </w:r>
          </w:p>
        </w:tc>
        <w:tc>
          <w:tcPr>
            <w:tcW w:w="6353" w:type="dxa"/>
            <w:tcBorders>
              <w:top w:val="nil"/>
              <w:left w:val="nil"/>
              <w:bottom w:val="nil"/>
              <w:right w:val="nil"/>
            </w:tcBorders>
          </w:tcPr>
          <w:p w14:paraId="2C5604E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U</w:t>
            </w:r>
            <w:r w:rsidRPr="002A3021">
              <w:rPr>
                <w:rFonts w:eastAsia="Times New Roman"/>
                <w:i/>
                <w:iCs/>
                <w:color w:val="000000"/>
                <w:sz w:val="20"/>
                <w:szCs w:val="20"/>
                <w:lang w:eastAsia="en-AU"/>
                <w14:ligatures w14:val="standardContextual"/>
              </w:rPr>
              <w:noBreakHyphen/>
              <w:t>turn contrary to "no U</w:t>
            </w:r>
            <w:r w:rsidRPr="002A3021">
              <w:rPr>
                <w:rFonts w:eastAsia="Times New Roman"/>
                <w:i/>
                <w:iCs/>
                <w:color w:val="000000"/>
                <w:sz w:val="20"/>
                <w:szCs w:val="20"/>
                <w:lang w:eastAsia="en-AU"/>
                <w14:ligatures w14:val="standardContextual"/>
              </w:rPr>
              <w:noBreakHyphen/>
              <w:t>turn sign" at break in dividing strip</w:t>
            </w:r>
          </w:p>
        </w:tc>
        <w:tc>
          <w:tcPr>
            <w:tcW w:w="1356" w:type="dxa"/>
            <w:tcBorders>
              <w:top w:val="nil"/>
              <w:left w:val="nil"/>
              <w:bottom w:val="nil"/>
              <w:right w:val="nil"/>
            </w:tcBorders>
          </w:tcPr>
          <w:p w14:paraId="7B06ACF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5903AC02" w14:textId="77777777" w:rsidTr="00911011">
        <w:trPr>
          <w:cantSplit/>
        </w:trPr>
        <w:tc>
          <w:tcPr>
            <w:tcW w:w="1076" w:type="dxa"/>
            <w:tcBorders>
              <w:top w:val="nil"/>
              <w:left w:val="nil"/>
              <w:bottom w:val="nil"/>
              <w:right w:val="nil"/>
            </w:tcBorders>
          </w:tcPr>
          <w:p w14:paraId="3F9141D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39(2)</w:t>
            </w:r>
          </w:p>
        </w:tc>
        <w:tc>
          <w:tcPr>
            <w:tcW w:w="6353" w:type="dxa"/>
            <w:tcBorders>
              <w:top w:val="nil"/>
              <w:left w:val="nil"/>
              <w:bottom w:val="nil"/>
              <w:right w:val="nil"/>
            </w:tcBorders>
          </w:tcPr>
          <w:p w14:paraId="4296DC7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U</w:t>
            </w:r>
            <w:r w:rsidRPr="002A3021">
              <w:rPr>
                <w:rFonts w:eastAsia="Times New Roman"/>
                <w:i/>
                <w:iCs/>
                <w:color w:val="000000"/>
                <w:sz w:val="20"/>
                <w:szCs w:val="20"/>
                <w:lang w:eastAsia="en-AU"/>
                <w14:ligatures w14:val="standardContextual"/>
              </w:rPr>
              <w:noBreakHyphen/>
              <w:t>turn contrary to "no U</w:t>
            </w:r>
            <w:r w:rsidRPr="002A3021">
              <w:rPr>
                <w:rFonts w:eastAsia="Times New Roman"/>
                <w:i/>
                <w:iCs/>
                <w:color w:val="000000"/>
                <w:sz w:val="20"/>
                <w:szCs w:val="20"/>
                <w:lang w:eastAsia="en-AU"/>
                <w14:ligatures w14:val="standardContextual"/>
              </w:rPr>
              <w:noBreakHyphen/>
              <w:t>turn sign" on length of road</w:t>
            </w:r>
          </w:p>
        </w:tc>
        <w:tc>
          <w:tcPr>
            <w:tcW w:w="1356" w:type="dxa"/>
            <w:tcBorders>
              <w:top w:val="nil"/>
              <w:left w:val="nil"/>
              <w:bottom w:val="nil"/>
              <w:right w:val="nil"/>
            </w:tcBorders>
          </w:tcPr>
          <w:p w14:paraId="3094D6D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1FD70BC1" w14:textId="77777777" w:rsidTr="00911011">
        <w:trPr>
          <w:cantSplit/>
        </w:trPr>
        <w:tc>
          <w:tcPr>
            <w:tcW w:w="1076" w:type="dxa"/>
            <w:tcBorders>
              <w:top w:val="nil"/>
              <w:left w:val="nil"/>
              <w:bottom w:val="nil"/>
              <w:right w:val="nil"/>
            </w:tcBorders>
          </w:tcPr>
          <w:p w14:paraId="7CEAACC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40</w:t>
            </w:r>
          </w:p>
        </w:tc>
        <w:tc>
          <w:tcPr>
            <w:tcW w:w="6353" w:type="dxa"/>
            <w:tcBorders>
              <w:top w:val="nil"/>
              <w:left w:val="nil"/>
              <w:bottom w:val="nil"/>
              <w:right w:val="nil"/>
            </w:tcBorders>
          </w:tcPr>
          <w:p w14:paraId="51F254C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U</w:t>
            </w:r>
            <w:r w:rsidRPr="002A3021">
              <w:rPr>
                <w:rFonts w:eastAsia="Times New Roman"/>
                <w:i/>
                <w:iCs/>
                <w:color w:val="000000"/>
                <w:sz w:val="20"/>
                <w:szCs w:val="20"/>
                <w:lang w:eastAsia="en-AU"/>
                <w14:ligatures w14:val="standardContextual"/>
              </w:rPr>
              <w:noBreakHyphen/>
              <w:t>turn at intersection with traffic lights and no "U</w:t>
            </w:r>
            <w:r w:rsidRPr="002A3021">
              <w:rPr>
                <w:rFonts w:eastAsia="Times New Roman"/>
                <w:i/>
                <w:iCs/>
                <w:color w:val="000000"/>
                <w:sz w:val="20"/>
                <w:szCs w:val="20"/>
                <w:lang w:eastAsia="en-AU"/>
                <w14:ligatures w14:val="standardContextual"/>
              </w:rPr>
              <w:noBreakHyphen/>
              <w:t>turn permitted" sign</w:t>
            </w:r>
          </w:p>
        </w:tc>
        <w:tc>
          <w:tcPr>
            <w:tcW w:w="1356" w:type="dxa"/>
            <w:tcBorders>
              <w:top w:val="nil"/>
              <w:left w:val="nil"/>
              <w:bottom w:val="nil"/>
              <w:right w:val="nil"/>
            </w:tcBorders>
          </w:tcPr>
          <w:p w14:paraId="58AA7F0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73FAA5A7" w14:textId="77777777" w:rsidTr="00911011">
        <w:trPr>
          <w:cantSplit/>
        </w:trPr>
        <w:tc>
          <w:tcPr>
            <w:tcW w:w="1076" w:type="dxa"/>
            <w:tcBorders>
              <w:top w:val="nil"/>
              <w:left w:val="nil"/>
              <w:bottom w:val="nil"/>
              <w:right w:val="nil"/>
            </w:tcBorders>
          </w:tcPr>
          <w:p w14:paraId="17EA9C0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41</w:t>
            </w:r>
          </w:p>
        </w:tc>
        <w:tc>
          <w:tcPr>
            <w:tcW w:w="6353" w:type="dxa"/>
            <w:tcBorders>
              <w:top w:val="nil"/>
              <w:left w:val="nil"/>
              <w:bottom w:val="nil"/>
              <w:right w:val="nil"/>
            </w:tcBorders>
          </w:tcPr>
          <w:p w14:paraId="1E711CE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U</w:t>
            </w:r>
            <w:r w:rsidRPr="002A3021">
              <w:rPr>
                <w:rFonts w:eastAsia="Times New Roman"/>
                <w:i/>
                <w:iCs/>
                <w:color w:val="000000"/>
                <w:sz w:val="20"/>
                <w:szCs w:val="20"/>
                <w:lang w:eastAsia="en-AU"/>
                <w14:ligatures w14:val="standardContextual"/>
              </w:rPr>
              <w:noBreakHyphen/>
              <w:t>turn at intersection without traffic lights where "no U</w:t>
            </w:r>
            <w:r w:rsidRPr="002A3021">
              <w:rPr>
                <w:rFonts w:eastAsia="Times New Roman"/>
                <w:i/>
                <w:iCs/>
                <w:color w:val="000000"/>
                <w:sz w:val="20"/>
                <w:szCs w:val="20"/>
                <w:lang w:eastAsia="en-AU"/>
                <w14:ligatures w14:val="standardContextual"/>
              </w:rPr>
              <w:noBreakHyphen/>
              <w:t>turn" sign</w:t>
            </w:r>
          </w:p>
        </w:tc>
        <w:tc>
          <w:tcPr>
            <w:tcW w:w="1356" w:type="dxa"/>
            <w:tcBorders>
              <w:top w:val="nil"/>
              <w:left w:val="nil"/>
              <w:bottom w:val="nil"/>
              <w:right w:val="nil"/>
            </w:tcBorders>
          </w:tcPr>
          <w:p w14:paraId="746F7C2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2E6CBB93" w14:textId="77777777" w:rsidTr="00911011">
        <w:trPr>
          <w:cantSplit/>
        </w:trPr>
        <w:tc>
          <w:tcPr>
            <w:tcW w:w="1076" w:type="dxa"/>
            <w:tcBorders>
              <w:top w:val="nil"/>
              <w:left w:val="nil"/>
              <w:bottom w:val="nil"/>
              <w:right w:val="nil"/>
            </w:tcBorders>
          </w:tcPr>
          <w:p w14:paraId="71B1EE9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42</w:t>
            </w:r>
          </w:p>
        </w:tc>
        <w:tc>
          <w:tcPr>
            <w:tcW w:w="6353" w:type="dxa"/>
            <w:tcBorders>
              <w:top w:val="nil"/>
              <w:left w:val="nil"/>
              <w:bottom w:val="nil"/>
              <w:right w:val="nil"/>
            </w:tcBorders>
          </w:tcPr>
          <w:p w14:paraId="521A87C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Starting U</w:t>
            </w:r>
            <w:r w:rsidRPr="002A3021">
              <w:rPr>
                <w:rFonts w:eastAsia="Times New Roman"/>
                <w:i/>
                <w:iCs/>
                <w:color w:val="000000"/>
                <w:sz w:val="20"/>
                <w:szCs w:val="20"/>
                <w:lang w:eastAsia="en-AU"/>
                <w14:ligatures w14:val="standardContextual"/>
              </w:rPr>
              <w:noBreakHyphen/>
              <w:t>turn at intersection from incorrect position</w:t>
            </w:r>
          </w:p>
        </w:tc>
        <w:tc>
          <w:tcPr>
            <w:tcW w:w="1356" w:type="dxa"/>
            <w:tcBorders>
              <w:top w:val="nil"/>
              <w:left w:val="nil"/>
              <w:bottom w:val="nil"/>
              <w:right w:val="nil"/>
            </w:tcBorders>
          </w:tcPr>
          <w:p w14:paraId="5ED8637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bl>
    <w:p w14:paraId="2731B87E" w14:textId="77777777" w:rsidR="004311B6" w:rsidRDefault="004311B6" w:rsidP="00C47401">
      <w:pPr>
        <w:spacing w:line="80" w:lineRule="exact"/>
      </w:pPr>
      <w:r>
        <w:br w:type="page"/>
      </w:r>
    </w:p>
    <w:tbl>
      <w:tblPr>
        <w:tblW w:w="0" w:type="auto"/>
        <w:tblLayout w:type="fixed"/>
        <w:tblCellMar>
          <w:left w:w="60" w:type="dxa"/>
          <w:right w:w="60" w:type="dxa"/>
        </w:tblCellMar>
        <w:tblLook w:val="0000" w:firstRow="0" w:lastRow="0" w:firstColumn="0" w:lastColumn="0" w:noHBand="0" w:noVBand="0"/>
      </w:tblPr>
      <w:tblGrid>
        <w:gridCol w:w="1076"/>
        <w:gridCol w:w="6353"/>
        <w:gridCol w:w="1356"/>
      </w:tblGrid>
      <w:tr w:rsidR="00F27516" w:rsidRPr="002A3021" w14:paraId="276A944C" w14:textId="77777777" w:rsidTr="00F27516">
        <w:trPr>
          <w:cantSplit/>
        </w:trPr>
        <w:tc>
          <w:tcPr>
            <w:tcW w:w="1076" w:type="dxa"/>
            <w:tcBorders>
              <w:top w:val="nil"/>
              <w:left w:val="nil"/>
              <w:bottom w:val="single" w:sz="4" w:space="0" w:color="auto"/>
              <w:right w:val="nil"/>
            </w:tcBorders>
          </w:tcPr>
          <w:p w14:paraId="1C64CD19" w14:textId="574B02C3" w:rsidR="00F27516" w:rsidRPr="002A3021" w:rsidRDefault="00F27516" w:rsidP="00F2751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53" w:type="dxa"/>
            <w:tcBorders>
              <w:top w:val="nil"/>
              <w:left w:val="nil"/>
              <w:bottom w:val="single" w:sz="4" w:space="0" w:color="auto"/>
              <w:right w:val="nil"/>
            </w:tcBorders>
          </w:tcPr>
          <w:p w14:paraId="621CF1A0" w14:textId="73B5CFF9" w:rsidR="00F27516" w:rsidRPr="002A3021" w:rsidRDefault="00F27516" w:rsidP="00F2751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2" w:history="1">
              <w:r w:rsidRPr="002A3021">
                <w:rPr>
                  <w:rFonts w:eastAsia="Times New Roman"/>
                  <w:b/>
                  <w:bCs/>
                  <w:i/>
                  <w:iCs/>
                  <w:color w:val="000000"/>
                  <w:sz w:val="20"/>
                  <w:szCs w:val="20"/>
                  <w:lang w:eastAsia="en-AU"/>
                  <w14:ligatures w14:val="standardContextual"/>
                </w:rPr>
                <w:t>Australian Road Rules</w:t>
              </w:r>
            </w:hyperlink>
          </w:p>
        </w:tc>
        <w:tc>
          <w:tcPr>
            <w:tcW w:w="1356" w:type="dxa"/>
            <w:tcBorders>
              <w:top w:val="nil"/>
              <w:left w:val="nil"/>
              <w:bottom w:val="single" w:sz="4" w:space="0" w:color="auto"/>
              <w:right w:val="nil"/>
            </w:tcBorders>
          </w:tcPr>
          <w:p w14:paraId="0B6E7426" w14:textId="20F87B32" w:rsidR="00F27516" w:rsidRPr="002A3021" w:rsidRDefault="00F27516" w:rsidP="00F27516">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F27516" w:rsidRPr="002A3021" w14:paraId="20DFDB0A" w14:textId="77777777" w:rsidTr="00F27516">
        <w:trPr>
          <w:cantSplit/>
        </w:trPr>
        <w:tc>
          <w:tcPr>
            <w:tcW w:w="1076" w:type="dxa"/>
            <w:tcBorders>
              <w:top w:val="single" w:sz="4" w:space="0" w:color="auto"/>
              <w:left w:val="nil"/>
              <w:bottom w:val="nil"/>
              <w:right w:val="nil"/>
            </w:tcBorders>
          </w:tcPr>
          <w:p w14:paraId="10787DE0" w14:textId="3D23FB82"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46(1)</w:t>
            </w:r>
          </w:p>
        </w:tc>
        <w:tc>
          <w:tcPr>
            <w:tcW w:w="6353" w:type="dxa"/>
            <w:tcBorders>
              <w:top w:val="single" w:sz="4" w:space="0" w:color="auto"/>
              <w:left w:val="nil"/>
              <w:bottom w:val="nil"/>
              <w:right w:val="nil"/>
            </w:tcBorders>
          </w:tcPr>
          <w:p w14:paraId="7981AF45" w14:textId="28747CE0" w:rsidR="00F27516" w:rsidRPr="002A3021" w:rsidRDefault="00F27516" w:rsidP="00C47401">
            <w:pPr>
              <w:keepLines/>
              <w:autoSpaceDE w:val="0"/>
              <w:autoSpaceDN w:val="0"/>
              <w:adjustRightInd w:val="0"/>
              <w:spacing w:before="11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left change of direction signal before turning left</w:t>
            </w:r>
          </w:p>
        </w:tc>
        <w:tc>
          <w:tcPr>
            <w:tcW w:w="1356" w:type="dxa"/>
            <w:tcBorders>
              <w:top w:val="single" w:sz="4" w:space="0" w:color="auto"/>
              <w:left w:val="nil"/>
              <w:bottom w:val="nil"/>
              <w:right w:val="nil"/>
            </w:tcBorders>
          </w:tcPr>
          <w:p w14:paraId="7F2DF368" w14:textId="17E75E44"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F27516" w:rsidRPr="002A3021" w14:paraId="06E605BA" w14:textId="77777777" w:rsidTr="00911011">
        <w:trPr>
          <w:cantSplit/>
        </w:trPr>
        <w:tc>
          <w:tcPr>
            <w:tcW w:w="1076" w:type="dxa"/>
            <w:tcBorders>
              <w:top w:val="nil"/>
              <w:left w:val="nil"/>
              <w:bottom w:val="nil"/>
              <w:right w:val="nil"/>
            </w:tcBorders>
          </w:tcPr>
          <w:p w14:paraId="3EC7EDD1"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48(1)</w:t>
            </w:r>
          </w:p>
        </w:tc>
        <w:tc>
          <w:tcPr>
            <w:tcW w:w="6353" w:type="dxa"/>
            <w:tcBorders>
              <w:top w:val="nil"/>
              <w:left w:val="nil"/>
              <w:bottom w:val="nil"/>
              <w:right w:val="nil"/>
            </w:tcBorders>
          </w:tcPr>
          <w:p w14:paraId="16FB4C56"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right change of direction signal before turning right</w:t>
            </w:r>
          </w:p>
        </w:tc>
        <w:tc>
          <w:tcPr>
            <w:tcW w:w="1356" w:type="dxa"/>
            <w:tcBorders>
              <w:top w:val="nil"/>
              <w:left w:val="nil"/>
              <w:bottom w:val="nil"/>
              <w:right w:val="nil"/>
            </w:tcBorders>
          </w:tcPr>
          <w:p w14:paraId="41AC37D0"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F27516" w:rsidRPr="002A3021" w14:paraId="0B3FCF11" w14:textId="77777777" w:rsidTr="00911011">
        <w:trPr>
          <w:cantSplit/>
        </w:trPr>
        <w:tc>
          <w:tcPr>
            <w:tcW w:w="1076" w:type="dxa"/>
            <w:tcBorders>
              <w:top w:val="nil"/>
              <w:left w:val="nil"/>
              <w:bottom w:val="nil"/>
              <w:right w:val="nil"/>
            </w:tcBorders>
          </w:tcPr>
          <w:p w14:paraId="417657E8"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53(1)</w:t>
            </w:r>
          </w:p>
        </w:tc>
        <w:tc>
          <w:tcPr>
            <w:tcW w:w="6353" w:type="dxa"/>
            <w:tcBorders>
              <w:top w:val="nil"/>
              <w:left w:val="nil"/>
              <w:bottom w:val="nil"/>
              <w:right w:val="nil"/>
            </w:tcBorders>
          </w:tcPr>
          <w:p w14:paraId="741746FB"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stop signal before stopping or suddenly slowing</w:t>
            </w:r>
          </w:p>
        </w:tc>
        <w:tc>
          <w:tcPr>
            <w:tcW w:w="1356" w:type="dxa"/>
            <w:tcBorders>
              <w:top w:val="nil"/>
              <w:left w:val="nil"/>
              <w:bottom w:val="nil"/>
              <w:right w:val="nil"/>
            </w:tcBorders>
          </w:tcPr>
          <w:p w14:paraId="3C0AF402"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F27516" w:rsidRPr="002A3021" w14:paraId="3A3B8038" w14:textId="77777777" w:rsidTr="00911011">
        <w:trPr>
          <w:cantSplit/>
        </w:trPr>
        <w:tc>
          <w:tcPr>
            <w:tcW w:w="1076" w:type="dxa"/>
            <w:tcBorders>
              <w:top w:val="nil"/>
              <w:left w:val="nil"/>
              <w:bottom w:val="nil"/>
              <w:right w:val="nil"/>
            </w:tcBorders>
          </w:tcPr>
          <w:p w14:paraId="29F76697"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53(2)</w:t>
            </w:r>
          </w:p>
        </w:tc>
        <w:tc>
          <w:tcPr>
            <w:tcW w:w="6353" w:type="dxa"/>
            <w:tcBorders>
              <w:top w:val="nil"/>
              <w:left w:val="nil"/>
              <w:bottom w:val="nil"/>
              <w:right w:val="nil"/>
            </w:tcBorders>
          </w:tcPr>
          <w:p w14:paraId="1327772A"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sufficient warning of stopping</w:t>
            </w:r>
          </w:p>
        </w:tc>
        <w:tc>
          <w:tcPr>
            <w:tcW w:w="1356" w:type="dxa"/>
            <w:tcBorders>
              <w:top w:val="nil"/>
              <w:left w:val="nil"/>
              <w:bottom w:val="nil"/>
              <w:right w:val="nil"/>
            </w:tcBorders>
          </w:tcPr>
          <w:p w14:paraId="6C134499"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F27516" w:rsidRPr="002A3021" w14:paraId="088EADB1" w14:textId="77777777" w:rsidTr="00911011">
        <w:trPr>
          <w:cantSplit/>
        </w:trPr>
        <w:tc>
          <w:tcPr>
            <w:tcW w:w="1076" w:type="dxa"/>
            <w:tcBorders>
              <w:top w:val="nil"/>
              <w:left w:val="nil"/>
              <w:bottom w:val="nil"/>
              <w:right w:val="nil"/>
            </w:tcBorders>
          </w:tcPr>
          <w:p w14:paraId="17B2A7B5"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53(3)</w:t>
            </w:r>
          </w:p>
        </w:tc>
        <w:tc>
          <w:tcPr>
            <w:tcW w:w="6353" w:type="dxa"/>
            <w:tcBorders>
              <w:top w:val="nil"/>
              <w:left w:val="nil"/>
              <w:bottom w:val="nil"/>
              <w:right w:val="nil"/>
            </w:tcBorders>
          </w:tcPr>
          <w:p w14:paraId="3BD8898B"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stop signal while slowing</w:t>
            </w:r>
          </w:p>
        </w:tc>
        <w:tc>
          <w:tcPr>
            <w:tcW w:w="1356" w:type="dxa"/>
            <w:tcBorders>
              <w:top w:val="nil"/>
              <w:left w:val="nil"/>
              <w:bottom w:val="nil"/>
              <w:right w:val="nil"/>
            </w:tcBorders>
          </w:tcPr>
          <w:p w14:paraId="7D217B93"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F27516" w:rsidRPr="002A3021" w14:paraId="1C6BA368" w14:textId="77777777" w:rsidTr="00911011">
        <w:trPr>
          <w:cantSplit/>
        </w:trPr>
        <w:tc>
          <w:tcPr>
            <w:tcW w:w="1076" w:type="dxa"/>
            <w:tcBorders>
              <w:top w:val="nil"/>
              <w:left w:val="nil"/>
              <w:bottom w:val="nil"/>
              <w:right w:val="nil"/>
            </w:tcBorders>
          </w:tcPr>
          <w:p w14:paraId="64AA195E"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56(1)</w:t>
            </w:r>
          </w:p>
        </w:tc>
        <w:tc>
          <w:tcPr>
            <w:tcW w:w="6353" w:type="dxa"/>
            <w:tcBorders>
              <w:top w:val="nil"/>
              <w:left w:val="nil"/>
              <w:bottom w:val="nil"/>
              <w:right w:val="nil"/>
            </w:tcBorders>
          </w:tcPr>
          <w:p w14:paraId="6C9C2295"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red traffic light</w:t>
            </w:r>
          </w:p>
        </w:tc>
        <w:tc>
          <w:tcPr>
            <w:tcW w:w="1356" w:type="dxa"/>
            <w:tcBorders>
              <w:top w:val="nil"/>
              <w:left w:val="nil"/>
              <w:bottom w:val="nil"/>
              <w:right w:val="nil"/>
            </w:tcBorders>
          </w:tcPr>
          <w:p w14:paraId="3CE79C80"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E336955" w14:textId="77777777" w:rsidTr="00911011">
        <w:trPr>
          <w:cantSplit/>
        </w:trPr>
        <w:tc>
          <w:tcPr>
            <w:tcW w:w="1076" w:type="dxa"/>
            <w:tcBorders>
              <w:top w:val="nil"/>
              <w:left w:val="nil"/>
              <w:bottom w:val="nil"/>
              <w:right w:val="nil"/>
            </w:tcBorders>
          </w:tcPr>
          <w:p w14:paraId="68689C81"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56(2)</w:t>
            </w:r>
          </w:p>
        </w:tc>
        <w:tc>
          <w:tcPr>
            <w:tcW w:w="6353" w:type="dxa"/>
            <w:tcBorders>
              <w:top w:val="nil"/>
              <w:left w:val="nil"/>
              <w:bottom w:val="nil"/>
              <w:right w:val="nil"/>
            </w:tcBorders>
          </w:tcPr>
          <w:p w14:paraId="1048E4E5"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red traffic arrow</w:t>
            </w:r>
          </w:p>
        </w:tc>
        <w:tc>
          <w:tcPr>
            <w:tcW w:w="1356" w:type="dxa"/>
            <w:tcBorders>
              <w:top w:val="nil"/>
              <w:left w:val="nil"/>
              <w:bottom w:val="nil"/>
              <w:right w:val="nil"/>
            </w:tcBorders>
          </w:tcPr>
          <w:p w14:paraId="5781EB79"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672CB8D4" w14:textId="77777777" w:rsidTr="00911011">
        <w:trPr>
          <w:cantSplit/>
        </w:trPr>
        <w:tc>
          <w:tcPr>
            <w:tcW w:w="1076" w:type="dxa"/>
            <w:tcBorders>
              <w:top w:val="nil"/>
              <w:left w:val="nil"/>
              <w:bottom w:val="nil"/>
              <w:right w:val="nil"/>
            </w:tcBorders>
          </w:tcPr>
          <w:p w14:paraId="055CBCB2"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57(1)</w:t>
            </w:r>
          </w:p>
        </w:tc>
        <w:tc>
          <w:tcPr>
            <w:tcW w:w="6353" w:type="dxa"/>
            <w:tcBorders>
              <w:top w:val="nil"/>
              <w:left w:val="nil"/>
              <w:bottom w:val="nil"/>
              <w:right w:val="nil"/>
            </w:tcBorders>
          </w:tcPr>
          <w:p w14:paraId="51BFB1D5"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yellow traffic light</w:t>
            </w:r>
          </w:p>
        </w:tc>
        <w:tc>
          <w:tcPr>
            <w:tcW w:w="1356" w:type="dxa"/>
            <w:tcBorders>
              <w:top w:val="nil"/>
              <w:left w:val="nil"/>
              <w:bottom w:val="nil"/>
              <w:right w:val="nil"/>
            </w:tcBorders>
          </w:tcPr>
          <w:p w14:paraId="421628EC"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0C452381" w14:textId="77777777" w:rsidTr="00911011">
        <w:trPr>
          <w:cantSplit/>
        </w:trPr>
        <w:tc>
          <w:tcPr>
            <w:tcW w:w="1076" w:type="dxa"/>
            <w:tcBorders>
              <w:top w:val="nil"/>
              <w:left w:val="nil"/>
              <w:bottom w:val="nil"/>
              <w:right w:val="nil"/>
            </w:tcBorders>
          </w:tcPr>
          <w:p w14:paraId="39BB87B7"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57(2)</w:t>
            </w:r>
          </w:p>
        </w:tc>
        <w:tc>
          <w:tcPr>
            <w:tcW w:w="6353" w:type="dxa"/>
            <w:tcBorders>
              <w:top w:val="nil"/>
              <w:left w:val="nil"/>
              <w:bottom w:val="nil"/>
              <w:right w:val="nil"/>
            </w:tcBorders>
          </w:tcPr>
          <w:p w14:paraId="6A524421"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yellow traffic arrow</w:t>
            </w:r>
          </w:p>
        </w:tc>
        <w:tc>
          <w:tcPr>
            <w:tcW w:w="1356" w:type="dxa"/>
            <w:tcBorders>
              <w:top w:val="nil"/>
              <w:left w:val="nil"/>
              <w:bottom w:val="nil"/>
              <w:right w:val="nil"/>
            </w:tcBorders>
          </w:tcPr>
          <w:p w14:paraId="710C9F38"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6C91CE45" w14:textId="77777777" w:rsidTr="00911011">
        <w:trPr>
          <w:cantSplit/>
        </w:trPr>
        <w:tc>
          <w:tcPr>
            <w:tcW w:w="1076" w:type="dxa"/>
            <w:tcBorders>
              <w:top w:val="nil"/>
              <w:left w:val="nil"/>
              <w:bottom w:val="nil"/>
              <w:right w:val="nil"/>
            </w:tcBorders>
          </w:tcPr>
          <w:p w14:paraId="536FBE97"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59(1)</w:t>
            </w:r>
          </w:p>
        </w:tc>
        <w:tc>
          <w:tcPr>
            <w:tcW w:w="6353" w:type="dxa"/>
            <w:tcBorders>
              <w:top w:val="nil"/>
              <w:left w:val="nil"/>
              <w:bottom w:val="nil"/>
              <w:right w:val="nil"/>
            </w:tcBorders>
          </w:tcPr>
          <w:p w14:paraId="00EF7F93"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through red traffic light</w:t>
            </w:r>
          </w:p>
        </w:tc>
        <w:tc>
          <w:tcPr>
            <w:tcW w:w="1356" w:type="dxa"/>
            <w:tcBorders>
              <w:top w:val="nil"/>
              <w:left w:val="nil"/>
              <w:bottom w:val="nil"/>
              <w:right w:val="nil"/>
            </w:tcBorders>
          </w:tcPr>
          <w:p w14:paraId="7EFDE046"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4438A094" w14:textId="77777777" w:rsidTr="00911011">
        <w:trPr>
          <w:cantSplit/>
        </w:trPr>
        <w:tc>
          <w:tcPr>
            <w:tcW w:w="1076" w:type="dxa"/>
            <w:tcBorders>
              <w:top w:val="nil"/>
              <w:left w:val="nil"/>
              <w:bottom w:val="nil"/>
              <w:right w:val="nil"/>
            </w:tcBorders>
          </w:tcPr>
          <w:p w14:paraId="30A32793"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60</w:t>
            </w:r>
          </w:p>
        </w:tc>
        <w:tc>
          <w:tcPr>
            <w:tcW w:w="6353" w:type="dxa"/>
            <w:tcBorders>
              <w:top w:val="nil"/>
              <w:left w:val="nil"/>
              <w:bottom w:val="nil"/>
              <w:right w:val="nil"/>
            </w:tcBorders>
          </w:tcPr>
          <w:p w14:paraId="7E320BA3"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through red traffic arrow</w:t>
            </w:r>
          </w:p>
        </w:tc>
        <w:tc>
          <w:tcPr>
            <w:tcW w:w="1356" w:type="dxa"/>
            <w:tcBorders>
              <w:top w:val="nil"/>
              <w:left w:val="nil"/>
              <w:bottom w:val="nil"/>
              <w:right w:val="nil"/>
            </w:tcBorders>
          </w:tcPr>
          <w:p w14:paraId="60F5793A"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17A47CE" w14:textId="77777777" w:rsidTr="00911011">
        <w:trPr>
          <w:cantSplit/>
        </w:trPr>
        <w:tc>
          <w:tcPr>
            <w:tcW w:w="1076" w:type="dxa"/>
            <w:tcBorders>
              <w:top w:val="nil"/>
              <w:left w:val="nil"/>
              <w:bottom w:val="nil"/>
              <w:right w:val="nil"/>
            </w:tcBorders>
          </w:tcPr>
          <w:p w14:paraId="4B7526EE"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61(2)</w:t>
            </w:r>
          </w:p>
        </w:tc>
        <w:tc>
          <w:tcPr>
            <w:tcW w:w="6353" w:type="dxa"/>
            <w:tcBorders>
              <w:top w:val="nil"/>
              <w:left w:val="nil"/>
              <w:bottom w:val="nil"/>
              <w:right w:val="nil"/>
            </w:tcBorders>
          </w:tcPr>
          <w:p w14:paraId="68635824"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at intersection when traffic lights or arrows change to yellow or red</w:t>
            </w:r>
          </w:p>
        </w:tc>
        <w:tc>
          <w:tcPr>
            <w:tcW w:w="1356" w:type="dxa"/>
            <w:tcBorders>
              <w:top w:val="nil"/>
              <w:left w:val="nil"/>
              <w:bottom w:val="nil"/>
              <w:right w:val="nil"/>
            </w:tcBorders>
          </w:tcPr>
          <w:p w14:paraId="46395B8F"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EBB0DC2" w14:textId="77777777" w:rsidTr="00911011">
        <w:trPr>
          <w:cantSplit/>
        </w:trPr>
        <w:tc>
          <w:tcPr>
            <w:tcW w:w="1076" w:type="dxa"/>
            <w:tcBorders>
              <w:top w:val="nil"/>
              <w:left w:val="nil"/>
              <w:bottom w:val="nil"/>
              <w:right w:val="nil"/>
            </w:tcBorders>
          </w:tcPr>
          <w:p w14:paraId="6B216EEB"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62(1)</w:t>
            </w:r>
          </w:p>
        </w:tc>
        <w:tc>
          <w:tcPr>
            <w:tcW w:w="6353" w:type="dxa"/>
            <w:tcBorders>
              <w:top w:val="nil"/>
              <w:left w:val="nil"/>
              <w:bottom w:val="nil"/>
              <w:right w:val="nil"/>
            </w:tcBorders>
          </w:tcPr>
          <w:p w14:paraId="7CA91957"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turning at intersection with traffic lights</w:t>
            </w:r>
          </w:p>
        </w:tc>
        <w:tc>
          <w:tcPr>
            <w:tcW w:w="1356" w:type="dxa"/>
            <w:tcBorders>
              <w:top w:val="nil"/>
              <w:left w:val="nil"/>
              <w:bottom w:val="nil"/>
              <w:right w:val="nil"/>
            </w:tcBorders>
          </w:tcPr>
          <w:p w14:paraId="7E3E1510"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12FAC61" w14:textId="77777777" w:rsidTr="00911011">
        <w:trPr>
          <w:cantSplit/>
        </w:trPr>
        <w:tc>
          <w:tcPr>
            <w:tcW w:w="1076" w:type="dxa"/>
            <w:tcBorders>
              <w:top w:val="nil"/>
              <w:left w:val="nil"/>
              <w:bottom w:val="nil"/>
              <w:right w:val="nil"/>
            </w:tcBorders>
          </w:tcPr>
          <w:p w14:paraId="590BAA8F"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63(2)</w:t>
            </w:r>
          </w:p>
        </w:tc>
        <w:tc>
          <w:tcPr>
            <w:tcW w:w="6353" w:type="dxa"/>
            <w:tcBorders>
              <w:top w:val="nil"/>
              <w:left w:val="nil"/>
              <w:bottom w:val="nil"/>
              <w:right w:val="nil"/>
            </w:tcBorders>
          </w:tcPr>
          <w:p w14:paraId="2F9B1D0C"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intersection with traffic lights not operating or only partly operating—where traffic light</w:t>
            </w:r>
            <w:r w:rsidRPr="002A3021">
              <w:rPr>
                <w:rFonts w:eastAsia="Times New Roman"/>
                <w:i/>
                <w:iCs/>
                <w:color w:val="000000"/>
                <w:sz w:val="20"/>
                <w:szCs w:val="20"/>
                <w:lang w:eastAsia="en-AU"/>
                <w14:ligatures w14:val="standardContextual"/>
              </w:rPr>
              <w:noBreakHyphen/>
              <w:t>stop sign</w:t>
            </w:r>
          </w:p>
        </w:tc>
        <w:tc>
          <w:tcPr>
            <w:tcW w:w="1356" w:type="dxa"/>
            <w:tcBorders>
              <w:top w:val="nil"/>
              <w:left w:val="nil"/>
              <w:bottom w:val="nil"/>
              <w:right w:val="nil"/>
            </w:tcBorders>
          </w:tcPr>
          <w:p w14:paraId="6CB61AD1"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6E4AA512" w14:textId="77777777" w:rsidTr="00911011">
        <w:trPr>
          <w:cantSplit/>
        </w:trPr>
        <w:tc>
          <w:tcPr>
            <w:tcW w:w="1076" w:type="dxa"/>
            <w:tcBorders>
              <w:top w:val="nil"/>
              <w:left w:val="nil"/>
              <w:bottom w:val="nil"/>
              <w:right w:val="nil"/>
            </w:tcBorders>
          </w:tcPr>
          <w:p w14:paraId="3CF4C0CF"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63(3)</w:t>
            </w:r>
          </w:p>
        </w:tc>
        <w:tc>
          <w:tcPr>
            <w:tcW w:w="6353" w:type="dxa"/>
            <w:tcBorders>
              <w:top w:val="nil"/>
              <w:left w:val="nil"/>
              <w:bottom w:val="nil"/>
              <w:right w:val="nil"/>
            </w:tcBorders>
          </w:tcPr>
          <w:p w14:paraId="14958830"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intersection with traffic lights not operating or only partly operating—where no traffic light</w:t>
            </w:r>
            <w:r w:rsidRPr="002A3021">
              <w:rPr>
                <w:rFonts w:eastAsia="Times New Roman"/>
                <w:i/>
                <w:iCs/>
                <w:color w:val="000000"/>
                <w:sz w:val="20"/>
                <w:szCs w:val="20"/>
                <w:lang w:eastAsia="en-AU"/>
                <w14:ligatures w14:val="standardContextual"/>
              </w:rPr>
              <w:noBreakHyphen/>
              <w:t>stop sign</w:t>
            </w:r>
          </w:p>
        </w:tc>
        <w:tc>
          <w:tcPr>
            <w:tcW w:w="1356" w:type="dxa"/>
            <w:tcBorders>
              <w:top w:val="nil"/>
              <w:left w:val="nil"/>
              <w:bottom w:val="nil"/>
              <w:right w:val="nil"/>
            </w:tcBorders>
          </w:tcPr>
          <w:p w14:paraId="47965BC0"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2672B01" w14:textId="77777777" w:rsidTr="00911011">
        <w:trPr>
          <w:cantSplit/>
        </w:trPr>
        <w:tc>
          <w:tcPr>
            <w:tcW w:w="1076" w:type="dxa"/>
            <w:tcBorders>
              <w:top w:val="nil"/>
              <w:left w:val="nil"/>
              <w:bottom w:val="nil"/>
              <w:right w:val="nil"/>
            </w:tcBorders>
          </w:tcPr>
          <w:p w14:paraId="40AB98F4"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64</w:t>
            </w:r>
          </w:p>
        </w:tc>
        <w:tc>
          <w:tcPr>
            <w:tcW w:w="6353" w:type="dxa"/>
            <w:tcBorders>
              <w:top w:val="nil"/>
              <w:left w:val="nil"/>
              <w:bottom w:val="nil"/>
              <w:right w:val="nil"/>
            </w:tcBorders>
          </w:tcPr>
          <w:p w14:paraId="12179465"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flashing yellow traffic arrow at intersection</w:t>
            </w:r>
          </w:p>
        </w:tc>
        <w:tc>
          <w:tcPr>
            <w:tcW w:w="1356" w:type="dxa"/>
            <w:tcBorders>
              <w:top w:val="nil"/>
              <w:left w:val="nil"/>
              <w:bottom w:val="nil"/>
              <w:right w:val="nil"/>
            </w:tcBorders>
          </w:tcPr>
          <w:p w14:paraId="2DA4B2AC"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ED29917" w14:textId="77777777" w:rsidTr="00911011">
        <w:trPr>
          <w:cantSplit/>
        </w:trPr>
        <w:tc>
          <w:tcPr>
            <w:tcW w:w="1076" w:type="dxa"/>
            <w:tcBorders>
              <w:top w:val="nil"/>
              <w:left w:val="nil"/>
              <w:bottom w:val="nil"/>
              <w:right w:val="nil"/>
            </w:tcBorders>
          </w:tcPr>
          <w:p w14:paraId="6AE999E1"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65(2)</w:t>
            </w:r>
          </w:p>
        </w:tc>
        <w:tc>
          <w:tcPr>
            <w:tcW w:w="6353" w:type="dxa"/>
            <w:tcBorders>
              <w:top w:val="nil"/>
              <w:left w:val="nil"/>
              <w:bottom w:val="nil"/>
              <w:right w:val="nil"/>
            </w:tcBorders>
          </w:tcPr>
          <w:p w14:paraId="1EC148BF"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marked foot crossing (except at intersection) with flashing yellow traffic light</w:t>
            </w:r>
          </w:p>
        </w:tc>
        <w:tc>
          <w:tcPr>
            <w:tcW w:w="1356" w:type="dxa"/>
            <w:tcBorders>
              <w:top w:val="nil"/>
              <w:left w:val="nil"/>
              <w:bottom w:val="nil"/>
              <w:right w:val="nil"/>
            </w:tcBorders>
          </w:tcPr>
          <w:p w14:paraId="78109289"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2E13672" w14:textId="77777777" w:rsidTr="00911011">
        <w:trPr>
          <w:cantSplit/>
        </w:trPr>
        <w:tc>
          <w:tcPr>
            <w:tcW w:w="1076" w:type="dxa"/>
            <w:tcBorders>
              <w:top w:val="nil"/>
              <w:left w:val="nil"/>
              <w:bottom w:val="nil"/>
              <w:right w:val="nil"/>
            </w:tcBorders>
          </w:tcPr>
          <w:p w14:paraId="6047E2FE"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66(1)</w:t>
            </w:r>
          </w:p>
        </w:tc>
        <w:tc>
          <w:tcPr>
            <w:tcW w:w="6353" w:type="dxa"/>
            <w:tcBorders>
              <w:top w:val="nil"/>
              <w:left w:val="nil"/>
              <w:bottom w:val="nil"/>
              <w:right w:val="nil"/>
            </w:tcBorders>
          </w:tcPr>
          <w:p w14:paraId="40DC09BB"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twin red lights (except at level crossing)</w:t>
            </w:r>
          </w:p>
        </w:tc>
        <w:tc>
          <w:tcPr>
            <w:tcW w:w="1356" w:type="dxa"/>
            <w:tcBorders>
              <w:top w:val="nil"/>
              <w:left w:val="nil"/>
              <w:bottom w:val="nil"/>
              <w:right w:val="nil"/>
            </w:tcBorders>
          </w:tcPr>
          <w:p w14:paraId="546E3482"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12CC4AAA" w14:textId="77777777" w:rsidTr="00911011">
        <w:trPr>
          <w:cantSplit/>
        </w:trPr>
        <w:tc>
          <w:tcPr>
            <w:tcW w:w="1076" w:type="dxa"/>
            <w:tcBorders>
              <w:top w:val="nil"/>
              <w:left w:val="nil"/>
              <w:bottom w:val="nil"/>
              <w:right w:val="nil"/>
            </w:tcBorders>
          </w:tcPr>
          <w:p w14:paraId="34F27760"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66(4)</w:t>
            </w:r>
          </w:p>
        </w:tc>
        <w:tc>
          <w:tcPr>
            <w:tcW w:w="6353" w:type="dxa"/>
            <w:tcBorders>
              <w:top w:val="nil"/>
              <w:left w:val="nil"/>
              <w:bottom w:val="nil"/>
              <w:right w:val="nil"/>
            </w:tcBorders>
          </w:tcPr>
          <w:p w14:paraId="54DA6E0C"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after stopping for twin red lights (except at level crossing)</w:t>
            </w:r>
          </w:p>
        </w:tc>
        <w:tc>
          <w:tcPr>
            <w:tcW w:w="1356" w:type="dxa"/>
            <w:tcBorders>
              <w:top w:val="nil"/>
              <w:left w:val="nil"/>
              <w:bottom w:val="nil"/>
              <w:right w:val="nil"/>
            </w:tcBorders>
          </w:tcPr>
          <w:p w14:paraId="5ABCA9D6"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770B9543" w14:textId="77777777" w:rsidTr="00911011">
        <w:trPr>
          <w:cantSplit/>
        </w:trPr>
        <w:tc>
          <w:tcPr>
            <w:tcW w:w="1076" w:type="dxa"/>
            <w:tcBorders>
              <w:top w:val="nil"/>
              <w:left w:val="nil"/>
              <w:bottom w:val="nil"/>
              <w:right w:val="nil"/>
            </w:tcBorders>
          </w:tcPr>
          <w:p w14:paraId="42592005"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67(1)</w:t>
            </w:r>
          </w:p>
        </w:tc>
        <w:tc>
          <w:tcPr>
            <w:tcW w:w="6353" w:type="dxa"/>
            <w:tcBorders>
              <w:top w:val="nil"/>
              <w:left w:val="nil"/>
              <w:bottom w:val="nil"/>
              <w:right w:val="nil"/>
            </w:tcBorders>
          </w:tcPr>
          <w:p w14:paraId="702E257F"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and give way at stop sign or stop line at intersection without traffic lights</w:t>
            </w:r>
          </w:p>
        </w:tc>
        <w:tc>
          <w:tcPr>
            <w:tcW w:w="1356" w:type="dxa"/>
            <w:tcBorders>
              <w:top w:val="nil"/>
              <w:left w:val="nil"/>
              <w:bottom w:val="nil"/>
              <w:right w:val="nil"/>
            </w:tcBorders>
          </w:tcPr>
          <w:p w14:paraId="3561767E"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354A1779" w14:textId="77777777" w:rsidTr="00911011">
        <w:trPr>
          <w:cantSplit/>
        </w:trPr>
        <w:tc>
          <w:tcPr>
            <w:tcW w:w="1076" w:type="dxa"/>
            <w:tcBorders>
              <w:top w:val="nil"/>
              <w:left w:val="nil"/>
              <w:bottom w:val="nil"/>
              <w:right w:val="nil"/>
            </w:tcBorders>
          </w:tcPr>
          <w:p w14:paraId="126A3536"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68(1)</w:t>
            </w:r>
          </w:p>
        </w:tc>
        <w:tc>
          <w:tcPr>
            <w:tcW w:w="6353" w:type="dxa"/>
            <w:tcBorders>
              <w:top w:val="nil"/>
              <w:left w:val="nil"/>
              <w:bottom w:val="nil"/>
              <w:right w:val="nil"/>
            </w:tcBorders>
          </w:tcPr>
          <w:p w14:paraId="0F88147D"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and give way at stop sign or stop line at other place</w:t>
            </w:r>
          </w:p>
        </w:tc>
        <w:tc>
          <w:tcPr>
            <w:tcW w:w="1356" w:type="dxa"/>
            <w:tcBorders>
              <w:top w:val="nil"/>
              <w:left w:val="nil"/>
              <w:bottom w:val="nil"/>
              <w:right w:val="nil"/>
            </w:tcBorders>
          </w:tcPr>
          <w:p w14:paraId="7286B7E7"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7EC81816" w14:textId="77777777" w:rsidTr="00911011">
        <w:trPr>
          <w:cantSplit/>
        </w:trPr>
        <w:tc>
          <w:tcPr>
            <w:tcW w:w="1076" w:type="dxa"/>
            <w:tcBorders>
              <w:top w:val="nil"/>
              <w:left w:val="nil"/>
              <w:bottom w:val="nil"/>
              <w:right w:val="nil"/>
            </w:tcBorders>
          </w:tcPr>
          <w:p w14:paraId="76734EDA"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69(1)</w:t>
            </w:r>
          </w:p>
        </w:tc>
        <w:tc>
          <w:tcPr>
            <w:tcW w:w="6353" w:type="dxa"/>
            <w:tcBorders>
              <w:top w:val="nil"/>
              <w:left w:val="nil"/>
              <w:bottom w:val="nil"/>
              <w:right w:val="nil"/>
            </w:tcBorders>
          </w:tcPr>
          <w:p w14:paraId="40A4EF7D"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give way sign or give way line at intersection (except roundabout)</w:t>
            </w:r>
          </w:p>
        </w:tc>
        <w:tc>
          <w:tcPr>
            <w:tcW w:w="1356" w:type="dxa"/>
            <w:tcBorders>
              <w:top w:val="nil"/>
              <w:left w:val="nil"/>
              <w:bottom w:val="nil"/>
              <w:right w:val="nil"/>
            </w:tcBorders>
          </w:tcPr>
          <w:p w14:paraId="128476A3"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14F8102F" w14:textId="77777777" w:rsidTr="00911011">
        <w:trPr>
          <w:cantSplit/>
        </w:trPr>
        <w:tc>
          <w:tcPr>
            <w:tcW w:w="1076" w:type="dxa"/>
            <w:tcBorders>
              <w:top w:val="nil"/>
              <w:left w:val="nil"/>
              <w:bottom w:val="nil"/>
              <w:right w:val="nil"/>
            </w:tcBorders>
          </w:tcPr>
          <w:p w14:paraId="5D511221"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70</w:t>
            </w:r>
          </w:p>
        </w:tc>
        <w:tc>
          <w:tcPr>
            <w:tcW w:w="6353" w:type="dxa"/>
            <w:tcBorders>
              <w:top w:val="nil"/>
              <w:left w:val="nil"/>
              <w:bottom w:val="nil"/>
              <w:right w:val="nil"/>
            </w:tcBorders>
          </w:tcPr>
          <w:p w14:paraId="0A316BDC"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give way sign at bridge or length of narrow road</w:t>
            </w:r>
          </w:p>
        </w:tc>
        <w:tc>
          <w:tcPr>
            <w:tcW w:w="1356" w:type="dxa"/>
            <w:tcBorders>
              <w:top w:val="nil"/>
              <w:left w:val="nil"/>
              <w:bottom w:val="nil"/>
              <w:right w:val="nil"/>
            </w:tcBorders>
          </w:tcPr>
          <w:p w14:paraId="250391AB"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2159575C" w14:textId="77777777" w:rsidTr="00911011">
        <w:trPr>
          <w:cantSplit/>
        </w:trPr>
        <w:tc>
          <w:tcPr>
            <w:tcW w:w="1076" w:type="dxa"/>
            <w:tcBorders>
              <w:top w:val="nil"/>
              <w:left w:val="nil"/>
              <w:bottom w:val="nil"/>
              <w:right w:val="nil"/>
            </w:tcBorders>
          </w:tcPr>
          <w:p w14:paraId="0B91A45C"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71(1)</w:t>
            </w:r>
          </w:p>
        </w:tc>
        <w:tc>
          <w:tcPr>
            <w:tcW w:w="6353" w:type="dxa"/>
            <w:tcBorders>
              <w:top w:val="nil"/>
              <w:left w:val="nil"/>
              <w:bottom w:val="nil"/>
              <w:right w:val="nil"/>
            </w:tcBorders>
          </w:tcPr>
          <w:p w14:paraId="6D5B0342"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give way sign or give way line at other place</w:t>
            </w:r>
          </w:p>
        </w:tc>
        <w:tc>
          <w:tcPr>
            <w:tcW w:w="1356" w:type="dxa"/>
            <w:tcBorders>
              <w:top w:val="nil"/>
              <w:left w:val="nil"/>
              <w:bottom w:val="nil"/>
              <w:right w:val="nil"/>
            </w:tcBorders>
          </w:tcPr>
          <w:p w14:paraId="5798F0C3"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6632D28A" w14:textId="77777777" w:rsidTr="00911011">
        <w:trPr>
          <w:cantSplit/>
        </w:trPr>
        <w:tc>
          <w:tcPr>
            <w:tcW w:w="1076" w:type="dxa"/>
            <w:tcBorders>
              <w:top w:val="nil"/>
              <w:left w:val="nil"/>
              <w:bottom w:val="nil"/>
              <w:right w:val="nil"/>
            </w:tcBorders>
          </w:tcPr>
          <w:p w14:paraId="7B793B2F"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72(1)</w:t>
            </w:r>
          </w:p>
        </w:tc>
        <w:tc>
          <w:tcPr>
            <w:tcW w:w="6353" w:type="dxa"/>
            <w:tcBorders>
              <w:top w:val="nil"/>
              <w:left w:val="nil"/>
              <w:bottom w:val="nil"/>
              <w:right w:val="nil"/>
            </w:tcBorders>
          </w:tcPr>
          <w:p w14:paraId="74E08750"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intersection (except T</w:t>
            </w:r>
            <w:r w:rsidRPr="002A3021">
              <w:rPr>
                <w:rFonts w:eastAsia="Times New Roman"/>
                <w:i/>
                <w:iCs/>
                <w:color w:val="000000"/>
                <w:sz w:val="20"/>
                <w:szCs w:val="20"/>
                <w:lang w:eastAsia="en-AU"/>
                <w14:ligatures w14:val="standardContextual"/>
              </w:rPr>
              <w:noBreakHyphen/>
              <w:t>intersection or roundabout)</w:t>
            </w:r>
          </w:p>
        </w:tc>
        <w:tc>
          <w:tcPr>
            <w:tcW w:w="1356" w:type="dxa"/>
            <w:tcBorders>
              <w:top w:val="nil"/>
              <w:left w:val="nil"/>
              <w:bottom w:val="nil"/>
              <w:right w:val="nil"/>
            </w:tcBorders>
          </w:tcPr>
          <w:p w14:paraId="64B3F109"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0B1D5E55" w14:textId="77777777" w:rsidTr="00911011">
        <w:trPr>
          <w:cantSplit/>
        </w:trPr>
        <w:tc>
          <w:tcPr>
            <w:tcW w:w="1076" w:type="dxa"/>
            <w:tcBorders>
              <w:top w:val="nil"/>
              <w:left w:val="nil"/>
              <w:bottom w:val="nil"/>
              <w:right w:val="nil"/>
            </w:tcBorders>
          </w:tcPr>
          <w:p w14:paraId="46C3E408"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73(1)</w:t>
            </w:r>
          </w:p>
        </w:tc>
        <w:tc>
          <w:tcPr>
            <w:tcW w:w="6353" w:type="dxa"/>
            <w:tcBorders>
              <w:top w:val="nil"/>
              <w:left w:val="nil"/>
              <w:bottom w:val="nil"/>
              <w:right w:val="nil"/>
            </w:tcBorders>
          </w:tcPr>
          <w:p w14:paraId="640FCFF6"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T</w:t>
            </w:r>
            <w:r w:rsidRPr="002A3021">
              <w:rPr>
                <w:rFonts w:eastAsia="Times New Roman"/>
                <w:i/>
                <w:iCs/>
                <w:color w:val="000000"/>
                <w:sz w:val="20"/>
                <w:szCs w:val="20"/>
                <w:lang w:eastAsia="en-AU"/>
                <w14:ligatures w14:val="standardContextual"/>
              </w:rPr>
              <w:noBreakHyphen/>
              <w:t>intersection</w:t>
            </w:r>
          </w:p>
        </w:tc>
        <w:tc>
          <w:tcPr>
            <w:tcW w:w="1356" w:type="dxa"/>
            <w:tcBorders>
              <w:top w:val="nil"/>
              <w:left w:val="nil"/>
              <w:bottom w:val="nil"/>
              <w:right w:val="nil"/>
            </w:tcBorders>
          </w:tcPr>
          <w:p w14:paraId="4DA9EE07"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1D0E13C4" w14:textId="77777777" w:rsidTr="00911011">
        <w:trPr>
          <w:cantSplit/>
        </w:trPr>
        <w:tc>
          <w:tcPr>
            <w:tcW w:w="1076" w:type="dxa"/>
            <w:tcBorders>
              <w:top w:val="nil"/>
              <w:left w:val="nil"/>
              <w:bottom w:val="nil"/>
              <w:right w:val="nil"/>
            </w:tcBorders>
          </w:tcPr>
          <w:p w14:paraId="00B8A9EA"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74(1)</w:t>
            </w:r>
          </w:p>
        </w:tc>
        <w:tc>
          <w:tcPr>
            <w:tcW w:w="6353" w:type="dxa"/>
            <w:tcBorders>
              <w:top w:val="nil"/>
              <w:left w:val="nil"/>
              <w:bottom w:val="nil"/>
              <w:right w:val="nil"/>
            </w:tcBorders>
          </w:tcPr>
          <w:p w14:paraId="475B30FA"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entering road from road</w:t>
            </w:r>
            <w:r w:rsidRPr="002A3021">
              <w:rPr>
                <w:rFonts w:eastAsia="Times New Roman"/>
                <w:i/>
                <w:iCs/>
                <w:color w:val="000000"/>
                <w:sz w:val="20"/>
                <w:szCs w:val="20"/>
                <w:lang w:eastAsia="en-AU"/>
                <w14:ligatures w14:val="standardContextual"/>
              </w:rPr>
              <w:noBreakHyphen/>
              <w:t>related area or adjacent land</w:t>
            </w:r>
          </w:p>
        </w:tc>
        <w:tc>
          <w:tcPr>
            <w:tcW w:w="1356" w:type="dxa"/>
            <w:tcBorders>
              <w:top w:val="nil"/>
              <w:left w:val="nil"/>
              <w:bottom w:val="nil"/>
              <w:right w:val="nil"/>
            </w:tcBorders>
          </w:tcPr>
          <w:p w14:paraId="1072BECA"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1D169C42" w14:textId="77777777" w:rsidTr="00911011">
        <w:trPr>
          <w:cantSplit/>
        </w:trPr>
        <w:tc>
          <w:tcPr>
            <w:tcW w:w="1076" w:type="dxa"/>
            <w:tcBorders>
              <w:top w:val="nil"/>
              <w:left w:val="nil"/>
              <w:bottom w:val="nil"/>
              <w:right w:val="nil"/>
            </w:tcBorders>
          </w:tcPr>
          <w:p w14:paraId="40190B83"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75(1)</w:t>
            </w:r>
          </w:p>
        </w:tc>
        <w:tc>
          <w:tcPr>
            <w:tcW w:w="6353" w:type="dxa"/>
            <w:tcBorders>
              <w:top w:val="nil"/>
              <w:left w:val="nil"/>
              <w:bottom w:val="nil"/>
              <w:right w:val="nil"/>
            </w:tcBorders>
          </w:tcPr>
          <w:p w14:paraId="1BDB7B1B"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entering road</w:t>
            </w:r>
            <w:r w:rsidRPr="002A3021">
              <w:rPr>
                <w:rFonts w:eastAsia="Times New Roman"/>
                <w:i/>
                <w:iCs/>
                <w:color w:val="000000"/>
                <w:sz w:val="20"/>
                <w:szCs w:val="20"/>
                <w:lang w:eastAsia="en-AU"/>
                <w14:ligatures w14:val="standardContextual"/>
              </w:rPr>
              <w:noBreakHyphen/>
              <w:t>related area or adjacent land from road</w:t>
            </w:r>
          </w:p>
        </w:tc>
        <w:tc>
          <w:tcPr>
            <w:tcW w:w="1356" w:type="dxa"/>
            <w:tcBorders>
              <w:top w:val="nil"/>
              <w:left w:val="nil"/>
              <w:bottom w:val="nil"/>
              <w:right w:val="nil"/>
            </w:tcBorders>
          </w:tcPr>
          <w:p w14:paraId="4E0E7E78"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4E9C1E61" w14:textId="77777777" w:rsidTr="00911011">
        <w:trPr>
          <w:cantSplit/>
        </w:trPr>
        <w:tc>
          <w:tcPr>
            <w:tcW w:w="1076" w:type="dxa"/>
            <w:tcBorders>
              <w:top w:val="nil"/>
              <w:left w:val="nil"/>
              <w:bottom w:val="nil"/>
              <w:right w:val="nil"/>
            </w:tcBorders>
          </w:tcPr>
          <w:p w14:paraId="07756194"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76(1)</w:t>
            </w:r>
          </w:p>
        </w:tc>
        <w:tc>
          <w:tcPr>
            <w:tcW w:w="6353" w:type="dxa"/>
            <w:tcBorders>
              <w:top w:val="nil"/>
              <w:left w:val="nil"/>
              <w:bottom w:val="nil"/>
              <w:right w:val="nil"/>
            </w:tcBorders>
          </w:tcPr>
          <w:p w14:paraId="3D2D16D3"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Moving into path of tram travelling in tram lane etc</w:t>
            </w:r>
          </w:p>
        </w:tc>
        <w:tc>
          <w:tcPr>
            <w:tcW w:w="1356" w:type="dxa"/>
            <w:tcBorders>
              <w:top w:val="nil"/>
              <w:left w:val="nil"/>
              <w:bottom w:val="nil"/>
              <w:right w:val="nil"/>
            </w:tcBorders>
          </w:tcPr>
          <w:p w14:paraId="05D16F01"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52FD0D02" w14:textId="77777777" w:rsidTr="00911011">
        <w:trPr>
          <w:cantSplit/>
        </w:trPr>
        <w:tc>
          <w:tcPr>
            <w:tcW w:w="1076" w:type="dxa"/>
            <w:tcBorders>
              <w:top w:val="nil"/>
              <w:left w:val="nil"/>
              <w:bottom w:val="nil"/>
              <w:right w:val="nil"/>
            </w:tcBorders>
          </w:tcPr>
          <w:p w14:paraId="56463EBC"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76(2)</w:t>
            </w:r>
          </w:p>
        </w:tc>
        <w:tc>
          <w:tcPr>
            <w:tcW w:w="6353" w:type="dxa"/>
            <w:tcBorders>
              <w:top w:val="nil"/>
              <w:left w:val="nil"/>
              <w:bottom w:val="nil"/>
              <w:right w:val="nil"/>
            </w:tcBorders>
          </w:tcPr>
          <w:p w14:paraId="5FE1A7C8"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move out of path of tram travelling in tram lane etc</w:t>
            </w:r>
          </w:p>
        </w:tc>
        <w:tc>
          <w:tcPr>
            <w:tcW w:w="1356" w:type="dxa"/>
            <w:tcBorders>
              <w:top w:val="nil"/>
              <w:left w:val="nil"/>
              <w:bottom w:val="nil"/>
              <w:right w:val="nil"/>
            </w:tcBorders>
          </w:tcPr>
          <w:p w14:paraId="6EEE9CAA"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6C66C110" w14:textId="77777777" w:rsidTr="00911011">
        <w:trPr>
          <w:cantSplit/>
        </w:trPr>
        <w:tc>
          <w:tcPr>
            <w:tcW w:w="1076" w:type="dxa"/>
            <w:tcBorders>
              <w:top w:val="nil"/>
              <w:left w:val="nil"/>
              <w:bottom w:val="nil"/>
              <w:right w:val="nil"/>
            </w:tcBorders>
          </w:tcPr>
          <w:p w14:paraId="50E8EB41"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77(1)</w:t>
            </w:r>
          </w:p>
        </w:tc>
        <w:tc>
          <w:tcPr>
            <w:tcW w:w="6353" w:type="dxa"/>
            <w:tcBorders>
              <w:top w:val="nil"/>
              <w:left w:val="nil"/>
              <w:bottom w:val="nil"/>
              <w:right w:val="nil"/>
            </w:tcBorders>
          </w:tcPr>
          <w:p w14:paraId="1295FB2D"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to bus</w:t>
            </w:r>
          </w:p>
        </w:tc>
        <w:tc>
          <w:tcPr>
            <w:tcW w:w="1356" w:type="dxa"/>
            <w:tcBorders>
              <w:top w:val="nil"/>
              <w:left w:val="nil"/>
              <w:bottom w:val="nil"/>
              <w:right w:val="nil"/>
            </w:tcBorders>
          </w:tcPr>
          <w:p w14:paraId="1ED1A9AB" w14:textId="77777777" w:rsidR="00F27516" w:rsidRPr="002A3021" w:rsidRDefault="00F27516" w:rsidP="00C47401">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F27516" w:rsidRPr="002A3021" w14:paraId="075C0D33" w14:textId="77777777" w:rsidTr="00911011">
        <w:trPr>
          <w:cantSplit/>
        </w:trPr>
        <w:tc>
          <w:tcPr>
            <w:tcW w:w="1076" w:type="dxa"/>
            <w:tcBorders>
              <w:top w:val="nil"/>
              <w:left w:val="nil"/>
              <w:bottom w:val="nil"/>
              <w:right w:val="nil"/>
            </w:tcBorders>
          </w:tcPr>
          <w:p w14:paraId="3D0968A4" w14:textId="77777777" w:rsidR="00F27516" w:rsidRPr="002A3021" w:rsidRDefault="00F27516" w:rsidP="00F27516">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78(1)</w:t>
            </w:r>
          </w:p>
        </w:tc>
        <w:tc>
          <w:tcPr>
            <w:tcW w:w="6353" w:type="dxa"/>
            <w:tcBorders>
              <w:top w:val="nil"/>
              <w:left w:val="nil"/>
              <w:bottom w:val="nil"/>
              <w:right w:val="nil"/>
            </w:tcBorders>
          </w:tcPr>
          <w:p w14:paraId="2D002FB9" w14:textId="77777777" w:rsidR="00F27516" w:rsidRPr="002A3021" w:rsidRDefault="00F27516" w:rsidP="00C47401">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Moving into path of police or emergency vehicle</w:t>
            </w:r>
          </w:p>
        </w:tc>
        <w:tc>
          <w:tcPr>
            <w:tcW w:w="1356" w:type="dxa"/>
            <w:tcBorders>
              <w:top w:val="nil"/>
              <w:left w:val="nil"/>
              <w:bottom w:val="nil"/>
              <w:right w:val="nil"/>
            </w:tcBorders>
          </w:tcPr>
          <w:p w14:paraId="7B33A55E" w14:textId="77777777" w:rsidR="00F27516" w:rsidRPr="002A3021" w:rsidRDefault="00F27516" w:rsidP="00F27516">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698ED669" w14:textId="77777777" w:rsidR="004311B6" w:rsidRDefault="004311B6" w:rsidP="00E07BB7">
      <w:pPr>
        <w:spacing w:line="80" w:lineRule="exact"/>
      </w:pPr>
      <w:r>
        <w:br w:type="page"/>
      </w:r>
    </w:p>
    <w:tbl>
      <w:tblPr>
        <w:tblW w:w="0" w:type="auto"/>
        <w:tblLayout w:type="fixed"/>
        <w:tblCellMar>
          <w:left w:w="60" w:type="dxa"/>
          <w:right w:w="60" w:type="dxa"/>
        </w:tblCellMar>
        <w:tblLook w:val="0000" w:firstRow="0" w:lastRow="0" w:firstColumn="0" w:lastColumn="0" w:noHBand="0" w:noVBand="0"/>
      </w:tblPr>
      <w:tblGrid>
        <w:gridCol w:w="1076"/>
        <w:gridCol w:w="6353"/>
        <w:gridCol w:w="1356"/>
      </w:tblGrid>
      <w:tr w:rsidR="00C47401" w:rsidRPr="002A3021" w14:paraId="39F97429" w14:textId="77777777" w:rsidTr="00C47401">
        <w:trPr>
          <w:cantSplit/>
        </w:trPr>
        <w:tc>
          <w:tcPr>
            <w:tcW w:w="1076" w:type="dxa"/>
            <w:tcBorders>
              <w:top w:val="nil"/>
              <w:left w:val="nil"/>
              <w:bottom w:val="single" w:sz="4" w:space="0" w:color="auto"/>
              <w:right w:val="nil"/>
            </w:tcBorders>
          </w:tcPr>
          <w:p w14:paraId="71730F5A" w14:textId="5C02BCAD"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53" w:type="dxa"/>
            <w:tcBorders>
              <w:top w:val="nil"/>
              <w:left w:val="nil"/>
              <w:bottom w:val="single" w:sz="4" w:space="0" w:color="auto"/>
              <w:right w:val="nil"/>
            </w:tcBorders>
          </w:tcPr>
          <w:p w14:paraId="6620E7E1" w14:textId="700D273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3" w:history="1">
              <w:r w:rsidRPr="002A3021">
                <w:rPr>
                  <w:rFonts w:eastAsia="Times New Roman"/>
                  <w:b/>
                  <w:bCs/>
                  <w:i/>
                  <w:iCs/>
                  <w:color w:val="000000"/>
                  <w:sz w:val="20"/>
                  <w:szCs w:val="20"/>
                  <w:lang w:eastAsia="en-AU"/>
                  <w14:ligatures w14:val="standardContextual"/>
                </w:rPr>
                <w:t>Australian Road Rules</w:t>
              </w:r>
            </w:hyperlink>
          </w:p>
        </w:tc>
        <w:tc>
          <w:tcPr>
            <w:tcW w:w="1356" w:type="dxa"/>
            <w:tcBorders>
              <w:top w:val="nil"/>
              <w:left w:val="nil"/>
              <w:bottom w:val="single" w:sz="4" w:space="0" w:color="auto"/>
              <w:right w:val="nil"/>
            </w:tcBorders>
          </w:tcPr>
          <w:p w14:paraId="176C8A11" w14:textId="43A6582D"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C47401" w:rsidRPr="002A3021" w14:paraId="7FA09606" w14:textId="77777777" w:rsidTr="00C47401">
        <w:trPr>
          <w:cantSplit/>
        </w:trPr>
        <w:tc>
          <w:tcPr>
            <w:tcW w:w="1076" w:type="dxa"/>
            <w:tcBorders>
              <w:top w:val="single" w:sz="4" w:space="0" w:color="auto"/>
              <w:left w:val="nil"/>
              <w:bottom w:val="nil"/>
              <w:right w:val="nil"/>
            </w:tcBorders>
          </w:tcPr>
          <w:p w14:paraId="26C76DAD" w14:textId="38677462"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78(2)</w:t>
            </w:r>
          </w:p>
        </w:tc>
        <w:tc>
          <w:tcPr>
            <w:tcW w:w="6353" w:type="dxa"/>
            <w:tcBorders>
              <w:top w:val="single" w:sz="4" w:space="0" w:color="auto"/>
              <w:left w:val="nil"/>
              <w:bottom w:val="nil"/>
              <w:right w:val="nil"/>
            </w:tcBorders>
          </w:tcPr>
          <w:p w14:paraId="4BC73D72" w14:textId="73E89DB4" w:rsidR="00C47401" w:rsidRPr="002A3021" w:rsidRDefault="00C47401" w:rsidP="00C47401">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move out of path of police or emergency vehicle</w:t>
            </w:r>
          </w:p>
        </w:tc>
        <w:tc>
          <w:tcPr>
            <w:tcW w:w="1356" w:type="dxa"/>
            <w:tcBorders>
              <w:top w:val="single" w:sz="4" w:space="0" w:color="auto"/>
              <w:left w:val="nil"/>
              <w:bottom w:val="nil"/>
              <w:right w:val="nil"/>
            </w:tcBorders>
          </w:tcPr>
          <w:p w14:paraId="358D0FB6" w14:textId="3DF6F4E2"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60C70541" w14:textId="77777777" w:rsidTr="00911011">
        <w:trPr>
          <w:cantSplit/>
        </w:trPr>
        <w:tc>
          <w:tcPr>
            <w:tcW w:w="1076" w:type="dxa"/>
            <w:tcBorders>
              <w:top w:val="nil"/>
              <w:left w:val="nil"/>
              <w:bottom w:val="nil"/>
              <w:right w:val="nil"/>
            </w:tcBorders>
          </w:tcPr>
          <w:p w14:paraId="31EA156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79(1)</w:t>
            </w:r>
          </w:p>
        </w:tc>
        <w:tc>
          <w:tcPr>
            <w:tcW w:w="6353" w:type="dxa"/>
            <w:tcBorders>
              <w:top w:val="nil"/>
              <w:left w:val="nil"/>
              <w:bottom w:val="nil"/>
              <w:right w:val="nil"/>
            </w:tcBorders>
          </w:tcPr>
          <w:p w14:paraId="7C43AEF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to police or emergency vehicle</w:t>
            </w:r>
          </w:p>
        </w:tc>
        <w:tc>
          <w:tcPr>
            <w:tcW w:w="1356" w:type="dxa"/>
            <w:tcBorders>
              <w:top w:val="nil"/>
              <w:left w:val="nil"/>
              <w:bottom w:val="nil"/>
              <w:right w:val="nil"/>
            </w:tcBorders>
          </w:tcPr>
          <w:p w14:paraId="4B9CFDF2"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297A5E3" w14:textId="77777777" w:rsidTr="00911011">
        <w:trPr>
          <w:cantSplit/>
        </w:trPr>
        <w:tc>
          <w:tcPr>
            <w:tcW w:w="1076" w:type="dxa"/>
            <w:tcBorders>
              <w:top w:val="nil"/>
              <w:left w:val="nil"/>
              <w:bottom w:val="nil"/>
              <w:right w:val="nil"/>
            </w:tcBorders>
          </w:tcPr>
          <w:p w14:paraId="4E216E5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80(1)</w:t>
            </w:r>
          </w:p>
        </w:tc>
        <w:tc>
          <w:tcPr>
            <w:tcW w:w="6353" w:type="dxa"/>
            <w:tcBorders>
              <w:top w:val="nil"/>
              <w:left w:val="nil"/>
              <w:bottom w:val="nil"/>
              <w:right w:val="nil"/>
            </w:tcBorders>
          </w:tcPr>
          <w:p w14:paraId="7394119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near children's crossing at speed at which driver cannot stop safely</w:t>
            </w:r>
          </w:p>
        </w:tc>
        <w:tc>
          <w:tcPr>
            <w:tcW w:w="1356" w:type="dxa"/>
            <w:tcBorders>
              <w:top w:val="nil"/>
              <w:left w:val="nil"/>
              <w:bottom w:val="nil"/>
              <w:right w:val="nil"/>
            </w:tcBorders>
          </w:tcPr>
          <w:p w14:paraId="1273E151"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D326026" w14:textId="77777777" w:rsidTr="00911011">
        <w:trPr>
          <w:cantSplit/>
        </w:trPr>
        <w:tc>
          <w:tcPr>
            <w:tcW w:w="1076" w:type="dxa"/>
            <w:tcBorders>
              <w:top w:val="nil"/>
              <w:left w:val="nil"/>
              <w:bottom w:val="nil"/>
              <w:right w:val="nil"/>
            </w:tcBorders>
          </w:tcPr>
          <w:p w14:paraId="0EC3B78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80(2)</w:t>
            </w:r>
          </w:p>
        </w:tc>
        <w:tc>
          <w:tcPr>
            <w:tcW w:w="6353" w:type="dxa"/>
            <w:tcBorders>
              <w:top w:val="nil"/>
              <w:left w:val="nil"/>
              <w:bottom w:val="nil"/>
              <w:right w:val="nil"/>
            </w:tcBorders>
          </w:tcPr>
          <w:p w14:paraId="05657E0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at children's crossing</w:t>
            </w:r>
          </w:p>
        </w:tc>
        <w:tc>
          <w:tcPr>
            <w:tcW w:w="1356" w:type="dxa"/>
            <w:tcBorders>
              <w:top w:val="nil"/>
              <w:left w:val="nil"/>
              <w:bottom w:val="nil"/>
              <w:right w:val="nil"/>
            </w:tcBorders>
          </w:tcPr>
          <w:p w14:paraId="219FDEC8"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2325C76" w14:textId="77777777" w:rsidTr="00911011">
        <w:trPr>
          <w:cantSplit/>
        </w:trPr>
        <w:tc>
          <w:tcPr>
            <w:tcW w:w="1076" w:type="dxa"/>
            <w:tcBorders>
              <w:top w:val="nil"/>
              <w:left w:val="nil"/>
              <w:bottom w:val="nil"/>
              <w:right w:val="nil"/>
            </w:tcBorders>
          </w:tcPr>
          <w:p w14:paraId="609F3BD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80(3)</w:t>
            </w:r>
          </w:p>
        </w:tc>
        <w:tc>
          <w:tcPr>
            <w:tcW w:w="6353" w:type="dxa"/>
            <w:tcBorders>
              <w:top w:val="nil"/>
              <w:left w:val="nil"/>
              <w:bottom w:val="nil"/>
              <w:right w:val="nil"/>
            </w:tcBorders>
          </w:tcPr>
          <w:p w14:paraId="57C77D1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obey hand</w:t>
            </w:r>
            <w:r w:rsidRPr="002A3021">
              <w:rPr>
                <w:rFonts w:eastAsia="Times New Roman"/>
                <w:i/>
                <w:iCs/>
                <w:color w:val="000000"/>
                <w:sz w:val="20"/>
                <w:szCs w:val="20"/>
                <w:lang w:eastAsia="en-AU"/>
                <w14:ligatures w14:val="standardContextual"/>
              </w:rPr>
              <w:noBreakHyphen/>
              <w:t>held stop sign at children's crossing</w:t>
            </w:r>
          </w:p>
        </w:tc>
        <w:tc>
          <w:tcPr>
            <w:tcW w:w="1356" w:type="dxa"/>
            <w:tcBorders>
              <w:top w:val="nil"/>
              <w:left w:val="nil"/>
              <w:bottom w:val="nil"/>
              <w:right w:val="nil"/>
            </w:tcBorders>
          </w:tcPr>
          <w:p w14:paraId="1B17FC2F"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2B1D704D" w14:textId="77777777" w:rsidTr="00911011">
        <w:trPr>
          <w:cantSplit/>
        </w:trPr>
        <w:tc>
          <w:tcPr>
            <w:tcW w:w="1076" w:type="dxa"/>
            <w:tcBorders>
              <w:top w:val="nil"/>
              <w:left w:val="nil"/>
              <w:bottom w:val="nil"/>
              <w:right w:val="nil"/>
            </w:tcBorders>
          </w:tcPr>
          <w:p w14:paraId="6111D5F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80(4)</w:t>
            </w:r>
          </w:p>
        </w:tc>
        <w:tc>
          <w:tcPr>
            <w:tcW w:w="6353" w:type="dxa"/>
            <w:tcBorders>
              <w:top w:val="nil"/>
              <w:left w:val="nil"/>
              <w:bottom w:val="nil"/>
              <w:right w:val="nil"/>
            </w:tcBorders>
          </w:tcPr>
          <w:p w14:paraId="044B0A7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while pedestrian or bicycle rider on or entering children's crossing</w:t>
            </w:r>
          </w:p>
        </w:tc>
        <w:tc>
          <w:tcPr>
            <w:tcW w:w="1356" w:type="dxa"/>
            <w:tcBorders>
              <w:top w:val="nil"/>
              <w:left w:val="nil"/>
              <w:bottom w:val="nil"/>
              <w:right w:val="nil"/>
            </w:tcBorders>
          </w:tcPr>
          <w:p w14:paraId="4DDCCFD1"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DF4650F" w14:textId="77777777" w:rsidTr="00911011">
        <w:trPr>
          <w:cantSplit/>
        </w:trPr>
        <w:tc>
          <w:tcPr>
            <w:tcW w:w="1076" w:type="dxa"/>
            <w:tcBorders>
              <w:top w:val="nil"/>
              <w:left w:val="nil"/>
              <w:bottom w:val="nil"/>
              <w:right w:val="nil"/>
            </w:tcBorders>
          </w:tcPr>
          <w:p w14:paraId="2369F89D"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81(1)</w:t>
            </w:r>
          </w:p>
        </w:tc>
        <w:tc>
          <w:tcPr>
            <w:tcW w:w="6353" w:type="dxa"/>
            <w:tcBorders>
              <w:top w:val="nil"/>
              <w:left w:val="nil"/>
              <w:bottom w:val="nil"/>
              <w:right w:val="nil"/>
            </w:tcBorders>
          </w:tcPr>
          <w:p w14:paraId="3373732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near pedestrian crossing at speed at which driver cannot stop safely</w:t>
            </w:r>
          </w:p>
        </w:tc>
        <w:tc>
          <w:tcPr>
            <w:tcW w:w="1356" w:type="dxa"/>
            <w:tcBorders>
              <w:top w:val="nil"/>
              <w:left w:val="nil"/>
              <w:bottom w:val="nil"/>
              <w:right w:val="nil"/>
            </w:tcBorders>
          </w:tcPr>
          <w:p w14:paraId="6F1684E0"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9D31A96" w14:textId="77777777" w:rsidTr="00911011">
        <w:trPr>
          <w:cantSplit/>
        </w:trPr>
        <w:tc>
          <w:tcPr>
            <w:tcW w:w="1076" w:type="dxa"/>
            <w:tcBorders>
              <w:top w:val="nil"/>
              <w:left w:val="nil"/>
              <w:bottom w:val="nil"/>
              <w:right w:val="nil"/>
            </w:tcBorders>
          </w:tcPr>
          <w:p w14:paraId="33D5C8A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81(2)</w:t>
            </w:r>
          </w:p>
        </w:tc>
        <w:tc>
          <w:tcPr>
            <w:tcW w:w="6353" w:type="dxa"/>
            <w:tcBorders>
              <w:top w:val="nil"/>
              <w:left w:val="nil"/>
              <w:bottom w:val="nil"/>
              <w:right w:val="nil"/>
            </w:tcBorders>
          </w:tcPr>
          <w:p w14:paraId="2B7F0D6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pedestrian crossing</w:t>
            </w:r>
          </w:p>
        </w:tc>
        <w:tc>
          <w:tcPr>
            <w:tcW w:w="1356" w:type="dxa"/>
            <w:tcBorders>
              <w:top w:val="nil"/>
              <w:left w:val="nil"/>
              <w:bottom w:val="nil"/>
              <w:right w:val="nil"/>
            </w:tcBorders>
          </w:tcPr>
          <w:p w14:paraId="4431E962"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1F8DBF2C" w14:textId="77777777" w:rsidTr="00911011">
        <w:trPr>
          <w:cantSplit/>
        </w:trPr>
        <w:tc>
          <w:tcPr>
            <w:tcW w:w="1076" w:type="dxa"/>
            <w:tcBorders>
              <w:top w:val="nil"/>
              <w:left w:val="nil"/>
              <w:bottom w:val="nil"/>
              <w:right w:val="nil"/>
            </w:tcBorders>
          </w:tcPr>
          <w:p w14:paraId="42AFB8F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82</w:t>
            </w:r>
          </w:p>
        </w:tc>
        <w:tc>
          <w:tcPr>
            <w:tcW w:w="6353" w:type="dxa"/>
            <w:tcBorders>
              <w:top w:val="nil"/>
              <w:left w:val="nil"/>
              <w:bottom w:val="nil"/>
              <w:right w:val="nil"/>
            </w:tcBorders>
          </w:tcPr>
          <w:p w14:paraId="6A58D392"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Overtaking or passing vehicle at children's crossing or pedestrian crossing</w:t>
            </w:r>
          </w:p>
        </w:tc>
        <w:tc>
          <w:tcPr>
            <w:tcW w:w="1356" w:type="dxa"/>
            <w:tcBorders>
              <w:top w:val="nil"/>
              <w:left w:val="nil"/>
              <w:bottom w:val="nil"/>
              <w:right w:val="nil"/>
            </w:tcBorders>
          </w:tcPr>
          <w:p w14:paraId="6CB96612"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2DC21179" w14:textId="77777777" w:rsidTr="00911011">
        <w:trPr>
          <w:cantSplit/>
        </w:trPr>
        <w:tc>
          <w:tcPr>
            <w:tcW w:w="1076" w:type="dxa"/>
            <w:tcBorders>
              <w:top w:val="nil"/>
              <w:left w:val="nil"/>
              <w:bottom w:val="nil"/>
              <w:right w:val="nil"/>
            </w:tcBorders>
          </w:tcPr>
          <w:p w14:paraId="1BEBAD9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83</w:t>
            </w:r>
          </w:p>
        </w:tc>
        <w:tc>
          <w:tcPr>
            <w:tcW w:w="6353" w:type="dxa"/>
            <w:tcBorders>
              <w:top w:val="nil"/>
              <w:left w:val="nil"/>
              <w:bottom w:val="nil"/>
              <w:right w:val="nil"/>
            </w:tcBorders>
          </w:tcPr>
          <w:p w14:paraId="3B6E381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to pedestrian in shared zone</w:t>
            </w:r>
          </w:p>
        </w:tc>
        <w:tc>
          <w:tcPr>
            <w:tcW w:w="1356" w:type="dxa"/>
            <w:tcBorders>
              <w:top w:val="nil"/>
              <w:left w:val="nil"/>
              <w:bottom w:val="nil"/>
              <w:right w:val="nil"/>
            </w:tcBorders>
          </w:tcPr>
          <w:p w14:paraId="0E6AAED6"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B5FCC14" w14:textId="77777777" w:rsidTr="00911011">
        <w:trPr>
          <w:cantSplit/>
        </w:trPr>
        <w:tc>
          <w:tcPr>
            <w:tcW w:w="1076" w:type="dxa"/>
            <w:tcBorders>
              <w:top w:val="nil"/>
              <w:left w:val="nil"/>
              <w:bottom w:val="nil"/>
              <w:right w:val="nil"/>
            </w:tcBorders>
          </w:tcPr>
          <w:p w14:paraId="09251E9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84(1)</w:t>
            </w:r>
          </w:p>
        </w:tc>
        <w:tc>
          <w:tcPr>
            <w:tcW w:w="6353" w:type="dxa"/>
            <w:tcBorders>
              <w:top w:val="nil"/>
              <w:left w:val="nil"/>
              <w:bottom w:val="nil"/>
              <w:right w:val="nil"/>
            </w:tcBorders>
          </w:tcPr>
          <w:p w14:paraId="7013FD5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driving through break in dividing strip</w:t>
            </w:r>
          </w:p>
        </w:tc>
        <w:tc>
          <w:tcPr>
            <w:tcW w:w="1356" w:type="dxa"/>
            <w:tcBorders>
              <w:top w:val="nil"/>
              <w:left w:val="nil"/>
              <w:bottom w:val="nil"/>
              <w:right w:val="nil"/>
            </w:tcBorders>
          </w:tcPr>
          <w:p w14:paraId="49EBEFEA"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9E073F8" w14:textId="77777777" w:rsidTr="00911011">
        <w:trPr>
          <w:cantSplit/>
        </w:trPr>
        <w:tc>
          <w:tcPr>
            <w:tcW w:w="1076" w:type="dxa"/>
            <w:tcBorders>
              <w:top w:val="nil"/>
              <w:left w:val="nil"/>
              <w:bottom w:val="nil"/>
              <w:right w:val="nil"/>
            </w:tcBorders>
          </w:tcPr>
          <w:p w14:paraId="252526E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w:t>
            </w:r>
          </w:p>
        </w:tc>
        <w:tc>
          <w:tcPr>
            <w:tcW w:w="6353" w:type="dxa"/>
            <w:tcBorders>
              <w:top w:val="nil"/>
              <w:left w:val="nil"/>
              <w:bottom w:val="nil"/>
              <w:right w:val="nil"/>
            </w:tcBorders>
          </w:tcPr>
          <w:p w14:paraId="1D53687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on painted island</w:t>
            </w:r>
          </w:p>
        </w:tc>
        <w:tc>
          <w:tcPr>
            <w:tcW w:w="1356" w:type="dxa"/>
            <w:tcBorders>
              <w:top w:val="nil"/>
              <w:left w:val="nil"/>
              <w:bottom w:val="nil"/>
              <w:right w:val="nil"/>
            </w:tcBorders>
          </w:tcPr>
          <w:p w14:paraId="23DBFF5E"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29D3CF7C" w14:textId="77777777" w:rsidTr="00911011">
        <w:trPr>
          <w:cantSplit/>
        </w:trPr>
        <w:tc>
          <w:tcPr>
            <w:tcW w:w="1076" w:type="dxa"/>
            <w:tcBorders>
              <w:top w:val="nil"/>
              <w:left w:val="nil"/>
              <w:bottom w:val="nil"/>
              <w:right w:val="nil"/>
            </w:tcBorders>
          </w:tcPr>
          <w:p w14:paraId="42CDBB2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86(1)</w:t>
            </w:r>
          </w:p>
        </w:tc>
        <w:tc>
          <w:tcPr>
            <w:tcW w:w="6353" w:type="dxa"/>
            <w:tcBorders>
              <w:top w:val="nil"/>
              <w:left w:val="nil"/>
              <w:bottom w:val="nil"/>
              <w:right w:val="nil"/>
            </w:tcBorders>
          </w:tcPr>
          <w:p w14:paraId="69907FC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in median turning bays</w:t>
            </w:r>
          </w:p>
        </w:tc>
        <w:tc>
          <w:tcPr>
            <w:tcW w:w="1356" w:type="dxa"/>
            <w:tcBorders>
              <w:top w:val="nil"/>
              <w:left w:val="nil"/>
              <w:bottom w:val="nil"/>
              <w:right w:val="nil"/>
            </w:tcBorders>
          </w:tcPr>
          <w:p w14:paraId="67830E98"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37060D3D" w14:textId="77777777" w:rsidTr="00911011">
        <w:trPr>
          <w:cantSplit/>
        </w:trPr>
        <w:tc>
          <w:tcPr>
            <w:tcW w:w="1076" w:type="dxa"/>
            <w:tcBorders>
              <w:top w:val="nil"/>
              <w:left w:val="nil"/>
              <w:bottom w:val="nil"/>
              <w:right w:val="nil"/>
            </w:tcBorders>
          </w:tcPr>
          <w:p w14:paraId="3DCBA1F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87(1)</w:t>
            </w:r>
          </w:p>
        </w:tc>
        <w:tc>
          <w:tcPr>
            <w:tcW w:w="6353" w:type="dxa"/>
            <w:tcBorders>
              <w:top w:val="nil"/>
              <w:left w:val="nil"/>
              <w:bottom w:val="nil"/>
              <w:right w:val="nil"/>
            </w:tcBorders>
          </w:tcPr>
          <w:p w14:paraId="48113302"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moving from side of road</w:t>
            </w:r>
          </w:p>
        </w:tc>
        <w:tc>
          <w:tcPr>
            <w:tcW w:w="1356" w:type="dxa"/>
            <w:tcBorders>
              <w:top w:val="nil"/>
              <w:left w:val="nil"/>
              <w:bottom w:val="nil"/>
              <w:right w:val="nil"/>
            </w:tcBorders>
          </w:tcPr>
          <w:p w14:paraId="56DEA8FE"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5A2C0ED2" w14:textId="77777777" w:rsidTr="00911011">
        <w:trPr>
          <w:cantSplit/>
        </w:trPr>
        <w:tc>
          <w:tcPr>
            <w:tcW w:w="1076" w:type="dxa"/>
            <w:tcBorders>
              <w:top w:val="nil"/>
              <w:left w:val="nil"/>
              <w:bottom w:val="nil"/>
              <w:right w:val="nil"/>
            </w:tcBorders>
          </w:tcPr>
          <w:p w14:paraId="7E36A56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87(3)</w:t>
            </w:r>
          </w:p>
        </w:tc>
        <w:tc>
          <w:tcPr>
            <w:tcW w:w="6353" w:type="dxa"/>
            <w:tcBorders>
              <w:top w:val="nil"/>
              <w:left w:val="nil"/>
              <w:bottom w:val="nil"/>
              <w:right w:val="nil"/>
            </w:tcBorders>
          </w:tcPr>
          <w:p w14:paraId="1173CB1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moving from median strip parking area</w:t>
            </w:r>
          </w:p>
        </w:tc>
        <w:tc>
          <w:tcPr>
            <w:tcW w:w="1356" w:type="dxa"/>
            <w:tcBorders>
              <w:top w:val="nil"/>
              <w:left w:val="nil"/>
              <w:bottom w:val="nil"/>
              <w:right w:val="nil"/>
            </w:tcBorders>
          </w:tcPr>
          <w:p w14:paraId="224207A5"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7E8B661" w14:textId="77777777" w:rsidTr="00911011">
        <w:trPr>
          <w:cantSplit/>
        </w:trPr>
        <w:tc>
          <w:tcPr>
            <w:tcW w:w="1076" w:type="dxa"/>
            <w:tcBorders>
              <w:top w:val="nil"/>
              <w:left w:val="nil"/>
              <w:bottom w:val="nil"/>
              <w:right w:val="nil"/>
            </w:tcBorders>
          </w:tcPr>
          <w:p w14:paraId="67416BD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88(1)</w:t>
            </w:r>
          </w:p>
        </w:tc>
        <w:tc>
          <w:tcPr>
            <w:tcW w:w="6353" w:type="dxa"/>
            <w:tcBorders>
              <w:top w:val="nil"/>
              <w:left w:val="nil"/>
              <w:bottom w:val="nil"/>
              <w:right w:val="nil"/>
            </w:tcBorders>
          </w:tcPr>
          <w:p w14:paraId="53D4453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turn left at intersection with "left turn only" sign</w:t>
            </w:r>
          </w:p>
        </w:tc>
        <w:tc>
          <w:tcPr>
            <w:tcW w:w="1356" w:type="dxa"/>
            <w:tcBorders>
              <w:top w:val="nil"/>
              <w:left w:val="nil"/>
              <w:bottom w:val="nil"/>
              <w:right w:val="nil"/>
            </w:tcBorders>
          </w:tcPr>
          <w:p w14:paraId="116F5A52"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72461728" w14:textId="77777777" w:rsidTr="00911011">
        <w:trPr>
          <w:cantSplit/>
        </w:trPr>
        <w:tc>
          <w:tcPr>
            <w:tcW w:w="1076" w:type="dxa"/>
            <w:tcBorders>
              <w:top w:val="nil"/>
              <w:left w:val="nil"/>
              <w:bottom w:val="nil"/>
              <w:right w:val="nil"/>
            </w:tcBorders>
          </w:tcPr>
          <w:p w14:paraId="35A9A91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88(2)</w:t>
            </w:r>
          </w:p>
        </w:tc>
        <w:tc>
          <w:tcPr>
            <w:tcW w:w="6353" w:type="dxa"/>
            <w:tcBorders>
              <w:top w:val="nil"/>
              <w:left w:val="nil"/>
              <w:bottom w:val="nil"/>
              <w:right w:val="nil"/>
            </w:tcBorders>
          </w:tcPr>
          <w:p w14:paraId="48C8A8F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turn left when in left lane at intersection with "left lane must turn left" sign</w:t>
            </w:r>
          </w:p>
        </w:tc>
        <w:tc>
          <w:tcPr>
            <w:tcW w:w="1356" w:type="dxa"/>
            <w:tcBorders>
              <w:top w:val="nil"/>
              <w:left w:val="nil"/>
              <w:bottom w:val="nil"/>
              <w:right w:val="nil"/>
            </w:tcBorders>
          </w:tcPr>
          <w:p w14:paraId="55066B10"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380138EC" w14:textId="77777777" w:rsidTr="00911011">
        <w:trPr>
          <w:cantSplit/>
        </w:trPr>
        <w:tc>
          <w:tcPr>
            <w:tcW w:w="1076" w:type="dxa"/>
            <w:tcBorders>
              <w:top w:val="nil"/>
              <w:left w:val="nil"/>
              <w:bottom w:val="nil"/>
              <w:right w:val="nil"/>
            </w:tcBorders>
          </w:tcPr>
          <w:p w14:paraId="05F34B4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89(1)</w:t>
            </w:r>
          </w:p>
        </w:tc>
        <w:tc>
          <w:tcPr>
            <w:tcW w:w="6353" w:type="dxa"/>
            <w:tcBorders>
              <w:top w:val="nil"/>
              <w:left w:val="nil"/>
              <w:bottom w:val="nil"/>
              <w:right w:val="nil"/>
            </w:tcBorders>
          </w:tcPr>
          <w:p w14:paraId="619B8C1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turn right at intersection with "right turn only" sign</w:t>
            </w:r>
          </w:p>
        </w:tc>
        <w:tc>
          <w:tcPr>
            <w:tcW w:w="1356" w:type="dxa"/>
            <w:tcBorders>
              <w:top w:val="nil"/>
              <w:left w:val="nil"/>
              <w:bottom w:val="nil"/>
              <w:right w:val="nil"/>
            </w:tcBorders>
          </w:tcPr>
          <w:p w14:paraId="2759B854"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48EFAFFA" w14:textId="77777777" w:rsidTr="00911011">
        <w:trPr>
          <w:cantSplit/>
        </w:trPr>
        <w:tc>
          <w:tcPr>
            <w:tcW w:w="1076" w:type="dxa"/>
            <w:tcBorders>
              <w:top w:val="nil"/>
              <w:left w:val="nil"/>
              <w:bottom w:val="nil"/>
              <w:right w:val="nil"/>
            </w:tcBorders>
          </w:tcPr>
          <w:p w14:paraId="21F1776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89(2)</w:t>
            </w:r>
          </w:p>
        </w:tc>
        <w:tc>
          <w:tcPr>
            <w:tcW w:w="6353" w:type="dxa"/>
            <w:tcBorders>
              <w:top w:val="nil"/>
              <w:left w:val="nil"/>
              <w:bottom w:val="nil"/>
              <w:right w:val="nil"/>
            </w:tcBorders>
          </w:tcPr>
          <w:p w14:paraId="477D55D9"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turn right when in right lane at intersection with "right lane must turn right" sign</w:t>
            </w:r>
          </w:p>
        </w:tc>
        <w:tc>
          <w:tcPr>
            <w:tcW w:w="1356" w:type="dxa"/>
            <w:tcBorders>
              <w:top w:val="nil"/>
              <w:left w:val="nil"/>
              <w:bottom w:val="nil"/>
              <w:right w:val="nil"/>
            </w:tcBorders>
          </w:tcPr>
          <w:p w14:paraId="2E53339C"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4DC8234D" w14:textId="77777777" w:rsidTr="00911011">
        <w:trPr>
          <w:cantSplit/>
        </w:trPr>
        <w:tc>
          <w:tcPr>
            <w:tcW w:w="1076" w:type="dxa"/>
            <w:tcBorders>
              <w:top w:val="nil"/>
              <w:left w:val="nil"/>
              <w:bottom w:val="nil"/>
              <w:right w:val="nil"/>
            </w:tcBorders>
          </w:tcPr>
          <w:p w14:paraId="2E3EEE8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90</w:t>
            </w:r>
          </w:p>
        </w:tc>
        <w:tc>
          <w:tcPr>
            <w:tcW w:w="6353" w:type="dxa"/>
            <w:tcBorders>
              <w:top w:val="nil"/>
              <w:left w:val="nil"/>
              <w:bottom w:val="nil"/>
              <w:right w:val="nil"/>
            </w:tcBorders>
          </w:tcPr>
          <w:p w14:paraId="3F51695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Turning at intersection with "no turn" sign</w:t>
            </w:r>
          </w:p>
        </w:tc>
        <w:tc>
          <w:tcPr>
            <w:tcW w:w="1356" w:type="dxa"/>
            <w:tcBorders>
              <w:top w:val="nil"/>
              <w:left w:val="nil"/>
              <w:bottom w:val="nil"/>
              <w:right w:val="nil"/>
            </w:tcBorders>
          </w:tcPr>
          <w:p w14:paraId="31420BB6"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76BAF31E" w14:textId="77777777" w:rsidTr="00911011">
        <w:trPr>
          <w:cantSplit/>
        </w:trPr>
        <w:tc>
          <w:tcPr>
            <w:tcW w:w="1076" w:type="dxa"/>
            <w:tcBorders>
              <w:top w:val="nil"/>
              <w:left w:val="nil"/>
              <w:bottom w:val="nil"/>
              <w:right w:val="nil"/>
            </w:tcBorders>
          </w:tcPr>
          <w:p w14:paraId="11FF272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91(1)</w:t>
            </w:r>
          </w:p>
        </w:tc>
        <w:tc>
          <w:tcPr>
            <w:tcW w:w="6353" w:type="dxa"/>
            <w:tcBorders>
              <w:top w:val="nil"/>
              <w:left w:val="nil"/>
              <w:bottom w:val="nil"/>
              <w:right w:val="nil"/>
            </w:tcBorders>
          </w:tcPr>
          <w:p w14:paraId="048EB9E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Turning left at intersection or other place with "no left turn" sign</w:t>
            </w:r>
          </w:p>
        </w:tc>
        <w:tc>
          <w:tcPr>
            <w:tcW w:w="1356" w:type="dxa"/>
            <w:tcBorders>
              <w:top w:val="nil"/>
              <w:left w:val="nil"/>
              <w:bottom w:val="nil"/>
              <w:right w:val="nil"/>
            </w:tcBorders>
          </w:tcPr>
          <w:p w14:paraId="727E6A25"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17D39EBF" w14:textId="77777777" w:rsidTr="00911011">
        <w:trPr>
          <w:cantSplit/>
        </w:trPr>
        <w:tc>
          <w:tcPr>
            <w:tcW w:w="1076" w:type="dxa"/>
            <w:tcBorders>
              <w:top w:val="nil"/>
              <w:left w:val="nil"/>
              <w:bottom w:val="nil"/>
              <w:right w:val="nil"/>
            </w:tcBorders>
          </w:tcPr>
          <w:p w14:paraId="7D0DB27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91(2)</w:t>
            </w:r>
          </w:p>
        </w:tc>
        <w:tc>
          <w:tcPr>
            <w:tcW w:w="6353" w:type="dxa"/>
            <w:tcBorders>
              <w:top w:val="nil"/>
              <w:left w:val="nil"/>
              <w:bottom w:val="nil"/>
              <w:right w:val="nil"/>
            </w:tcBorders>
          </w:tcPr>
          <w:p w14:paraId="1184871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Turning at intersection or other place with "no right turn" sign</w:t>
            </w:r>
          </w:p>
        </w:tc>
        <w:tc>
          <w:tcPr>
            <w:tcW w:w="1356" w:type="dxa"/>
            <w:tcBorders>
              <w:top w:val="nil"/>
              <w:left w:val="nil"/>
              <w:bottom w:val="nil"/>
              <w:right w:val="nil"/>
            </w:tcBorders>
          </w:tcPr>
          <w:p w14:paraId="243EC9E2"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04A37CD3" w14:textId="77777777" w:rsidTr="00911011">
        <w:trPr>
          <w:cantSplit/>
        </w:trPr>
        <w:tc>
          <w:tcPr>
            <w:tcW w:w="1076" w:type="dxa"/>
            <w:tcBorders>
              <w:top w:val="nil"/>
              <w:left w:val="nil"/>
              <w:bottom w:val="nil"/>
              <w:right w:val="nil"/>
            </w:tcBorders>
          </w:tcPr>
          <w:p w14:paraId="2C7DCF5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93(1)</w:t>
            </w:r>
          </w:p>
        </w:tc>
        <w:tc>
          <w:tcPr>
            <w:tcW w:w="6353" w:type="dxa"/>
            <w:tcBorders>
              <w:top w:val="nil"/>
              <w:left w:val="nil"/>
              <w:bottom w:val="nil"/>
              <w:right w:val="nil"/>
            </w:tcBorders>
          </w:tcPr>
          <w:p w14:paraId="7188212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overtaking on bridge or length of road where "no overtaking or passing" sign applies</w:t>
            </w:r>
          </w:p>
        </w:tc>
        <w:tc>
          <w:tcPr>
            <w:tcW w:w="1356" w:type="dxa"/>
            <w:tcBorders>
              <w:top w:val="nil"/>
              <w:left w:val="nil"/>
              <w:bottom w:val="nil"/>
              <w:right w:val="nil"/>
            </w:tcBorders>
          </w:tcPr>
          <w:p w14:paraId="0E6CF298"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1CCC06FD" w14:textId="77777777" w:rsidTr="00911011">
        <w:trPr>
          <w:cantSplit/>
        </w:trPr>
        <w:tc>
          <w:tcPr>
            <w:tcW w:w="1076" w:type="dxa"/>
            <w:tcBorders>
              <w:top w:val="nil"/>
              <w:left w:val="nil"/>
              <w:bottom w:val="nil"/>
              <w:right w:val="nil"/>
            </w:tcBorders>
          </w:tcPr>
          <w:p w14:paraId="0EF868B2"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94</w:t>
            </w:r>
          </w:p>
        </w:tc>
        <w:tc>
          <w:tcPr>
            <w:tcW w:w="6353" w:type="dxa"/>
            <w:tcBorders>
              <w:top w:val="nil"/>
              <w:left w:val="nil"/>
              <w:bottom w:val="nil"/>
              <w:right w:val="nil"/>
            </w:tcBorders>
          </w:tcPr>
          <w:p w14:paraId="6AD5376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Overtaking on bridge with "no overtaking on bridge" sign</w:t>
            </w:r>
          </w:p>
        </w:tc>
        <w:tc>
          <w:tcPr>
            <w:tcW w:w="1356" w:type="dxa"/>
            <w:tcBorders>
              <w:top w:val="nil"/>
              <w:left w:val="nil"/>
              <w:bottom w:val="nil"/>
              <w:right w:val="nil"/>
            </w:tcBorders>
          </w:tcPr>
          <w:p w14:paraId="10BC245F"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77C00201" w14:textId="77777777" w:rsidTr="00911011">
        <w:trPr>
          <w:cantSplit/>
        </w:trPr>
        <w:tc>
          <w:tcPr>
            <w:tcW w:w="1076" w:type="dxa"/>
            <w:tcBorders>
              <w:top w:val="nil"/>
              <w:left w:val="nil"/>
              <w:bottom w:val="nil"/>
              <w:right w:val="nil"/>
            </w:tcBorders>
          </w:tcPr>
          <w:p w14:paraId="5A34CD6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101(1)</w:t>
            </w:r>
          </w:p>
        </w:tc>
        <w:tc>
          <w:tcPr>
            <w:tcW w:w="6353" w:type="dxa"/>
            <w:tcBorders>
              <w:top w:val="nil"/>
              <w:left w:val="nil"/>
              <w:bottom w:val="nil"/>
              <w:right w:val="nil"/>
            </w:tcBorders>
          </w:tcPr>
          <w:p w14:paraId="36B9032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before hand</w:t>
            </w:r>
            <w:r w:rsidRPr="002A3021">
              <w:rPr>
                <w:rFonts w:eastAsia="Times New Roman"/>
                <w:i/>
                <w:iCs/>
                <w:color w:val="000000"/>
                <w:sz w:val="20"/>
                <w:szCs w:val="20"/>
                <w:lang w:eastAsia="en-AU"/>
                <w14:ligatures w14:val="standardContextual"/>
              </w:rPr>
              <w:noBreakHyphen/>
              <w:t>held stop sign</w:t>
            </w:r>
          </w:p>
        </w:tc>
        <w:tc>
          <w:tcPr>
            <w:tcW w:w="1356" w:type="dxa"/>
            <w:tcBorders>
              <w:top w:val="nil"/>
              <w:left w:val="nil"/>
              <w:bottom w:val="nil"/>
              <w:right w:val="nil"/>
            </w:tcBorders>
          </w:tcPr>
          <w:p w14:paraId="72BA7FA6"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3C2608B" w14:textId="77777777" w:rsidTr="00911011">
        <w:trPr>
          <w:cantSplit/>
        </w:trPr>
        <w:tc>
          <w:tcPr>
            <w:tcW w:w="1076" w:type="dxa"/>
            <w:tcBorders>
              <w:top w:val="nil"/>
              <w:left w:val="nil"/>
              <w:bottom w:val="nil"/>
              <w:right w:val="nil"/>
            </w:tcBorders>
          </w:tcPr>
          <w:p w14:paraId="1C19E69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101(2)</w:t>
            </w:r>
          </w:p>
        </w:tc>
        <w:tc>
          <w:tcPr>
            <w:tcW w:w="6353" w:type="dxa"/>
            <w:tcBorders>
              <w:top w:val="nil"/>
              <w:left w:val="nil"/>
              <w:bottom w:val="nil"/>
              <w:right w:val="nil"/>
            </w:tcBorders>
          </w:tcPr>
          <w:p w14:paraId="28AEE21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after stopping for hand</w:t>
            </w:r>
            <w:r w:rsidRPr="002A3021">
              <w:rPr>
                <w:rFonts w:eastAsia="Times New Roman"/>
                <w:i/>
                <w:iCs/>
                <w:color w:val="000000"/>
                <w:sz w:val="20"/>
                <w:szCs w:val="20"/>
                <w:lang w:eastAsia="en-AU"/>
                <w14:ligatures w14:val="standardContextual"/>
              </w:rPr>
              <w:noBreakHyphen/>
              <w:t>held stop sign</w:t>
            </w:r>
          </w:p>
        </w:tc>
        <w:tc>
          <w:tcPr>
            <w:tcW w:w="1356" w:type="dxa"/>
            <w:tcBorders>
              <w:top w:val="nil"/>
              <w:left w:val="nil"/>
              <w:bottom w:val="nil"/>
              <w:right w:val="nil"/>
            </w:tcBorders>
          </w:tcPr>
          <w:p w14:paraId="5823E2D8"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15D73962" w14:textId="77777777" w:rsidTr="00911011">
        <w:trPr>
          <w:cantSplit/>
        </w:trPr>
        <w:tc>
          <w:tcPr>
            <w:tcW w:w="1076" w:type="dxa"/>
            <w:tcBorders>
              <w:top w:val="nil"/>
              <w:left w:val="nil"/>
              <w:bottom w:val="nil"/>
              <w:right w:val="nil"/>
            </w:tcBorders>
          </w:tcPr>
          <w:p w14:paraId="02FE99C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112(2)</w:t>
            </w:r>
          </w:p>
        </w:tc>
        <w:tc>
          <w:tcPr>
            <w:tcW w:w="6353" w:type="dxa"/>
            <w:tcBorders>
              <w:top w:val="nil"/>
              <w:left w:val="nil"/>
              <w:bottom w:val="nil"/>
              <w:right w:val="nil"/>
            </w:tcBorders>
          </w:tcPr>
          <w:p w14:paraId="7C5F172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required left change of direction signal before entering roundabout</w:t>
            </w:r>
          </w:p>
        </w:tc>
        <w:tc>
          <w:tcPr>
            <w:tcW w:w="1356" w:type="dxa"/>
            <w:tcBorders>
              <w:top w:val="nil"/>
              <w:left w:val="nil"/>
              <w:bottom w:val="nil"/>
              <w:right w:val="nil"/>
            </w:tcBorders>
          </w:tcPr>
          <w:p w14:paraId="670715AB"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6DA2BB37" w14:textId="77777777" w:rsidTr="00911011">
        <w:trPr>
          <w:cantSplit/>
        </w:trPr>
        <w:tc>
          <w:tcPr>
            <w:tcW w:w="1076" w:type="dxa"/>
            <w:tcBorders>
              <w:top w:val="nil"/>
              <w:left w:val="nil"/>
              <w:bottom w:val="nil"/>
              <w:right w:val="nil"/>
            </w:tcBorders>
          </w:tcPr>
          <w:p w14:paraId="7CC12C8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112(3)</w:t>
            </w:r>
          </w:p>
        </w:tc>
        <w:tc>
          <w:tcPr>
            <w:tcW w:w="6353" w:type="dxa"/>
            <w:tcBorders>
              <w:top w:val="nil"/>
              <w:left w:val="nil"/>
              <w:bottom w:val="nil"/>
              <w:right w:val="nil"/>
            </w:tcBorders>
          </w:tcPr>
          <w:p w14:paraId="19D645A2"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continue left change of direction signal while on roundabout</w:t>
            </w:r>
          </w:p>
        </w:tc>
        <w:tc>
          <w:tcPr>
            <w:tcW w:w="1356" w:type="dxa"/>
            <w:tcBorders>
              <w:top w:val="nil"/>
              <w:left w:val="nil"/>
              <w:bottom w:val="nil"/>
              <w:right w:val="nil"/>
            </w:tcBorders>
          </w:tcPr>
          <w:p w14:paraId="4C3A24CD"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2C9967DA" w14:textId="77777777" w:rsidTr="00911011">
        <w:trPr>
          <w:cantSplit/>
        </w:trPr>
        <w:tc>
          <w:tcPr>
            <w:tcW w:w="1076" w:type="dxa"/>
            <w:tcBorders>
              <w:top w:val="nil"/>
              <w:left w:val="nil"/>
              <w:bottom w:val="nil"/>
              <w:right w:val="nil"/>
            </w:tcBorders>
          </w:tcPr>
          <w:p w14:paraId="16F518A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113(2)</w:t>
            </w:r>
          </w:p>
        </w:tc>
        <w:tc>
          <w:tcPr>
            <w:tcW w:w="6353" w:type="dxa"/>
            <w:tcBorders>
              <w:top w:val="nil"/>
              <w:left w:val="nil"/>
              <w:bottom w:val="nil"/>
              <w:right w:val="nil"/>
            </w:tcBorders>
          </w:tcPr>
          <w:p w14:paraId="53BF994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required right change of direction signal before entering roundabout</w:t>
            </w:r>
          </w:p>
        </w:tc>
        <w:tc>
          <w:tcPr>
            <w:tcW w:w="1356" w:type="dxa"/>
            <w:tcBorders>
              <w:top w:val="nil"/>
              <w:left w:val="nil"/>
              <w:bottom w:val="nil"/>
              <w:right w:val="nil"/>
            </w:tcBorders>
          </w:tcPr>
          <w:p w14:paraId="7867439A"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2B185EB1" w14:textId="77777777" w:rsidTr="00911011">
        <w:trPr>
          <w:cantSplit/>
        </w:trPr>
        <w:tc>
          <w:tcPr>
            <w:tcW w:w="1076" w:type="dxa"/>
            <w:tcBorders>
              <w:top w:val="nil"/>
              <w:left w:val="nil"/>
              <w:bottom w:val="nil"/>
              <w:right w:val="nil"/>
            </w:tcBorders>
          </w:tcPr>
          <w:p w14:paraId="1431E83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113(3)</w:t>
            </w:r>
          </w:p>
        </w:tc>
        <w:tc>
          <w:tcPr>
            <w:tcW w:w="6353" w:type="dxa"/>
            <w:tcBorders>
              <w:top w:val="nil"/>
              <w:left w:val="nil"/>
              <w:bottom w:val="nil"/>
              <w:right w:val="nil"/>
            </w:tcBorders>
          </w:tcPr>
          <w:p w14:paraId="59A7686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continue right change of direction signal while in roundabout</w:t>
            </w:r>
          </w:p>
        </w:tc>
        <w:tc>
          <w:tcPr>
            <w:tcW w:w="1356" w:type="dxa"/>
            <w:tcBorders>
              <w:top w:val="nil"/>
              <w:left w:val="nil"/>
              <w:bottom w:val="nil"/>
              <w:right w:val="nil"/>
            </w:tcBorders>
          </w:tcPr>
          <w:p w14:paraId="065CA451"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623D6524" w14:textId="77777777" w:rsidTr="00911011">
        <w:trPr>
          <w:cantSplit/>
        </w:trPr>
        <w:tc>
          <w:tcPr>
            <w:tcW w:w="1076" w:type="dxa"/>
            <w:tcBorders>
              <w:top w:val="nil"/>
              <w:left w:val="nil"/>
              <w:bottom w:val="nil"/>
              <w:right w:val="nil"/>
            </w:tcBorders>
          </w:tcPr>
          <w:p w14:paraId="60F566A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114(1)</w:t>
            </w:r>
          </w:p>
        </w:tc>
        <w:tc>
          <w:tcPr>
            <w:tcW w:w="6353" w:type="dxa"/>
            <w:tcBorders>
              <w:top w:val="nil"/>
              <w:left w:val="nil"/>
              <w:bottom w:val="nil"/>
              <w:right w:val="nil"/>
            </w:tcBorders>
          </w:tcPr>
          <w:p w14:paraId="41709B1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entering roundabout</w:t>
            </w:r>
          </w:p>
        </w:tc>
        <w:tc>
          <w:tcPr>
            <w:tcW w:w="1356" w:type="dxa"/>
            <w:tcBorders>
              <w:top w:val="nil"/>
              <w:left w:val="nil"/>
              <w:bottom w:val="nil"/>
              <w:right w:val="nil"/>
            </w:tcBorders>
          </w:tcPr>
          <w:p w14:paraId="17F9B910"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2C196BB" w14:textId="77777777" w:rsidTr="00911011">
        <w:trPr>
          <w:cantSplit/>
        </w:trPr>
        <w:tc>
          <w:tcPr>
            <w:tcW w:w="1076" w:type="dxa"/>
            <w:tcBorders>
              <w:top w:val="nil"/>
              <w:left w:val="nil"/>
              <w:bottom w:val="nil"/>
              <w:right w:val="nil"/>
            </w:tcBorders>
          </w:tcPr>
          <w:p w14:paraId="685DF71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114(2)</w:t>
            </w:r>
          </w:p>
        </w:tc>
        <w:tc>
          <w:tcPr>
            <w:tcW w:w="6353" w:type="dxa"/>
            <w:tcBorders>
              <w:top w:val="nil"/>
              <w:left w:val="nil"/>
              <w:bottom w:val="nil"/>
              <w:right w:val="nil"/>
            </w:tcBorders>
          </w:tcPr>
          <w:p w14:paraId="77DDCFA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to tram when driving in roundabout</w:t>
            </w:r>
          </w:p>
        </w:tc>
        <w:tc>
          <w:tcPr>
            <w:tcW w:w="1356" w:type="dxa"/>
            <w:tcBorders>
              <w:top w:val="nil"/>
              <w:left w:val="nil"/>
              <w:bottom w:val="nil"/>
              <w:right w:val="nil"/>
            </w:tcBorders>
          </w:tcPr>
          <w:p w14:paraId="137320E4"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2BB010AC" w14:textId="77777777" w:rsidTr="00911011">
        <w:trPr>
          <w:cantSplit/>
        </w:trPr>
        <w:tc>
          <w:tcPr>
            <w:tcW w:w="1076" w:type="dxa"/>
            <w:tcBorders>
              <w:top w:val="nil"/>
              <w:left w:val="nil"/>
              <w:bottom w:val="nil"/>
              <w:right w:val="nil"/>
            </w:tcBorders>
          </w:tcPr>
          <w:p w14:paraId="17C05DDA"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115(1)</w:t>
            </w:r>
          </w:p>
        </w:tc>
        <w:tc>
          <w:tcPr>
            <w:tcW w:w="6353" w:type="dxa"/>
            <w:tcBorders>
              <w:top w:val="nil"/>
              <w:left w:val="nil"/>
              <w:bottom w:val="nil"/>
              <w:right w:val="nil"/>
            </w:tcBorders>
          </w:tcPr>
          <w:p w14:paraId="49DD2679"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in roundabout to left of central traffic island</w:t>
            </w:r>
          </w:p>
        </w:tc>
        <w:tc>
          <w:tcPr>
            <w:tcW w:w="1356" w:type="dxa"/>
            <w:tcBorders>
              <w:top w:val="nil"/>
              <w:left w:val="nil"/>
              <w:bottom w:val="nil"/>
              <w:right w:val="nil"/>
            </w:tcBorders>
          </w:tcPr>
          <w:p w14:paraId="4419C53A"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bl>
    <w:p w14:paraId="344C3FE6" w14:textId="77777777" w:rsidR="004311B6" w:rsidRDefault="004311B6" w:rsidP="00C47401">
      <w:pPr>
        <w:spacing w:after="0" w:line="60" w:lineRule="exact"/>
      </w:pPr>
      <w:r>
        <w:br w:type="page"/>
      </w:r>
    </w:p>
    <w:tbl>
      <w:tblPr>
        <w:tblW w:w="0" w:type="auto"/>
        <w:tblLayout w:type="fixed"/>
        <w:tblCellMar>
          <w:left w:w="60" w:type="dxa"/>
          <w:right w:w="60" w:type="dxa"/>
        </w:tblCellMar>
        <w:tblLook w:val="0000" w:firstRow="0" w:lastRow="0" w:firstColumn="0" w:lastColumn="0" w:noHBand="0" w:noVBand="0"/>
      </w:tblPr>
      <w:tblGrid>
        <w:gridCol w:w="1076"/>
        <w:gridCol w:w="6353"/>
        <w:gridCol w:w="1356"/>
      </w:tblGrid>
      <w:tr w:rsidR="00C47401" w:rsidRPr="002A3021" w14:paraId="0DB7A593" w14:textId="77777777" w:rsidTr="00C47401">
        <w:trPr>
          <w:cantSplit/>
        </w:trPr>
        <w:tc>
          <w:tcPr>
            <w:tcW w:w="1076" w:type="dxa"/>
            <w:tcBorders>
              <w:top w:val="nil"/>
              <w:left w:val="nil"/>
              <w:bottom w:val="single" w:sz="4" w:space="0" w:color="auto"/>
              <w:right w:val="nil"/>
            </w:tcBorders>
          </w:tcPr>
          <w:p w14:paraId="1C7C5EB8" w14:textId="6B98F609"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53" w:type="dxa"/>
            <w:tcBorders>
              <w:top w:val="nil"/>
              <w:left w:val="nil"/>
              <w:bottom w:val="single" w:sz="4" w:space="0" w:color="auto"/>
              <w:right w:val="nil"/>
            </w:tcBorders>
          </w:tcPr>
          <w:p w14:paraId="6A4A7037" w14:textId="66239620"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4" w:history="1">
              <w:r w:rsidRPr="002A3021">
                <w:rPr>
                  <w:rFonts w:eastAsia="Times New Roman"/>
                  <w:b/>
                  <w:bCs/>
                  <w:i/>
                  <w:iCs/>
                  <w:color w:val="000000"/>
                  <w:sz w:val="20"/>
                  <w:szCs w:val="20"/>
                  <w:lang w:eastAsia="en-AU"/>
                  <w14:ligatures w14:val="standardContextual"/>
                </w:rPr>
                <w:t>Australian Road Rules</w:t>
              </w:r>
            </w:hyperlink>
          </w:p>
        </w:tc>
        <w:tc>
          <w:tcPr>
            <w:tcW w:w="1356" w:type="dxa"/>
            <w:tcBorders>
              <w:top w:val="nil"/>
              <w:left w:val="nil"/>
              <w:bottom w:val="single" w:sz="4" w:space="0" w:color="auto"/>
              <w:right w:val="nil"/>
            </w:tcBorders>
          </w:tcPr>
          <w:p w14:paraId="44BFD0BC" w14:textId="7E434853"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C47401" w:rsidRPr="002A3021" w14:paraId="785A8BEC" w14:textId="77777777" w:rsidTr="00C47401">
        <w:trPr>
          <w:cantSplit/>
        </w:trPr>
        <w:tc>
          <w:tcPr>
            <w:tcW w:w="1076" w:type="dxa"/>
            <w:tcBorders>
              <w:top w:val="single" w:sz="4" w:space="0" w:color="auto"/>
              <w:left w:val="nil"/>
              <w:bottom w:val="nil"/>
              <w:right w:val="nil"/>
            </w:tcBorders>
          </w:tcPr>
          <w:p w14:paraId="0D434963" w14:textId="5F739552"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117(1)</w:t>
            </w:r>
          </w:p>
        </w:tc>
        <w:tc>
          <w:tcPr>
            <w:tcW w:w="6353" w:type="dxa"/>
            <w:tcBorders>
              <w:top w:val="single" w:sz="4" w:space="0" w:color="auto"/>
              <w:left w:val="nil"/>
              <w:bottom w:val="nil"/>
              <w:right w:val="nil"/>
            </w:tcBorders>
          </w:tcPr>
          <w:p w14:paraId="69631302" w14:textId="70345569" w:rsidR="00C47401" w:rsidRPr="002A3021" w:rsidRDefault="00C47401" w:rsidP="00C47401">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left change of direction signal when changing marked lanes or lines of traffic in roundabout</w:t>
            </w:r>
          </w:p>
        </w:tc>
        <w:tc>
          <w:tcPr>
            <w:tcW w:w="1356" w:type="dxa"/>
            <w:tcBorders>
              <w:top w:val="single" w:sz="4" w:space="0" w:color="auto"/>
              <w:left w:val="nil"/>
              <w:bottom w:val="nil"/>
              <w:right w:val="nil"/>
            </w:tcBorders>
          </w:tcPr>
          <w:p w14:paraId="18DD2ED6" w14:textId="22BD8931"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23EB444A" w14:textId="77777777" w:rsidTr="00911011">
        <w:trPr>
          <w:cantSplit/>
        </w:trPr>
        <w:tc>
          <w:tcPr>
            <w:tcW w:w="1076" w:type="dxa"/>
            <w:tcBorders>
              <w:top w:val="nil"/>
              <w:left w:val="nil"/>
              <w:bottom w:val="nil"/>
              <w:right w:val="nil"/>
            </w:tcBorders>
          </w:tcPr>
          <w:p w14:paraId="5957B3B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117(2)</w:t>
            </w:r>
          </w:p>
        </w:tc>
        <w:tc>
          <w:tcPr>
            <w:tcW w:w="6353" w:type="dxa"/>
            <w:tcBorders>
              <w:top w:val="nil"/>
              <w:left w:val="nil"/>
              <w:bottom w:val="nil"/>
              <w:right w:val="nil"/>
            </w:tcBorders>
          </w:tcPr>
          <w:p w14:paraId="14977AD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right change of direction signal when changing marked lanes or lines of traffic in roundabout</w:t>
            </w:r>
          </w:p>
        </w:tc>
        <w:tc>
          <w:tcPr>
            <w:tcW w:w="1356" w:type="dxa"/>
            <w:tcBorders>
              <w:top w:val="nil"/>
              <w:left w:val="nil"/>
              <w:bottom w:val="nil"/>
              <w:right w:val="nil"/>
            </w:tcBorders>
          </w:tcPr>
          <w:p w14:paraId="12500C0F"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7F19A2C9" w14:textId="77777777" w:rsidTr="00911011">
        <w:trPr>
          <w:cantSplit/>
        </w:trPr>
        <w:tc>
          <w:tcPr>
            <w:tcW w:w="1076" w:type="dxa"/>
            <w:tcBorders>
              <w:top w:val="nil"/>
              <w:left w:val="nil"/>
              <w:bottom w:val="nil"/>
              <w:right w:val="nil"/>
            </w:tcBorders>
          </w:tcPr>
          <w:p w14:paraId="13A77E2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118(1)</w:t>
            </w:r>
          </w:p>
        </w:tc>
        <w:tc>
          <w:tcPr>
            <w:tcW w:w="6353" w:type="dxa"/>
            <w:tcBorders>
              <w:top w:val="nil"/>
              <w:left w:val="nil"/>
              <w:bottom w:val="nil"/>
              <w:right w:val="nil"/>
            </w:tcBorders>
          </w:tcPr>
          <w:p w14:paraId="1B9EC17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left change of direction signal when leaving roundabout</w:t>
            </w:r>
          </w:p>
        </w:tc>
        <w:tc>
          <w:tcPr>
            <w:tcW w:w="1356" w:type="dxa"/>
            <w:tcBorders>
              <w:top w:val="nil"/>
              <w:left w:val="nil"/>
              <w:bottom w:val="nil"/>
              <w:right w:val="nil"/>
            </w:tcBorders>
          </w:tcPr>
          <w:p w14:paraId="34717170"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2F7CE856" w14:textId="77777777" w:rsidTr="00911011">
        <w:trPr>
          <w:cantSplit/>
        </w:trPr>
        <w:tc>
          <w:tcPr>
            <w:tcW w:w="1076" w:type="dxa"/>
            <w:tcBorders>
              <w:top w:val="nil"/>
              <w:left w:val="nil"/>
              <w:bottom w:val="nil"/>
              <w:right w:val="nil"/>
            </w:tcBorders>
          </w:tcPr>
          <w:p w14:paraId="1586F5B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121</w:t>
            </w:r>
          </w:p>
        </w:tc>
        <w:tc>
          <w:tcPr>
            <w:tcW w:w="6353" w:type="dxa"/>
            <w:tcBorders>
              <w:top w:val="nil"/>
              <w:left w:val="nil"/>
              <w:bottom w:val="nil"/>
              <w:right w:val="nil"/>
            </w:tcBorders>
          </w:tcPr>
          <w:p w14:paraId="758CB77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and give way at stop sign at level crossing</w:t>
            </w:r>
          </w:p>
        </w:tc>
        <w:tc>
          <w:tcPr>
            <w:tcW w:w="1356" w:type="dxa"/>
            <w:tcBorders>
              <w:top w:val="nil"/>
              <w:left w:val="nil"/>
              <w:bottom w:val="nil"/>
              <w:right w:val="nil"/>
            </w:tcBorders>
          </w:tcPr>
          <w:p w14:paraId="3266DEC5"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7CC256F" w14:textId="77777777" w:rsidTr="00911011">
        <w:trPr>
          <w:cantSplit/>
        </w:trPr>
        <w:tc>
          <w:tcPr>
            <w:tcW w:w="1076" w:type="dxa"/>
            <w:tcBorders>
              <w:top w:val="nil"/>
              <w:left w:val="nil"/>
              <w:bottom w:val="nil"/>
              <w:right w:val="nil"/>
            </w:tcBorders>
          </w:tcPr>
          <w:p w14:paraId="65E9EAA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122</w:t>
            </w:r>
          </w:p>
        </w:tc>
        <w:tc>
          <w:tcPr>
            <w:tcW w:w="6353" w:type="dxa"/>
            <w:tcBorders>
              <w:top w:val="nil"/>
              <w:left w:val="nil"/>
              <w:bottom w:val="nil"/>
              <w:right w:val="nil"/>
            </w:tcBorders>
          </w:tcPr>
          <w:p w14:paraId="59DB15F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at give way sign or give way line at level crossing</w:t>
            </w:r>
          </w:p>
        </w:tc>
        <w:tc>
          <w:tcPr>
            <w:tcW w:w="1356" w:type="dxa"/>
            <w:tcBorders>
              <w:top w:val="nil"/>
              <w:left w:val="nil"/>
              <w:bottom w:val="nil"/>
              <w:right w:val="nil"/>
            </w:tcBorders>
          </w:tcPr>
          <w:p w14:paraId="44E607F5"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54998125" w14:textId="77777777" w:rsidTr="00911011">
        <w:trPr>
          <w:cantSplit/>
        </w:trPr>
        <w:tc>
          <w:tcPr>
            <w:tcW w:w="1076" w:type="dxa"/>
            <w:tcBorders>
              <w:top w:val="nil"/>
              <w:left w:val="nil"/>
              <w:bottom w:val="nil"/>
              <w:right w:val="nil"/>
            </w:tcBorders>
          </w:tcPr>
          <w:p w14:paraId="7DC4EE9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123</w:t>
            </w:r>
          </w:p>
        </w:tc>
        <w:tc>
          <w:tcPr>
            <w:tcW w:w="6353" w:type="dxa"/>
            <w:tcBorders>
              <w:top w:val="nil"/>
              <w:left w:val="nil"/>
              <w:bottom w:val="nil"/>
              <w:right w:val="nil"/>
            </w:tcBorders>
          </w:tcPr>
          <w:p w14:paraId="0701D37A"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Entering level crossing when train or tram approaching etc</w:t>
            </w:r>
          </w:p>
        </w:tc>
        <w:tc>
          <w:tcPr>
            <w:tcW w:w="1356" w:type="dxa"/>
            <w:tcBorders>
              <w:top w:val="nil"/>
              <w:left w:val="nil"/>
              <w:bottom w:val="nil"/>
              <w:right w:val="nil"/>
            </w:tcBorders>
          </w:tcPr>
          <w:p w14:paraId="6C1AA0D8"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19D7B04D" w14:textId="77777777" w:rsidTr="00911011">
        <w:trPr>
          <w:cantSplit/>
        </w:trPr>
        <w:tc>
          <w:tcPr>
            <w:tcW w:w="1076" w:type="dxa"/>
            <w:tcBorders>
              <w:top w:val="nil"/>
              <w:left w:val="nil"/>
              <w:bottom w:val="nil"/>
              <w:right w:val="nil"/>
            </w:tcBorders>
          </w:tcPr>
          <w:p w14:paraId="1FFC39E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126</w:t>
            </w:r>
          </w:p>
        </w:tc>
        <w:tc>
          <w:tcPr>
            <w:tcW w:w="6353" w:type="dxa"/>
            <w:tcBorders>
              <w:top w:val="nil"/>
              <w:left w:val="nil"/>
              <w:bottom w:val="nil"/>
              <w:right w:val="nil"/>
            </w:tcBorders>
          </w:tcPr>
          <w:p w14:paraId="2A45A45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safe distance behind other vehicle</w:t>
            </w:r>
          </w:p>
        </w:tc>
        <w:tc>
          <w:tcPr>
            <w:tcW w:w="1356" w:type="dxa"/>
            <w:tcBorders>
              <w:top w:val="nil"/>
              <w:left w:val="nil"/>
              <w:bottom w:val="nil"/>
              <w:right w:val="nil"/>
            </w:tcBorders>
          </w:tcPr>
          <w:p w14:paraId="4CBD6BA6"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r>
      <w:tr w:rsidR="00C47401" w:rsidRPr="002A3021" w14:paraId="273A44EE" w14:textId="77777777" w:rsidTr="00911011">
        <w:trPr>
          <w:cantSplit/>
        </w:trPr>
        <w:tc>
          <w:tcPr>
            <w:tcW w:w="1076" w:type="dxa"/>
            <w:tcBorders>
              <w:top w:val="nil"/>
              <w:left w:val="nil"/>
              <w:bottom w:val="nil"/>
              <w:right w:val="nil"/>
            </w:tcBorders>
          </w:tcPr>
          <w:p w14:paraId="02932A2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127(1)</w:t>
            </w:r>
          </w:p>
        </w:tc>
        <w:tc>
          <w:tcPr>
            <w:tcW w:w="6353" w:type="dxa"/>
            <w:tcBorders>
              <w:top w:val="nil"/>
              <w:left w:val="nil"/>
              <w:bottom w:val="nil"/>
              <w:right w:val="nil"/>
            </w:tcBorders>
          </w:tcPr>
          <w:p w14:paraId="62C4EC2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required minimum distance behind long vehicle</w:t>
            </w:r>
          </w:p>
        </w:tc>
        <w:tc>
          <w:tcPr>
            <w:tcW w:w="1356" w:type="dxa"/>
            <w:tcBorders>
              <w:top w:val="nil"/>
              <w:left w:val="nil"/>
              <w:bottom w:val="nil"/>
              <w:right w:val="nil"/>
            </w:tcBorders>
          </w:tcPr>
          <w:p w14:paraId="37A3EFFB"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r>
      <w:tr w:rsidR="00C47401" w:rsidRPr="002A3021" w14:paraId="2BB9FDF8" w14:textId="77777777" w:rsidTr="00911011">
        <w:trPr>
          <w:cantSplit/>
        </w:trPr>
        <w:tc>
          <w:tcPr>
            <w:tcW w:w="1076" w:type="dxa"/>
            <w:tcBorders>
              <w:top w:val="nil"/>
              <w:left w:val="nil"/>
              <w:bottom w:val="nil"/>
              <w:right w:val="nil"/>
            </w:tcBorders>
          </w:tcPr>
          <w:p w14:paraId="017322A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129(1)</w:t>
            </w:r>
          </w:p>
        </w:tc>
        <w:tc>
          <w:tcPr>
            <w:tcW w:w="6353" w:type="dxa"/>
            <w:tcBorders>
              <w:top w:val="nil"/>
              <w:left w:val="nil"/>
              <w:bottom w:val="nil"/>
              <w:right w:val="nil"/>
            </w:tcBorders>
          </w:tcPr>
          <w:p w14:paraId="3904F90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to far left side of road</w:t>
            </w:r>
          </w:p>
        </w:tc>
        <w:tc>
          <w:tcPr>
            <w:tcW w:w="1356" w:type="dxa"/>
            <w:tcBorders>
              <w:top w:val="nil"/>
              <w:left w:val="nil"/>
              <w:bottom w:val="nil"/>
              <w:right w:val="nil"/>
            </w:tcBorders>
          </w:tcPr>
          <w:p w14:paraId="0ED20FEF"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3BB20F67" w14:textId="77777777" w:rsidTr="00911011">
        <w:trPr>
          <w:cantSplit/>
        </w:trPr>
        <w:tc>
          <w:tcPr>
            <w:tcW w:w="1076" w:type="dxa"/>
            <w:tcBorders>
              <w:top w:val="nil"/>
              <w:left w:val="nil"/>
              <w:bottom w:val="nil"/>
              <w:right w:val="nil"/>
            </w:tcBorders>
          </w:tcPr>
          <w:p w14:paraId="1950EB2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130(2)</w:t>
            </w:r>
          </w:p>
        </w:tc>
        <w:tc>
          <w:tcPr>
            <w:tcW w:w="6353" w:type="dxa"/>
            <w:tcBorders>
              <w:top w:val="nil"/>
              <w:left w:val="nil"/>
              <w:bottom w:val="nil"/>
              <w:right w:val="nil"/>
            </w:tcBorders>
          </w:tcPr>
          <w:p w14:paraId="50596199"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right lane on certain multi</w:t>
            </w:r>
            <w:r w:rsidRPr="002A3021">
              <w:rPr>
                <w:rFonts w:eastAsia="Times New Roman"/>
                <w:i/>
                <w:iCs/>
                <w:color w:val="000000"/>
                <w:sz w:val="20"/>
                <w:szCs w:val="20"/>
                <w:lang w:eastAsia="en-AU"/>
                <w14:ligatures w14:val="standardContextual"/>
              </w:rPr>
              <w:noBreakHyphen/>
              <w:t>lane roads</w:t>
            </w:r>
          </w:p>
        </w:tc>
        <w:tc>
          <w:tcPr>
            <w:tcW w:w="1356" w:type="dxa"/>
            <w:tcBorders>
              <w:top w:val="nil"/>
              <w:left w:val="nil"/>
              <w:bottom w:val="nil"/>
              <w:right w:val="nil"/>
            </w:tcBorders>
          </w:tcPr>
          <w:p w14:paraId="10021A27"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1BB927DC" w14:textId="77777777" w:rsidTr="00911011">
        <w:trPr>
          <w:cantSplit/>
        </w:trPr>
        <w:tc>
          <w:tcPr>
            <w:tcW w:w="1076" w:type="dxa"/>
            <w:tcBorders>
              <w:top w:val="nil"/>
              <w:left w:val="nil"/>
              <w:bottom w:val="nil"/>
              <w:right w:val="nil"/>
            </w:tcBorders>
          </w:tcPr>
          <w:p w14:paraId="3905B5F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131</w:t>
            </w:r>
          </w:p>
        </w:tc>
        <w:tc>
          <w:tcPr>
            <w:tcW w:w="6353" w:type="dxa"/>
            <w:tcBorders>
              <w:top w:val="nil"/>
              <w:left w:val="nil"/>
              <w:bottom w:val="nil"/>
              <w:right w:val="nil"/>
            </w:tcBorders>
          </w:tcPr>
          <w:p w14:paraId="2B228C8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to left of oncoming vehicle</w:t>
            </w:r>
          </w:p>
        </w:tc>
        <w:tc>
          <w:tcPr>
            <w:tcW w:w="1356" w:type="dxa"/>
            <w:tcBorders>
              <w:top w:val="nil"/>
              <w:left w:val="nil"/>
              <w:bottom w:val="nil"/>
              <w:right w:val="nil"/>
            </w:tcBorders>
          </w:tcPr>
          <w:p w14:paraId="677557E0"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5E5C3F47" w14:textId="77777777" w:rsidTr="00911011">
        <w:trPr>
          <w:cantSplit/>
        </w:trPr>
        <w:tc>
          <w:tcPr>
            <w:tcW w:w="1076" w:type="dxa"/>
            <w:tcBorders>
              <w:top w:val="nil"/>
              <w:left w:val="nil"/>
              <w:bottom w:val="nil"/>
              <w:right w:val="nil"/>
            </w:tcBorders>
          </w:tcPr>
          <w:p w14:paraId="293AE39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132(1)</w:t>
            </w:r>
          </w:p>
        </w:tc>
        <w:tc>
          <w:tcPr>
            <w:tcW w:w="6353" w:type="dxa"/>
            <w:tcBorders>
              <w:top w:val="nil"/>
              <w:left w:val="nil"/>
              <w:bottom w:val="nil"/>
              <w:right w:val="nil"/>
            </w:tcBorders>
          </w:tcPr>
          <w:p w14:paraId="5339C1F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to left of centre of road</w:t>
            </w:r>
          </w:p>
        </w:tc>
        <w:tc>
          <w:tcPr>
            <w:tcW w:w="1356" w:type="dxa"/>
            <w:tcBorders>
              <w:top w:val="nil"/>
              <w:left w:val="nil"/>
              <w:bottom w:val="nil"/>
              <w:right w:val="nil"/>
            </w:tcBorders>
          </w:tcPr>
          <w:p w14:paraId="69D2FDB7"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07B4203E" w14:textId="77777777" w:rsidTr="00911011">
        <w:trPr>
          <w:cantSplit/>
        </w:trPr>
        <w:tc>
          <w:tcPr>
            <w:tcW w:w="1076" w:type="dxa"/>
            <w:tcBorders>
              <w:top w:val="nil"/>
              <w:left w:val="nil"/>
              <w:bottom w:val="nil"/>
              <w:right w:val="nil"/>
            </w:tcBorders>
          </w:tcPr>
          <w:p w14:paraId="13F472E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132(2)</w:t>
            </w:r>
          </w:p>
        </w:tc>
        <w:tc>
          <w:tcPr>
            <w:tcW w:w="6353" w:type="dxa"/>
            <w:tcBorders>
              <w:top w:val="nil"/>
              <w:left w:val="nil"/>
              <w:bottom w:val="nil"/>
              <w:right w:val="nil"/>
            </w:tcBorders>
          </w:tcPr>
          <w:p w14:paraId="23E958F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to left of dividing line</w:t>
            </w:r>
            <w:r w:rsidRPr="002A3021">
              <w:rPr>
                <w:rFonts w:eastAsia="Times New Roman"/>
                <w:color w:val="000000"/>
                <w:sz w:val="20"/>
                <w:szCs w:val="20"/>
                <w:lang w:eastAsia="en-AU"/>
                <w14:ligatures w14:val="standardContextual"/>
              </w:rPr>
              <w:t>—</w:t>
            </w:r>
          </w:p>
        </w:tc>
        <w:tc>
          <w:tcPr>
            <w:tcW w:w="1356" w:type="dxa"/>
            <w:tcBorders>
              <w:top w:val="nil"/>
              <w:left w:val="nil"/>
              <w:bottom w:val="nil"/>
              <w:right w:val="nil"/>
            </w:tcBorders>
          </w:tcPr>
          <w:p w14:paraId="4A06F364"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C47401" w:rsidRPr="002A3021" w14:paraId="34BEE9EF" w14:textId="77777777" w:rsidTr="00911011">
        <w:trPr>
          <w:cantSplit/>
        </w:trPr>
        <w:tc>
          <w:tcPr>
            <w:tcW w:w="1076" w:type="dxa"/>
            <w:tcBorders>
              <w:top w:val="nil"/>
              <w:left w:val="nil"/>
              <w:bottom w:val="nil"/>
              <w:right w:val="nil"/>
            </w:tcBorders>
          </w:tcPr>
          <w:p w14:paraId="2445A6F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53" w:type="dxa"/>
            <w:tcBorders>
              <w:top w:val="nil"/>
              <w:left w:val="nil"/>
              <w:bottom w:val="nil"/>
              <w:right w:val="nil"/>
            </w:tcBorders>
          </w:tcPr>
          <w:p w14:paraId="1F242828" w14:textId="77777777" w:rsidR="00C47401" w:rsidRPr="002A3021" w:rsidRDefault="00C47401" w:rsidP="00C4740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if dividing line is formed by 2 parallel continuous lines</w:t>
            </w:r>
          </w:p>
        </w:tc>
        <w:tc>
          <w:tcPr>
            <w:tcW w:w="1356" w:type="dxa"/>
            <w:tcBorders>
              <w:top w:val="nil"/>
              <w:left w:val="nil"/>
              <w:bottom w:val="nil"/>
              <w:right w:val="nil"/>
            </w:tcBorders>
          </w:tcPr>
          <w:p w14:paraId="49253DC1"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EC1322D" w14:textId="77777777" w:rsidTr="00911011">
        <w:trPr>
          <w:cantSplit/>
        </w:trPr>
        <w:tc>
          <w:tcPr>
            <w:tcW w:w="1076" w:type="dxa"/>
            <w:tcBorders>
              <w:top w:val="nil"/>
              <w:left w:val="nil"/>
              <w:bottom w:val="nil"/>
              <w:right w:val="nil"/>
            </w:tcBorders>
          </w:tcPr>
          <w:p w14:paraId="1B2140F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53" w:type="dxa"/>
            <w:tcBorders>
              <w:top w:val="nil"/>
              <w:left w:val="nil"/>
              <w:bottom w:val="nil"/>
              <w:right w:val="nil"/>
            </w:tcBorders>
          </w:tcPr>
          <w:p w14:paraId="65C697C7" w14:textId="77777777" w:rsidR="00C47401" w:rsidRPr="002A3021" w:rsidRDefault="00C47401" w:rsidP="00C4740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if dividing line is any other dividing line</w:t>
            </w:r>
          </w:p>
        </w:tc>
        <w:tc>
          <w:tcPr>
            <w:tcW w:w="1356" w:type="dxa"/>
            <w:tcBorders>
              <w:top w:val="nil"/>
              <w:left w:val="nil"/>
              <w:bottom w:val="nil"/>
              <w:right w:val="nil"/>
            </w:tcBorders>
          </w:tcPr>
          <w:p w14:paraId="0EB988C9"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60873150" w14:textId="77777777" w:rsidTr="00911011">
        <w:trPr>
          <w:cantSplit/>
        </w:trPr>
        <w:tc>
          <w:tcPr>
            <w:tcW w:w="1076" w:type="dxa"/>
            <w:tcBorders>
              <w:top w:val="nil"/>
              <w:left w:val="nil"/>
              <w:bottom w:val="nil"/>
              <w:right w:val="nil"/>
            </w:tcBorders>
          </w:tcPr>
          <w:p w14:paraId="54AEDA2A"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135(1)</w:t>
            </w:r>
          </w:p>
        </w:tc>
        <w:tc>
          <w:tcPr>
            <w:tcW w:w="6353" w:type="dxa"/>
            <w:tcBorders>
              <w:top w:val="nil"/>
              <w:left w:val="nil"/>
              <w:bottom w:val="nil"/>
              <w:right w:val="nil"/>
            </w:tcBorders>
          </w:tcPr>
          <w:p w14:paraId="52F453CD"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to left of median strip</w:t>
            </w:r>
          </w:p>
        </w:tc>
        <w:tc>
          <w:tcPr>
            <w:tcW w:w="1356" w:type="dxa"/>
            <w:tcBorders>
              <w:top w:val="nil"/>
              <w:left w:val="nil"/>
              <w:bottom w:val="nil"/>
              <w:right w:val="nil"/>
            </w:tcBorders>
          </w:tcPr>
          <w:p w14:paraId="023FB173"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F50CF54" w14:textId="77777777" w:rsidTr="00911011">
        <w:trPr>
          <w:cantSplit/>
        </w:trPr>
        <w:tc>
          <w:tcPr>
            <w:tcW w:w="1076" w:type="dxa"/>
            <w:tcBorders>
              <w:top w:val="nil"/>
              <w:left w:val="nil"/>
              <w:bottom w:val="nil"/>
              <w:right w:val="nil"/>
            </w:tcBorders>
          </w:tcPr>
          <w:p w14:paraId="3D7BAE2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140</w:t>
            </w:r>
          </w:p>
        </w:tc>
        <w:tc>
          <w:tcPr>
            <w:tcW w:w="6353" w:type="dxa"/>
            <w:tcBorders>
              <w:top w:val="nil"/>
              <w:left w:val="nil"/>
              <w:bottom w:val="nil"/>
              <w:right w:val="nil"/>
            </w:tcBorders>
          </w:tcPr>
          <w:p w14:paraId="4CD58BE0"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Overtaking when not safe to do so</w:t>
            </w:r>
          </w:p>
        </w:tc>
        <w:tc>
          <w:tcPr>
            <w:tcW w:w="1356" w:type="dxa"/>
            <w:tcBorders>
              <w:top w:val="nil"/>
              <w:left w:val="nil"/>
              <w:bottom w:val="nil"/>
              <w:right w:val="nil"/>
            </w:tcBorders>
          </w:tcPr>
          <w:p w14:paraId="3763EB90"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446EE23D" w14:textId="77777777" w:rsidTr="00911011">
        <w:trPr>
          <w:cantSplit/>
        </w:trPr>
        <w:tc>
          <w:tcPr>
            <w:tcW w:w="1076" w:type="dxa"/>
            <w:tcBorders>
              <w:top w:val="nil"/>
              <w:left w:val="nil"/>
              <w:bottom w:val="nil"/>
              <w:right w:val="nil"/>
            </w:tcBorders>
          </w:tcPr>
          <w:p w14:paraId="2A2E7F1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141(1)</w:t>
            </w:r>
          </w:p>
        </w:tc>
        <w:tc>
          <w:tcPr>
            <w:tcW w:w="6353" w:type="dxa"/>
            <w:tcBorders>
              <w:top w:val="nil"/>
              <w:left w:val="nil"/>
              <w:bottom w:val="nil"/>
              <w:right w:val="nil"/>
            </w:tcBorders>
          </w:tcPr>
          <w:p w14:paraId="54CE6A5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Driver overtaking to left of other vehicle</w:t>
            </w:r>
          </w:p>
        </w:tc>
        <w:tc>
          <w:tcPr>
            <w:tcW w:w="1356" w:type="dxa"/>
            <w:tcBorders>
              <w:top w:val="nil"/>
              <w:left w:val="nil"/>
              <w:bottom w:val="nil"/>
              <w:right w:val="nil"/>
            </w:tcBorders>
          </w:tcPr>
          <w:p w14:paraId="0DD1CB3F"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0B0F79E9" w14:textId="77777777" w:rsidTr="00911011">
        <w:trPr>
          <w:cantSplit/>
        </w:trPr>
        <w:tc>
          <w:tcPr>
            <w:tcW w:w="1076" w:type="dxa"/>
            <w:tcBorders>
              <w:top w:val="nil"/>
              <w:left w:val="nil"/>
              <w:bottom w:val="nil"/>
              <w:right w:val="nil"/>
            </w:tcBorders>
          </w:tcPr>
          <w:p w14:paraId="6CEA1A6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142(1)</w:t>
            </w:r>
          </w:p>
        </w:tc>
        <w:tc>
          <w:tcPr>
            <w:tcW w:w="6353" w:type="dxa"/>
            <w:tcBorders>
              <w:top w:val="nil"/>
              <w:left w:val="nil"/>
              <w:bottom w:val="nil"/>
              <w:right w:val="nil"/>
            </w:tcBorders>
          </w:tcPr>
          <w:p w14:paraId="6C03858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Overtaking to right of vehicle turning right</w:t>
            </w:r>
          </w:p>
        </w:tc>
        <w:tc>
          <w:tcPr>
            <w:tcW w:w="1356" w:type="dxa"/>
            <w:tcBorders>
              <w:top w:val="nil"/>
              <w:left w:val="nil"/>
              <w:bottom w:val="nil"/>
              <w:right w:val="nil"/>
            </w:tcBorders>
          </w:tcPr>
          <w:p w14:paraId="5E26A186"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7FF20012" w14:textId="77777777" w:rsidTr="00911011">
        <w:trPr>
          <w:cantSplit/>
        </w:trPr>
        <w:tc>
          <w:tcPr>
            <w:tcW w:w="1076" w:type="dxa"/>
            <w:tcBorders>
              <w:top w:val="nil"/>
              <w:left w:val="nil"/>
              <w:bottom w:val="nil"/>
              <w:right w:val="nil"/>
            </w:tcBorders>
          </w:tcPr>
          <w:p w14:paraId="6BC4862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143(1)</w:t>
            </w:r>
          </w:p>
        </w:tc>
        <w:tc>
          <w:tcPr>
            <w:tcW w:w="6353" w:type="dxa"/>
            <w:tcBorders>
              <w:top w:val="nil"/>
              <w:left w:val="nil"/>
              <w:bottom w:val="nil"/>
              <w:right w:val="nil"/>
            </w:tcBorders>
          </w:tcPr>
          <w:p w14:paraId="6D5B944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to left of turning left vehicle displaying "do not overtake turning vehicle" sign</w:t>
            </w:r>
          </w:p>
        </w:tc>
        <w:tc>
          <w:tcPr>
            <w:tcW w:w="1356" w:type="dxa"/>
            <w:tcBorders>
              <w:top w:val="nil"/>
              <w:left w:val="nil"/>
              <w:bottom w:val="nil"/>
              <w:right w:val="nil"/>
            </w:tcBorders>
          </w:tcPr>
          <w:p w14:paraId="6D556434"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67F8DF9F" w14:textId="77777777" w:rsidTr="00911011">
        <w:trPr>
          <w:cantSplit/>
        </w:trPr>
        <w:tc>
          <w:tcPr>
            <w:tcW w:w="1076" w:type="dxa"/>
            <w:tcBorders>
              <w:top w:val="nil"/>
              <w:left w:val="nil"/>
              <w:bottom w:val="nil"/>
              <w:right w:val="nil"/>
            </w:tcBorders>
          </w:tcPr>
          <w:p w14:paraId="01F9A30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143(1A)</w:t>
            </w:r>
          </w:p>
        </w:tc>
        <w:tc>
          <w:tcPr>
            <w:tcW w:w="6353" w:type="dxa"/>
            <w:tcBorders>
              <w:top w:val="nil"/>
              <w:left w:val="nil"/>
              <w:bottom w:val="nil"/>
              <w:right w:val="nil"/>
            </w:tcBorders>
          </w:tcPr>
          <w:p w14:paraId="60EF4FED"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to left of vehicle displaying "do not overtake turning vehicle" sign</w:t>
            </w:r>
          </w:p>
        </w:tc>
        <w:tc>
          <w:tcPr>
            <w:tcW w:w="1356" w:type="dxa"/>
            <w:tcBorders>
              <w:top w:val="nil"/>
              <w:left w:val="nil"/>
              <w:bottom w:val="nil"/>
              <w:right w:val="nil"/>
            </w:tcBorders>
          </w:tcPr>
          <w:p w14:paraId="57DA2CE3"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39AFA594" w14:textId="77777777" w:rsidTr="00911011">
        <w:trPr>
          <w:cantSplit/>
        </w:trPr>
        <w:tc>
          <w:tcPr>
            <w:tcW w:w="1076" w:type="dxa"/>
            <w:tcBorders>
              <w:top w:val="nil"/>
              <w:left w:val="nil"/>
              <w:bottom w:val="nil"/>
              <w:right w:val="nil"/>
            </w:tcBorders>
          </w:tcPr>
          <w:p w14:paraId="51A7CAD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143(2)</w:t>
            </w:r>
          </w:p>
        </w:tc>
        <w:tc>
          <w:tcPr>
            <w:tcW w:w="6353" w:type="dxa"/>
            <w:tcBorders>
              <w:top w:val="nil"/>
              <w:left w:val="nil"/>
              <w:bottom w:val="nil"/>
              <w:right w:val="nil"/>
            </w:tcBorders>
          </w:tcPr>
          <w:p w14:paraId="2D1CE85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to right of turning right vehicle displaying "do not overtake turning vehicle" sign</w:t>
            </w:r>
          </w:p>
        </w:tc>
        <w:tc>
          <w:tcPr>
            <w:tcW w:w="1356" w:type="dxa"/>
            <w:tcBorders>
              <w:top w:val="nil"/>
              <w:left w:val="nil"/>
              <w:bottom w:val="nil"/>
              <w:right w:val="nil"/>
            </w:tcBorders>
          </w:tcPr>
          <w:p w14:paraId="490AAD85"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629F9B1F" w14:textId="77777777" w:rsidTr="00911011">
        <w:trPr>
          <w:cantSplit/>
        </w:trPr>
        <w:tc>
          <w:tcPr>
            <w:tcW w:w="1076" w:type="dxa"/>
            <w:tcBorders>
              <w:top w:val="nil"/>
              <w:left w:val="nil"/>
              <w:bottom w:val="nil"/>
              <w:right w:val="nil"/>
            </w:tcBorders>
          </w:tcPr>
          <w:p w14:paraId="226FE59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144</w:t>
            </w:r>
          </w:p>
        </w:tc>
        <w:tc>
          <w:tcPr>
            <w:tcW w:w="6353" w:type="dxa"/>
            <w:tcBorders>
              <w:top w:val="nil"/>
              <w:left w:val="nil"/>
              <w:bottom w:val="nil"/>
              <w:right w:val="nil"/>
            </w:tcBorders>
          </w:tcPr>
          <w:p w14:paraId="39C704D4"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safe distance when overtaking</w:t>
            </w:r>
          </w:p>
        </w:tc>
        <w:tc>
          <w:tcPr>
            <w:tcW w:w="1356" w:type="dxa"/>
            <w:tcBorders>
              <w:top w:val="nil"/>
              <w:left w:val="nil"/>
              <w:bottom w:val="nil"/>
              <w:right w:val="nil"/>
            </w:tcBorders>
          </w:tcPr>
          <w:p w14:paraId="23111D59"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61C9D4BA" w14:textId="77777777" w:rsidTr="00911011">
        <w:trPr>
          <w:cantSplit/>
        </w:trPr>
        <w:tc>
          <w:tcPr>
            <w:tcW w:w="1076" w:type="dxa"/>
            <w:tcBorders>
              <w:top w:val="nil"/>
              <w:left w:val="nil"/>
              <w:bottom w:val="nil"/>
              <w:right w:val="nil"/>
            </w:tcBorders>
          </w:tcPr>
          <w:p w14:paraId="200EF285"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148(1)</w:t>
            </w:r>
          </w:p>
        </w:tc>
        <w:tc>
          <w:tcPr>
            <w:tcW w:w="6353" w:type="dxa"/>
            <w:tcBorders>
              <w:top w:val="nil"/>
              <w:left w:val="nil"/>
              <w:bottom w:val="nil"/>
              <w:right w:val="nil"/>
            </w:tcBorders>
          </w:tcPr>
          <w:p w14:paraId="787A8E4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moving from one marked lane to another marked lane</w:t>
            </w:r>
          </w:p>
        </w:tc>
        <w:tc>
          <w:tcPr>
            <w:tcW w:w="1356" w:type="dxa"/>
            <w:tcBorders>
              <w:top w:val="nil"/>
              <w:left w:val="nil"/>
              <w:bottom w:val="nil"/>
              <w:right w:val="nil"/>
            </w:tcBorders>
          </w:tcPr>
          <w:p w14:paraId="10B09827"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A243B89" w14:textId="77777777" w:rsidTr="00911011">
        <w:trPr>
          <w:cantSplit/>
        </w:trPr>
        <w:tc>
          <w:tcPr>
            <w:tcW w:w="1076" w:type="dxa"/>
            <w:tcBorders>
              <w:top w:val="nil"/>
              <w:left w:val="nil"/>
              <w:bottom w:val="nil"/>
              <w:right w:val="nil"/>
            </w:tcBorders>
          </w:tcPr>
          <w:p w14:paraId="16F2C521"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148(2)</w:t>
            </w:r>
          </w:p>
        </w:tc>
        <w:tc>
          <w:tcPr>
            <w:tcW w:w="6353" w:type="dxa"/>
            <w:tcBorders>
              <w:top w:val="nil"/>
              <w:left w:val="nil"/>
              <w:bottom w:val="nil"/>
              <w:right w:val="nil"/>
            </w:tcBorders>
          </w:tcPr>
          <w:p w14:paraId="7A81497E"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moving from one line of traffic to another line of traffic</w:t>
            </w:r>
          </w:p>
        </w:tc>
        <w:tc>
          <w:tcPr>
            <w:tcW w:w="1356" w:type="dxa"/>
            <w:tcBorders>
              <w:top w:val="nil"/>
              <w:left w:val="nil"/>
              <w:bottom w:val="nil"/>
              <w:right w:val="nil"/>
            </w:tcBorders>
          </w:tcPr>
          <w:p w14:paraId="4CED640E"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5D1E90F8" w14:textId="77777777" w:rsidTr="00911011">
        <w:trPr>
          <w:cantSplit/>
        </w:trPr>
        <w:tc>
          <w:tcPr>
            <w:tcW w:w="1076" w:type="dxa"/>
            <w:tcBorders>
              <w:top w:val="nil"/>
              <w:left w:val="nil"/>
              <w:bottom w:val="nil"/>
              <w:right w:val="nil"/>
            </w:tcBorders>
          </w:tcPr>
          <w:p w14:paraId="6B0CD76D"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149</w:t>
            </w:r>
          </w:p>
        </w:tc>
        <w:tc>
          <w:tcPr>
            <w:tcW w:w="6353" w:type="dxa"/>
            <w:tcBorders>
              <w:top w:val="nil"/>
              <w:left w:val="nil"/>
              <w:bottom w:val="nil"/>
              <w:right w:val="nil"/>
            </w:tcBorders>
          </w:tcPr>
          <w:p w14:paraId="66B15693"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lines of traffic merge into single line of traffic</w:t>
            </w:r>
          </w:p>
        </w:tc>
        <w:tc>
          <w:tcPr>
            <w:tcW w:w="1356" w:type="dxa"/>
            <w:tcBorders>
              <w:top w:val="nil"/>
              <w:left w:val="nil"/>
              <w:bottom w:val="nil"/>
              <w:right w:val="nil"/>
            </w:tcBorders>
          </w:tcPr>
          <w:p w14:paraId="3C53277C"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575BE8DA" w14:textId="77777777" w:rsidTr="00911011">
        <w:trPr>
          <w:cantSplit/>
        </w:trPr>
        <w:tc>
          <w:tcPr>
            <w:tcW w:w="1076" w:type="dxa"/>
            <w:tcBorders>
              <w:top w:val="nil"/>
              <w:left w:val="nil"/>
              <w:bottom w:val="nil"/>
              <w:right w:val="nil"/>
            </w:tcBorders>
          </w:tcPr>
          <w:p w14:paraId="78AC5A86"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152(1)</w:t>
            </w:r>
          </w:p>
        </w:tc>
        <w:tc>
          <w:tcPr>
            <w:tcW w:w="6353" w:type="dxa"/>
            <w:tcBorders>
              <w:top w:val="nil"/>
              <w:left w:val="nil"/>
              <w:bottom w:val="nil"/>
              <w:right w:val="nil"/>
            </w:tcBorders>
          </w:tcPr>
          <w:p w14:paraId="0719BE1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marked lane to which overhead lane control device applies—failing to comply with rule</w:t>
            </w:r>
          </w:p>
        </w:tc>
        <w:tc>
          <w:tcPr>
            <w:tcW w:w="1356" w:type="dxa"/>
            <w:tcBorders>
              <w:top w:val="nil"/>
              <w:left w:val="nil"/>
              <w:bottom w:val="nil"/>
              <w:right w:val="nil"/>
            </w:tcBorders>
          </w:tcPr>
          <w:p w14:paraId="019F4D0F"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2C1F132" w14:textId="77777777" w:rsidTr="00911011">
        <w:trPr>
          <w:cantSplit/>
        </w:trPr>
        <w:tc>
          <w:tcPr>
            <w:tcW w:w="1076" w:type="dxa"/>
            <w:tcBorders>
              <w:top w:val="nil"/>
              <w:left w:val="nil"/>
              <w:bottom w:val="nil"/>
              <w:right w:val="nil"/>
            </w:tcBorders>
          </w:tcPr>
          <w:p w14:paraId="7C00DA12"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155(1)</w:t>
            </w:r>
          </w:p>
        </w:tc>
        <w:tc>
          <w:tcPr>
            <w:tcW w:w="6353" w:type="dxa"/>
            <w:tcBorders>
              <w:top w:val="nil"/>
              <w:left w:val="nil"/>
              <w:bottom w:val="nil"/>
              <w:right w:val="nil"/>
            </w:tcBorders>
          </w:tcPr>
          <w:p w14:paraId="47BAD8E7"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tram lane</w:t>
            </w:r>
          </w:p>
        </w:tc>
        <w:tc>
          <w:tcPr>
            <w:tcW w:w="1356" w:type="dxa"/>
            <w:tcBorders>
              <w:top w:val="nil"/>
              <w:left w:val="nil"/>
              <w:bottom w:val="nil"/>
              <w:right w:val="nil"/>
            </w:tcBorders>
          </w:tcPr>
          <w:p w14:paraId="661FF334"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581D332" w14:textId="77777777" w:rsidTr="00911011">
        <w:trPr>
          <w:cantSplit/>
        </w:trPr>
        <w:tc>
          <w:tcPr>
            <w:tcW w:w="1076" w:type="dxa"/>
            <w:tcBorders>
              <w:top w:val="nil"/>
              <w:left w:val="nil"/>
              <w:bottom w:val="nil"/>
              <w:right w:val="nil"/>
            </w:tcBorders>
          </w:tcPr>
          <w:p w14:paraId="154F0D2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160(2)</w:t>
            </w:r>
          </w:p>
        </w:tc>
        <w:tc>
          <w:tcPr>
            <w:tcW w:w="6353" w:type="dxa"/>
            <w:tcBorders>
              <w:top w:val="nil"/>
              <w:left w:val="nil"/>
              <w:bottom w:val="nil"/>
              <w:right w:val="nil"/>
            </w:tcBorders>
          </w:tcPr>
          <w:p w14:paraId="14B8E3CB"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to right of tram not at or near far left side of road</w:t>
            </w:r>
          </w:p>
        </w:tc>
        <w:tc>
          <w:tcPr>
            <w:tcW w:w="1356" w:type="dxa"/>
            <w:tcBorders>
              <w:top w:val="nil"/>
              <w:left w:val="nil"/>
              <w:bottom w:val="nil"/>
              <w:right w:val="nil"/>
            </w:tcBorders>
          </w:tcPr>
          <w:p w14:paraId="1407ACEE"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3F7B146D" w14:textId="77777777" w:rsidTr="00911011">
        <w:trPr>
          <w:cantSplit/>
        </w:trPr>
        <w:tc>
          <w:tcPr>
            <w:tcW w:w="1076" w:type="dxa"/>
            <w:tcBorders>
              <w:top w:val="nil"/>
              <w:left w:val="nil"/>
              <w:bottom w:val="nil"/>
              <w:right w:val="nil"/>
            </w:tcBorders>
          </w:tcPr>
          <w:p w14:paraId="608FE97F"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160(3)</w:t>
            </w:r>
          </w:p>
        </w:tc>
        <w:tc>
          <w:tcPr>
            <w:tcW w:w="6353" w:type="dxa"/>
            <w:tcBorders>
              <w:top w:val="nil"/>
              <w:left w:val="nil"/>
              <w:bottom w:val="nil"/>
              <w:right w:val="nil"/>
            </w:tcBorders>
          </w:tcPr>
          <w:p w14:paraId="0BFDA02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left turning etc tram not at or near far left side of road</w:t>
            </w:r>
          </w:p>
        </w:tc>
        <w:tc>
          <w:tcPr>
            <w:tcW w:w="1356" w:type="dxa"/>
            <w:tcBorders>
              <w:top w:val="nil"/>
              <w:left w:val="nil"/>
              <w:bottom w:val="nil"/>
              <w:right w:val="nil"/>
            </w:tcBorders>
          </w:tcPr>
          <w:p w14:paraId="1BF5CB0B"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38616A81" w14:textId="77777777" w:rsidTr="00911011">
        <w:trPr>
          <w:cantSplit/>
        </w:trPr>
        <w:tc>
          <w:tcPr>
            <w:tcW w:w="1076" w:type="dxa"/>
            <w:tcBorders>
              <w:top w:val="nil"/>
              <w:left w:val="nil"/>
              <w:bottom w:val="nil"/>
              <w:right w:val="nil"/>
            </w:tcBorders>
          </w:tcPr>
          <w:p w14:paraId="6FCB729C"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161(2)</w:t>
            </w:r>
          </w:p>
        </w:tc>
        <w:tc>
          <w:tcPr>
            <w:tcW w:w="6353" w:type="dxa"/>
            <w:tcBorders>
              <w:top w:val="nil"/>
              <w:left w:val="nil"/>
              <w:bottom w:val="nil"/>
              <w:right w:val="nil"/>
            </w:tcBorders>
          </w:tcPr>
          <w:p w14:paraId="6AF8C2C8" w14:textId="77777777"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to left of tram at or near the left side of road</w:t>
            </w:r>
          </w:p>
        </w:tc>
        <w:tc>
          <w:tcPr>
            <w:tcW w:w="1356" w:type="dxa"/>
            <w:tcBorders>
              <w:top w:val="nil"/>
              <w:left w:val="nil"/>
              <w:bottom w:val="nil"/>
              <w:right w:val="nil"/>
            </w:tcBorders>
          </w:tcPr>
          <w:p w14:paraId="64555316" w14:textId="77777777"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bl>
    <w:p w14:paraId="599C5BED" w14:textId="77777777" w:rsidR="004311B6" w:rsidRDefault="004311B6">
      <w:r>
        <w:br w:type="page"/>
      </w:r>
    </w:p>
    <w:tbl>
      <w:tblPr>
        <w:tblW w:w="0" w:type="auto"/>
        <w:tblLayout w:type="fixed"/>
        <w:tblCellMar>
          <w:left w:w="60" w:type="dxa"/>
          <w:right w:w="60" w:type="dxa"/>
        </w:tblCellMar>
        <w:tblLook w:val="0000" w:firstRow="0" w:lastRow="0" w:firstColumn="0" w:lastColumn="0" w:noHBand="0" w:noVBand="0"/>
      </w:tblPr>
      <w:tblGrid>
        <w:gridCol w:w="1076"/>
        <w:gridCol w:w="6353"/>
        <w:gridCol w:w="1356"/>
      </w:tblGrid>
      <w:tr w:rsidR="00C47401" w:rsidRPr="002A3021" w14:paraId="0B9AE1B8" w14:textId="77777777" w:rsidTr="006A1F8A">
        <w:trPr>
          <w:cantSplit/>
        </w:trPr>
        <w:tc>
          <w:tcPr>
            <w:tcW w:w="1076" w:type="dxa"/>
            <w:tcBorders>
              <w:top w:val="nil"/>
              <w:left w:val="nil"/>
              <w:bottom w:val="single" w:sz="4" w:space="0" w:color="auto"/>
              <w:right w:val="nil"/>
            </w:tcBorders>
          </w:tcPr>
          <w:p w14:paraId="0C3FA5D7" w14:textId="198A0D48"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53" w:type="dxa"/>
            <w:tcBorders>
              <w:top w:val="nil"/>
              <w:left w:val="nil"/>
              <w:bottom w:val="single" w:sz="4" w:space="0" w:color="auto"/>
              <w:right w:val="nil"/>
            </w:tcBorders>
          </w:tcPr>
          <w:p w14:paraId="00C9EDD2" w14:textId="602C4A56" w:rsidR="00C47401" w:rsidRPr="002A3021" w:rsidRDefault="00C47401" w:rsidP="00C4740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5" w:history="1">
              <w:r w:rsidRPr="002A3021">
                <w:rPr>
                  <w:rFonts w:eastAsia="Times New Roman"/>
                  <w:b/>
                  <w:bCs/>
                  <w:i/>
                  <w:iCs/>
                  <w:color w:val="000000"/>
                  <w:sz w:val="20"/>
                  <w:szCs w:val="20"/>
                  <w:lang w:eastAsia="en-AU"/>
                  <w14:ligatures w14:val="standardContextual"/>
                </w:rPr>
                <w:t>Australian Road Rules</w:t>
              </w:r>
            </w:hyperlink>
          </w:p>
        </w:tc>
        <w:tc>
          <w:tcPr>
            <w:tcW w:w="1356" w:type="dxa"/>
            <w:tcBorders>
              <w:top w:val="nil"/>
              <w:left w:val="nil"/>
              <w:bottom w:val="single" w:sz="4" w:space="0" w:color="auto"/>
              <w:right w:val="nil"/>
            </w:tcBorders>
          </w:tcPr>
          <w:p w14:paraId="5DB5340E" w14:textId="1E2CB483" w:rsidR="00C47401" w:rsidRPr="002A3021" w:rsidRDefault="00C47401" w:rsidP="00C4740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C47401" w:rsidRPr="002A3021" w14:paraId="30BFBE75" w14:textId="77777777" w:rsidTr="006A1F8A">
        <w:trPr>
          <w:cantSplit/>
        </w:trPr>
        <w:tc>
          <w:tcPr>
            <w:tcW w:w="1076" w:type="dxa"/>
            <w:tcBorders>
              <w:top w:val="single" w:sz="4" w:space="0" w:color="auto"/>
              <w:left w:val="nil"/>
              <w:bottom w:val="nil"/>
              <w:right w:val="nil"/>
            </w:tcBorders>
          </w:tcPr>
          <w:p w14:paraId="11A4400F" w14:textId="7E7D6391"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161(3)</w:t>
            </w:r>
          </w:p>
        </w:tc>
        <w:tc>
          <w:tcPr>
            <w:tcW w:w="6353" w:type="dxa"/>
            <w:tcBorders>
              <w:top w:val="single" w:sz="4" w:space="0" w:color="auto"/>
              <w:left w:val="nil"/>
              <w:bottom w:val="nil"/>
              <w:right w:val="nil"/>
            </w:tcBorders>
          </w:tcPr>
          <w:p w14:paraId="653A3552" w14:textId="2B61BEC4" w:rsidR="00C47401" w:rsidRPr="002A3021" w:rsidRDefault="00C47401" w:rsidP="005A0BCF">
            <w:pPr>
              <w:keepLines/>
              <w:autoSpaceDE w:val="0"/>
              <w:autoSpaceDN w:val="0"/>
              <w:adjustRightInd w:val="0"/>
              <w:spacing w:before="11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Passing or overtaking tram turning right or giving right change of direction signal</w:t>
            </w:r>
          </w:p>
        </w:tc>
        <w:tc>
          <w:tcPr>
            <w:tcW w:w="1356" w:type="dxa"/>
            <w:tcBorders>
              <w:top w:val="single" w:sz="4" w:space="0" w:color="auto"/>
              <w:left w:val="nil"/>
              <w:bottom w:val="nil"/>
              <w:right w:val="nil"/>
            </w:tcBorders>
          </w:tcPr>
          <w:p w14:paraId="051C7BA3" w14:textId="5FE0403D"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C47401" w:rsidRPr="002A3021" w14:paraId="256C3559" w14:textId="77777777" w:rsidTr="00911011">
        <w:trPr>
          <w:cantSplit/>
        </w:trPr>
        <w:tc>
          <w:tcPr>
            <w:tcW w:w="1076" w:type="dxa"/>
            <w:tcBorders>
              <w:top w:val="nil"/>
              <w:left w:val="nil"/>
              <w:bottom w:val="nil"/>
              <w:right w:val="nil"/>
            </w:tcBorders>
          </w:tcPr>
          <w:p w14:paraId="4FD20C9C"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162(1)</w:t>
            </w:r>
          </w:p>
        </w:tc>
        <w:tc>
          <w:tcPr>
            <w:tcW w:w="6353" w:type="dxa"/>
            <w:tcBorders>
              <w:top w:val="nil"/>
              <w:left w:val="nil"/>
              <w:bottom w:val="nil"/>
              <w:right w:val="nil"/>
            </w:tcBorders>
          </w:tcPr>
          <w:p w14:paraId="483AA26D"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safety zone</w:t>
            </w:r>
          </w:p>
        </w:tc>
        <w:tc>
          <w:tcPr>
            <w:tcW w:w="1356" w:type="dxa"/>
            <w:tcBorders>
              <w:top w:val="nil"/>
              <w:left w:val="nil"/>
              <w:bottom w:val="nil"/>
              <w:right w:val="nil"/>
            </w:tcBorders>
          </w:tcPr>
          <w:p w14:paraId="0C75FCB4"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5BC88399" w14:textId="77777777" w:rsidTr="00911011">
        <w:trPr>
          <w:cantSplit/>
        </w:trPr>
        <w:tc>
          <w:tcPr>
            <w:tcW w:w="1076" w:type="dxa"/>
            <w:tcBorders>
              <w:top w:val="nil"/>
              <w:left w:val="nil"/>
              <w:bottom w:val="nil"/>
              <w:right w:val="nil"/>
            </w:tcBorders>
          </w:tcPr>
          <w:p w14:paraId="43475466"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163(1)</w:t>
            </w:r>
          </w:p>
        </w:tc>
        <w:tc>
          <w:tcPr>
            <w:tcW w:w="6353" w:type="dxa"/>
            <w:tcBorders>
              <w:top w:val="nil"/>
              <w:left w:val="nil"/>
              <w:bottom w:val="nil"/>
              <w:right w:val="nil"/>
            </w:tcBorders>
          </w:tcPr>
          <w:p w14:paraId="227DA852"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rear of stopped tram at tram stop</w:t>
            </w:r>
          </w:p>
        </w:tc>
        <w:tc>
          <w:tcPr>
            <w:tcW w:w="1356" w:type="dxa"/>
            <w:tcBorders>
              <w:top w:val="nil"/>
              <w:left w:val="nil"/>
              <w:bottom w:val="nil"/>
              <w:right w:val="nil"/>
            </w:tcBorders>
          </w:tcPr>
          <w:p w14:paraId="49AF0E68"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535A78A" w14:textId="77777777" w:rsidTr="00911011">
        <w:trPr>
          <w:cantSplit/>
        </w:trPr>
        <w:tc>
          <w:tcPr>
            <w:tcW w:w="1076" w:type="dxa"/>
            <w:tcBorders>
              <w:top w:val="nil"/>
              <w:left w:val="nil"/>
              <w:bottom w:val="nil"/>
              <w:right w:val="nil"/>
            </w:tcBorders>
          </w:tcPr>
          <w:p w14:paraId="366D59ED"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164(1)</w:t>
            </w:r>
          </w:p>
        </w:tc>
        <w:tc>
          <w:tcPr>
            <w:tcW w:w="6353" w:type="dxa"/>
            <w:tcBorders>
              <w:top w:val="nil"/>
              <w:left w:val="nil"/>
              <w:bottom w:val="nil"/>
              <w:right w:val="nil"/>
            </w:tcBorders>
          </w:tcPr>
          <w:p w14:paraId="1C1FAEAB"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when tram stops at tram stop</w:t>
            </w:r>
          </w:p>
        </w:tc>
        <w:tc>
          <w:tcPr>
            <w:tcW w:w="1356" w:type="dxa"/>
            <w:tcBorders>
              <w:top w:val="nil"/>
              <w:left w:val="nil"/>
              <w:bottom w:val="nil"/>
              <w:right w:val="nil"/>
            </w:tcBorders>
          </w:tcPr>
          <w:p w14:paraId="067C9A3C"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69A622C4" w14:textId="77777777" w:rsidTr="00911011">
        <w:trPr>
          <w:cantSplit/>
        </w:trPr>
        <w:tc>
          <w:tcPr>
            <w:tcW w:w="1076" w:type="dxa"/>
            <w:tcBorders>
              <w:top w:val="nil"/>
              <w:left w:val="nil"/>
              <w:bottom w:val="nil"/>
              <w:right w:val="nil"/>
            </w:tcBorders>
          </w:tcPr>
          <w:p w14:paraId="26695EBB"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164A(1)</w:t>
            </w:r>
          </w:p>
        </w:tc>
        <w:tc>
          <w:tcPr>
            <w:tcW w:w="6353" w:type="dxa"/>
            <w:tcBorders>
              <w:top w:val="nil"/>
              <w:left w:val="nil"/>
              <w:bottom w:val="nil"/>
              <w:right w:val="nil"/>
            </w:tcBorders>
          </w:tcPr>
          <w:p w14:paraId="336400A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stay stopped if tram stops alongside at tram stop</w:t>
            </w:r>
          </w:p>
        </w:tc>
        <w:tc>
          <w:tcPr>
            <w:tcW w:w="1356" w:type="dxa"/>
            <w:tcBorders>
              <w:top w:val="nil"/>
              <w:left w:val="nil"/>
              <w:bottom w:val="nil"/>
              <w:right w:val="nil"/>
            </w:tcBorders>
          </w:tcPr>
          <w:p w14:paraId="1E7AD766"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BA36E15" w14:textId="77777777" w:rsidTr="00911011">
        <w:trPr>
          <w:cantSplit/>
        </w:trPr>
        <w:tc>
          <w:tcPr>
            <w:tcW w:w="1076" w:type="dxa"/>
            <w:tcBorders>
              <w:top w:val="nil"/>
              <w:left w:val="nil"/>
              <w:bottom w:val="nil"/>
              <w:right w:val="nil"/>
            </w:tcBorders>
          </w:tcPr>
          <w:p w14:paraId="2590BAA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215(1)</w:t>
            </w:r>
          </w:p>
        </w:tc>
        <w:tc>
          <w:tcPr>
            <w:tcW w:w="6353" w:type="dxa"/>
            <w:tcBorders>
              <w:top w:val="nil"/>
              <w:left w:val="nil"/>
              <w:bottom w:val="nil"/>
              <w:right w:val="nil"/>
            </w:tcBorders>
          </w:tcPr>
          <w:p w14:paraId="3C567A41"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use lights when driving at night or in hazardous weather conditions</w:t>
            </w:r>
          </w:p>
        </w:tc>
        <w:tc>
          <w:tcPr>
            <w:tcW w:w="1356" w:type="dxa"/>
            <w:tcBorders>
              <w:top w:val="nil"/>
              <w:left w:val="nil"/>
              <w:bottom w:val="nil"/>
              <w:right w:val="nil"/>
            </w:tcBorders>
          </w:tcPr>
          <w:p w14:paraId="5C9CEFAC"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r>
      <w:tr w:rsidR="00C47401" w:rsidRPr="002A3021" w14:paraId="7010F6A1" w14:textId="77777777" w:rsidTr="00911011">
        <w:trPr>
          <w:cantSplit/>
        </w:trPr>
        <w:tc>
          <w:tcPr>
            <w:tcW w:w="1076" w:type="dxa"/>
            <w:tcBorders>
              <w:top w:val="nil"/>
              <w:left w:val="nil"/>
              <w:bottom w:val="nil"/>
              <w:right w:val="nil"/>
            </w:tcBorders>
          </w:tcPr>
          <w:p w14:paraId="17C2D1E1"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216(1)</w:t>
            </w:r>
          </w:p>
        </w:tc>
        <w:tc>
          <w:tcPr>
            <w:tcW w:w="6353" w:type="dxa"/>
            <w:tcBorders>
              <w:top w:val="nil"/>
              <w:left w:val="nil"/>
              <w:bottom w:val="nil"/>
              <w:right w:val="nil"/>
            </w:tcBorders>
          </w:tcPr>
          <w:p w14:paraId="27FA6BB2"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use lights when towing vehicle at night or in hazardous weather conditions</w:t>
            </w:r>
          </w:p>
        </w:tc>
        <w:tc>
          <w:tcPr>
            <w:tcW w:w="1356" w:type="dxa"/>
            <w:tcBorders>
              <w:top w:val="nil"/>
              <w:left w:val="nil"/>
              <w:bottom w:val="nil"/>
              <w:right w:val="nil"/>
            </w:tcBorders>
          </w:tcPr>
          <w:p w14:paraId="4D026607"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r>
      <w:tr w:rsidR="00C47401" w:rsidRPr="002A3021" w14:paraId="24987DC8" w14:textId="77777777" w:rsidTr="00911011">
        <w:trPr>
          <w:cantSplit/>
        </w:trPr>
        <w:tc>
          <w:tcPr>
            <w:tcW w:w="1076" w:type="dxa"/>
            <w:tcBorders>
              <w:top w:val="nil"/>
              <w:left w:val="nil"/>
              <w:bottom w:val="nil"/>
              <w:right w:val="nil"/>
            </w:tcBorders>
          </w:tcPr>
          <w:p w14:paraId="55D26165"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218(1)</w:t>
            </w:r>
          </w:p>
        </w:tc>
        <w:tc>
          <w:tcPr>
            <w:tcW w:w="6353" w:type="dxa"/>
            <w:tcBorders>
              <w:top w:val="nil"/>
              <w:left w:val="nil"/>
              <w:bottom w:val="nil"/>
              <w:right w:val="nil"/>
            </w:tcBorders>
          </w:tcPr>
          <w:p w14:paraId="02EF308B"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Using headlights on high</w:t>
            </w:r>
            <w:r w:rsidRPr="002A3021">
              <w:rPr>
                <w:rFonts w:eastAsia="Times New Roman"/>
                <w:i/>
                <w:iCs/>
                <w:color w:val="000000"/>
                <w:sz w:val="20"/>
                <w:szCs w:val="20"/>
                <w:lang w:eastAsia="en-AU"/>
                <w14:ligatures w14:val="standardContextual"/>
              </w:rPr>
              <w:noBreakHyphen/>
              <w:t>beam</w:t>
            </w:r>
          </w:p>
        </w:tc>
        <w:tc>
          <w:tcPr>
            <w:tcW w:w="1356" w:type="dxa"/>
            <w:tcBorders>
              <w:top w:val="nil"/>
              <w:left w:val="nil"/>
              <w:bottom w:val="nil"/>
              <w:right w:val="nil"/>
            </w:tcBorders>
          </w:tcPr>
          <w:p w14:paraId="2D25F799"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r>
      <w:tr w:rsidR="00C47401" w:rsidRPr="002A3021" w14:paraId="5A60423D" w14:textId="77777777" w:rsidTr="00911011">
        <w:trPr>
          <w:cantSplit/>
        </w:trPr>
        <w:tc>
          <w:tcPr>
            <w:tcW w:w="1076" w:type="dxa"/>
            <w:tcBorders>
              <w:top w:val="nil"/>
              <w:left w:val="nil"/>
              <w:bottom w:val="nil"/>
              <w:right w:val="nil"/>
            </w:tcBorders>
          </w:tcPr>
          <w:p w14:paraId="091E19E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219</w:t>
            </w:r>
          </w:p>
        </w:tc>
        <w:tc>
          <w:tcPr>
            <w:tcW w:w="6353" w:type="dxa"/>
            <w:tcBorders>
              <w:top w:val="nil"/>
              <w:left w:val="nil"/>
              <w:bottom w:val="nil"/>
              <w:right w:val="nil"/>
            </w:tcBorders>
          </w:tcPr>
          <w:p w14:paraId="62D582BF"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Using lights to dazzle other road users</w:t>
            </w:r>
          </w:p>
        </w:tc>
        <w:tc>
          <w:tcPr>
            <w:tcW w:w="1356" w:type="dxa"/>
            <w:tcBorders>
              <w:top w:val="nil"/>
              <w:left w:val="nil"/>
              <w:bottom w:val="nil"/>
              <w:right w:val="nil"/>
            </w:tcBorders>
          </w:tcPr>
          <w:p w14:paraId="3405B793"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w:t>
            </w:r>
          </w:p>
        </w:tc>
      </w:tr>
      <w:tr w:rsidR="00C47401" w:rsidRPr="002A3021" w14:paraId="28D8A25A" w14:textId="77777777" w:rsidTr="00911011">
        <w:trPr>
          <w:cantSplit/>
        </w:trPr>
        <w:tc>
          <w:tcPr>
            <w:tcW w:w="1076" w:type="dxa"/>
            <w:tcBorders>
              <w:top w:val="nil"/>
              <w:left w:val="nil"/>
              <w:bottom w:val="nil"/>
              <w:right w:val="nil"/>
            </w:tcBorders>
          </w:tcPr>
          <w:p w14:paraId="39DA1512"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264</w:t>
            </w:r>
          </w:p>
        </w:tc>
        <w:tc>
          <w:tcPr>
            <w:tcW w:w="6353" w:type="dxa"/>
            <w:tcBorders>
              <w:top w:val="nil"/>
              <w:left w:val="nil"/>
              <w:bottom w:val="nil"/>
              <w:right w:val="nil"/>
            </w:tcBorders>
          </w:tcPr>
          <w:p w14:paraId="7E67377D"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wear approved seatbelt, and be seated, in accordance with rule—driver</w:t>
            </w:r>
          </w:p>
        </w:tc>
        <w:tc>
          <w:tcPr>
            <w:tcW w:w="1356" w:type="dxa"/>
            <w:tcBorders>
              <w:top w:val="nil"/>
              <w:left w:val="nil"/>
              <w:bottom w:val="nil"/>
              <w:right w:val="nil"/>
            </w:tcBorders>
          </w:tcPr>
          <w:p w14:paraId="58C8C273"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26BC72F1" w14:textId="77777777" w:rsidTr="00911011">
        <w:trPr>
          <w:cantSplit/>
        </w:trPr>
        <w:tc>
          <w:tcPr>
            <w:tcW w:w="1076" w:type="dxa"/>
            <w:tcBorders>
              <w:top w:val="nil"/>
              <w:left w:val="nil"/>
              <w:bottom w:val="nil"/>
              <w:right w:val="nil"/>
            </w:tcBorders>
          </w:tcPr>
          <w:p w14:paraId="19D911B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266(1)</w:t>
            </w:r>
          </w:p>
        </w:tc>
        <w:tc>
          <w:tcPr>
            <w:tcW w:w="6353" w:type="dxa"/>
            <w:tcBorders>
              <w:top w:val="nil"/>
              <w:left w:val="nil"/>
              <w:bottom w:val="nil"/>
              <w:right w:val="nil"/>
            </w:tcBorders>
          </w:tcPr>
          <w:p w14:paraId="378A5E98"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ensure passengers under 16 years old are restrained and seated in accordance with rule</w:t>
            </w:r>
            <w:r w:rsidRPr="002A3021">
              <w:rPr>
                <w:rFonts w:eastAsia="Times New Roman"/>
                <w:color w:val="000000"/>
                <w:sz w:val="20"/>
                <w:szCs w:val="20"/>
                <w:lang w:eastAsia="en-AU"/>
                <w14:ligatures w14:val="standardContextual"/>
              </w:rPr>
              <w:t>—</w:t>
            </w:r>
          </w:p>
        </w:tc>
        <w:tc>
          <w:tcPr>
            <w:tcW w:w="1356" w:type="dxa"/>
            <w:tcBorders>
              <w:top w:val="nil"/>
              <w:left w:val="nil"/>
              <w:bottom w:val="nil"/>
              <w:right w:val="nil"/>
            </w:tcBorders>
          </w:tcPr>
          <w:p w14:paraId="525BCC60"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p>
        </w:tc>
      </w:tr>
      <w:tr w:rsidR="00C47401" w:rsidRPr="002A3021" w14:paraId="3210D040" w14:textId="77777777" w:rsidTr="00911011">
        <w:trPr>
          <w:cantSplit/>
        </w:trPr>
        <w:tc>
          <w:tcPr>
            <w:tcW w:w="1076" w:type="dxa"/>
            <w:tcBorders>
              <w:top w:val="nil"/>
              <w:left w:val="nil"/>
              <w:bottom w:val="nil"/>
              <w:right w:val="nil"/>
            </w:tcBorders>
          </w:tcPr>
          <w:p w14:paraId="269248E4"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p>
        </w:tc>
        <w:tc>
          <w:tcPr>
            <w:tcW w:w="6353" w:type="dxa"/>
            <w:tcBorders>
              <w:top w:val="nil"/>
              <w:left w:val="nil"/>
              <w:bottom w:val="nil"/>
              <w:right w:val="nil"/>
            </w:tcBorders>
          </w:tcPr>
          <w:p w14:paraId="5503154A" w14:textId="77777777" w:rsidR="00C47401" w:rsidRPr="002A3021" w:rsidRDefault="00C47401" w:rsidP="005A0BCF">
            <w:pPr>
              <w:keepLines/>
              <w:tabs>
                <w:tab w:val="center" w:pos="397"/>
                <w:tab w:val="left" w:pos="794"/>
              </w:tabs>
              <w:autoSpaceDE w:val="0"/>
              <w:autoSpaceDN w:val="0"/>
              <w:adjustRightInd w:val="0"/>
              <w:spacing w:before="11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 xml:space="preserve">driver who is a person referred to in section 98BI(1)(a)(i) or (ii) of the </w:t>
            </w:r>
            <w:hyperlink r:id="rId86" w:history="1">
              <w:r w:rsidRPr="002A3021">
                <w:rPr>
                  <w:rFonts w:eastAsia="Times New Roman"/>
                  <w:i/>
                  <w:iCs/>
                  <w:color w:val="000000"/>
                  <w:sz w:val="20"/>
                  <w:szCs w:val="20"/>
                  <w:lang w:eastAsia="en-AU"/>
                  <w14:ligatures w14:val="standardContextual"/>
                </w:rPr>
                <w:t>Motor Vehicles Act 1959</w:t>
              </w:r>
            </w:hyperlink>
          </w:p>
        </w:tc>
        <w:tc>
          <w:tcPr>
            <w:tcW w:w="1356" w:type="dxa"/>
            <w:tcBorders>
              <w:top w:val="nil"/>
              <w:left w:val="nil"/>
              <w:bottom w:val="nil"/>
              <w:right w:val="nil"/>
            </w:tcBorders>
          </w:tcPr>
          <w:p w14:paraId="72549624"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084674F6" w14:textId="77777777" w:rsidTr="00911011">
        <w:trPr>
          <w:cantSplit/>
        </w:trPr>
        <w:tc>
          <w:tcPr>
            <w:tcW w:w="1076" w:type="dxa"/>
            <w:tcBorders>
              <w:top w:val="nil"/>
              <w:left w:val="nil"/>
              <w:bottom w:val="nil"/>
              <w:right w:val="nil"/>
            </w:tcBorders>
          </w:tcPr>
          <w:p w14:paraId="4A11F3C0"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p>
        </w:tc>
        <w:tc>
          <w:tcPr>
            <w:tcW w:w="6353" w:type="dxa"/>
            <w:tcBorders>
              <w:top w:val="nil"/>
              <w:left w:val="nil"/>
              <w:bottom w:val="nil"/>
              <w:right w:val="nil"/>
            </w:tcBorders>
          </w:tcPr>
          <w:p w14:paraId="2DC0F80C" w14:textId="77777777" w:rsidR="00C47401" w:rsidRPr="002A3021" w:rsidRDefault="00C47401" w:rsidP="005A0BCF">
            <w:pPr>
              <w:keepLines/>
              <w:tabs>
                <w:tab w:val="center" w:pos="397"/>
                <w:tab w:val="left" w:pos="794"/>
              </w:tabs>
              <w:autoSpaceDE w:val="0"/>
              <w:autoSpaceDN w:val="0"/>
              <w:adjustRightInd w:val="0"/>
              <w:spacing w:before="11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all other drivers</w:t>
            </w:r>
          </w:p>
        </w:tc>
        <w:tc>
          <w:tcPr>
            <w:tcW w:w="1356" w:type="dxa"/>
            <w:tcBorders>
              <w:top w:val="nil"/>
              <w:left w:val="nil"/>
              <w:bottom w:val="nil"/>
              <w:right w:val="nil"/>
            </w:tcBorders>
          </w:tcPr>
          <w:p w14:paraId="5EF8C265"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see clause 5</w:t>
            </w:r>
          </w:p>
        </w:tc>
      </w:tr>
      <w:tr w:rsidR="00C47401" w:rsidRPr="002A3021" w14:paraId="055A20FC" w14:textId="77777777" w:rsidTr="00911011">
        <w:trPr>
          <w:cantSplit/>
        </w:trPr>
        <w:tc>
          <w:tcPr>
            <w:tcW w:w="1076" w:type="dxa"/>
            <w:tcBorders>
              <w:top w:val="nil"/>
              <w:left w:val="nil"/>
              <w:bottom w:val="nil"/>
              <w:right w:val="nil"/>
            </w:tcBorders>
          </w:tcPr>
          <w:p w14:paraId="1201B3CC"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270(1)</w:t>
            </w:r>
          </w:p>
        </w:tc>
        <w:tc>
          <w:tcPr>
            <w:tcW w:w="6353" w:type="dxa"/>
            <w:tcBorders>
              <w:top w:val="nil"/>
              <w:left w:val="nil"/>
              <w:bottom w:val="nil"/>
              <w:right w:val="nil"/>
            </w:tcBorders>
          </w:tcPr>
          <w:p w14:paraId="665B55F3"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Riding motor bike without wearing helmet or with passenger not wearing helmet</w:t>
            </w:r>
          </w:p>
        </w:tc>
        <w:tc>
          <w:tcPr>
            <w:tcW w:w="1356" w:type="dxa"/>
            <w:tcBorders>
              <w:top w:val="nil"/>
              <w:left w:val="nil"/>
              <w:bottom w:val="nil"/>
              <w:right w:val="nil"/>
            </w:tcBorders>
          </w:tcPr>
          <w:p w14:paraId="58FD37FF"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44073634" w14:textId="77777777" w:rsidTr="00911011">
        <w:trPr>
          <w:cantSplit/>
        </w:trPr>
        <w:tc>
          <w:tcPr>
            <w:tcW w:w="1076" w:type="dxa"/>
            <w:tcBorders>
              <w:top w:val="nil"/>
              <w:left w:val="nil"/>
              <w:bottom w:val="nil"/>
              <w:right w:val="nil"/>
            </w:tcBorders>
          </w:tcPr>
          <w:p w14:paraId="6DB013E0"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281</w:t>
            </w:r>
          </w:p>
        </w:tc>
        <w:tc>
          <w:tcPr>
            <w:tcW w:w="6353" w:type="dxa"/>
            <w:tcBorders>
              <w:top w:val="nil"/>
              <w:left w:val="nil"/>
              <w:bottom w:val="nil"/>
              <w:right w:val="nil"/>
            </w:tcBorders>
          </w:tcPr>
          <w:p w14:paraId="16F75849"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red B light—bus driver</w:t>
            </w:r>
          </w:p>
        </w:tc>
        <w:tc>
          <w:tcPr>
            <w:tcW w:w="1356" w:type="dxa"/>
            <w:tcBorders>
              <w:top w:val="nil"/>
              <w:left w:val="nil"/>
              <w:bottom w:val="nil"/>
              <w:right w:val="nil"/>
            </w:tcBorders>
          </w:tcPr>
          <w:p w14:paraId="2A02AF2E"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58EA8C20" w14:textId="77777777" w:rsidTr="00911011">
        <w:trPr>
          <w:cantSplit/>
        </w:trPr>
        <w:tc>
          <w:tcPr>
            <w:tcW w:w="1076" w:type="dxa"/>
            <w:tcBorders>
              <w:top w:val="nil"/>
              <w:left w:val="nil"/>
              <w:bottom w:val="nil"/>
              <w:right w:val="nil"/>
            </w:tcBorders>
          </w:tcPr>
          <w:p w14:paraId="63B72F19"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282</w:t>
            </w:r>
          </w:p>
        </w:tc>
        <w:tc>
          <w:tcPr>
            <w:tcW w:w="6353" w:type="dxa"/>
            <w:tcBorders>
              <w:top w:val="nil"/>
              <w:left w:val="nil"/>
              <w:bottom w:val="nil"/>
              <w:right w:val="nil"/>
            </w:tcBorders>
          </w:tcPr>
          <w:p w14:paraId="0596B37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yellow B light—bus driver</w:t>
            </w:r>
          </w:p>
        </w:tc>
        <w:tc>
          <w:tcPr>
            <w:tcW w:w="1356" w:type="dxa"/>
            <w:tcBorders>
              <w:top w:val="nil"/>
              <w:left w:val="nil"/>
              <w:bottom w:val="nil"/>
              <w:right w:val="nil"/>
            </w:tcBorders>
          </w:tcPr>
          <w:p w14:paraId="0170A159"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C1AAB29" w14:textId="77777777" w:rsidTr="00911011">
        <w:trPr>
          <w:cantSplit/>
        </w:trPr>
        <w:tc>
          <w:tcPr>
            <w:tcW w:w="1076" w:type="dxa"/>
            <w:tcBorders>
              <w:top w:val="nil"/>
              <w:left w:val="nil"/>
              <w:bottom w:val="nil"/>
              <w:right w:val="nil"/>
            </w:tcBorders>
          </w:tcPr>
          <w:p w14:paraId="390E9BB1"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284</w:t>
            </w:r>
          </w:p>
        </w:tc>
        <w:tc>
          <w:tcPr>
            <w:tcW w:w="6353" w:type="dxa"/>
            <w:tcBorders>
              <w:top w:val="nil"/>
              <w:left w:val="nil"/>
              <w:bottom w:val="nil"/>
              <w:right w:val="nil"/>
            </w:tcBorders>
          </w:tcPr>
          <w:p w14:paraId="0077A21B"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after stopping for red or yellow B light—bus driver</w:t>
            </w:r>
          </w:p>
        </w:tc>
        <w:tc>
          <w:tcPr>
            <w:tcW w:w="1356" w:type="dxa"/>
            <w:tcBorders>
              <w:top w:val="nil"/>
              <w:left w:val="nil"/>
              <w:bottom w:val="nil"/>
              <w:right w:val="nil"/>
            </w:tcBorders>
          </w:tcPr>
          <w:p w14:paraId="0892A042"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6CCF13F4" w14:textId="77777777" w:rsidTr="00911011">
        <w:trPr>
          <w:cantSplit/>
        </w:trPr>
        <w:tc>
          <w:tcPr>
            <w:tcW w:w="1076" w:type="dxa"/>
            <w:tcBorders>
              <w:top w:val="nil"/>
              <w:left w:val="nil"/>
              <w:bottom w:val="nil"/>
              <w:right w:val="nil"/>
            </w:tcBorders>
          </w:tcPr>
          <w:p w14:paraId="26254F86"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286(2)</w:t>
            </w:r>
          </w:p>
        </w:tc>
        <w:tc>
          <w:tcPr>
            <w:tcW w:w="6353" w:type="dxa"/>
            <w:tcBorders>
              <w:top w:val="nil"/>
              <w:left w:val="nil"/>
              <w:bottom w:val="nil"/>
              <w:right w:val="nil"/>
            </w:tcBorders>
          </w:tcPr>
          <w:p w14:paraId="0068A113"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when white B light or white traffic arrow no longer showing—bus driver proceeding before entering intersection</w:t>
            </w:r>
          </w:p>
        </w:tc>
        <w:tc>
          <w:tcPr>
            <w:tcW w:w="1356" w:type="dxa"/>
            <w:tcBorders>
              <w:top w:val="nil"/>
              <w:left w:val="nil"/>
              <w:bottom w:val="nil"/>
              <w:right w:val="nil"/>
            </w:tcBorders>
          </w:tcPr>
          <w:p w14:paraId="48F7FDC4"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12AC5806" w14:textId="77777777" w:rsidTr="00911011">
        <w:trPr>
          <w:cantSplit/>
        </w:trPr>
        <w:tc>
          <w:tcPr>
            <w:tcW w:w="1076" w:type="dxa"/>
            <w:tcBorders>
              <w:top w:val="nil"/>
              <w:left w:val="nil"/>
              <w:bottom w:val="nil"/>
              <w:right w:val="nil"/>
            </w:tcBorders>
          </w:tcPr>
          <w:p w14:paraId="5F3D785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286(3)</w:t>
            </w:r>
          </w:p>
        </w:tc>
        <w:tc>
          <w:tcPr>
            <w:tcW w:w="6353" w:type="dxa"/>
            <w:tcBorders>
              <w:top w:val="nil"/>
              <w:left w:val="nil"/>
              <w:bottom w:val="nil"/>
              <w:right w:val="nil"/>
            </w:tcBorders>
          </w:tcPr>
          <w:p w14:paraId="543F8A62"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when white B light or white traffic arrow no longer showing—bus driver failing to leave intersection</w:t>
            </w:r>
          </w:p>
        </w:tc>
        <w:tc>
          <w:tcPr>
            <w:tcW w:w="1356" w:type="dxa"/>
            <w:tcBorders>
              <w:top w:val="nil"/>
              <w:left w:val="nil"/>
              <w:bottom w:val="nil"/>
              <w:right w:val="nil"/>
            </w:tcBorders>
          </w:tcPr>
          <w:p w14:paraId="24ACC272"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2990C4C5" w14:textId="77777777" w:rsidTr="00911011">
        <w:trPr>
          <w:cantSplit/>
        </w:trPr>
        <w:tc>
          <w:tcPr>
            <w:tcW w:w="1076" w:type="dxa"/>
            <w:tcBorders>
              <w:top w:val="nil"/>
              <w:left w:val="nil"/>
              <w:bottom w:val="nil"/>
              <w:right w:val="nil"/>
            </w:tcBorders>
          </w:tcPr>
          <w:p w14:paraId="78B99207"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288(4)</w:t>
            </w:r>
          </w:p>
        </w:tc>
        <w:tc>
          <w:tcPr>
            <w:tcW w:w="6353" w:type="dxa"/>
            <w:tcBorders>
              <w:top w:val="nil"/>
              <w:left w:val="nil"/>
              <w:bottom w:val="nil"/>
              <w:right w:val="nil"/>
            </w:tcBorders>
          </w:tcPr>
          <w:p w14:paraId="02240B10"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on path—failing to give way</w:t>
            </w:r>
          </w:p>
        </w:tc>
        <w:tc>
          <w:tcPr>
            <w:tcW w:w="1356" w:type="dxa"/>
            <w:tcBorders>
              <w:top w:val="nil"/>
              <w:left w:val="nil"/>
              <w:bottom w:val="nil"/>
              <w:right w:val="nil"/>
            </w:tcBorders>
          </w:tcPr>
          <w:p w14:paraId="3BC9034F"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7554C9F5" w14:textId="77777777" w:rsidTr="00911011">
        <w:trPr>
          <w:cantSplit/>
        </w:trPr>
        <w:tc>
          <w:tcPr>
            <w:tcW w:w="1076" w:type="dxa"/>
            <w:tcBorders>
              <w:top w:val="nil"/>
              <w:left w:val="nil"/>
              <w:bottom w:val="nil"/>
              <w:right w:val="nil"/>
            </w:tcBorders>
          </w:tcPr>
          <w:p w14:paraId="31D98698"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289(2)</w:t>
            </w:r>
          </w:p>
        </w:tc>
        <w:tc>
          <w:tcPr>
            <w:tcW w:w="6353" w:type="dxa"/>
            <w:tcBorders>
              <w:top w:val="nil"/>
              <w:left w:val="nil"/>
              <w:bottom w:val="nil"/>
              <w:right w:val="nil"/>
            </w:tcBorders>
          </w:tcPr>
          <w:p w14:paraId="010D4492"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on nature strip—failing to give way</w:t>
            </w:r>
          </w:p>
        </w:tc>
        <w:tc>
          <w:tcPr>
            <w:tcW w:w="1356" w:type="dxa"/>
            <w:tcBorders>
              <w:top w:val="nil"/>
              <w:left w:val="nil"/>
              <w:bottom w:val="nil"/>
              <w:right w:val="nil"/>
            </w:tcBorders>
          </w:tcPr>
          <w:p w14:paraId="750C5639"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3B48D468" w14:textId="77777777" w:rsidTr="00911011">
        <w:trPr>
          <w:cantSplit/>
        </w:trPr>
        <w:tc>
          <w:tcPr>
            <w:tcW w:w="1076" w:type="dxa"/>
            <w:tcBorders>
              <w:top w:val="nil"/>
              <w:left w:val="nil"/>
              <w:bottom w:val="nil"/>
              <w:right w:val="nil"/>
            </w:tcBorders>
          </w:tcPr>
          <w:p w14:paraId="50D4AE1E"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300(1)</w:t>
            </w:r>
          </w:p>
        </w:tc>
        <w:tc>
          <w:tcPr>
            <w:tcW w:w="6353" w:type="dxa"/>
            <w:tcBorders>
              <w:top w:val="nil"/>
              <w:left w:val="nil"/>
              <w:bottom w:val="nil"/>
              <w:right w:val="nil"/>
            </w:tcBorders>
          </w:tcPr>
          <w:p w14:paraId="0A28A751"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Using mobile phone while driving vehicle</w:t>
            </w:r>
          </w:p>
        </w:tc>
        <w:tc>
          <w:tcPr>
            <w:tcW w:w="1356" w:type="dxa"/>
            <w:tcBorders>
              <w:top w:val="nil"/>
              <w:left w:val="nil"/>
              <w:bottom w:val="nil"/>
              <w:right w:val="nil"/>
            </w:tcBorders>
          </w:tcPr>
          <w:p w14:paraId="54A78FEA"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C47401" w:rsidRPr="002A3021" w14:paraId="148C9B3D" w14:textId="77777777" w:rsidTr="00911011">
        <w:trPr>
          <w:cantSplit/>
        </w:trPr>
        <w:tc>
          <w:tcPr>
            <w:tcW w:w="1076" w:type="dxa"/>
            <w:tcBorders>
              <w:top w:val="nil"/>
              <w:left w:val="nil"/>
              <w:bottom w:val="nil"/>
              <w:right w:val="nil"/>
            </w:tcBorders>
          </w:tcPr>
          <w:p w14:paraId="74096FCC"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304(1)</w:t>
            </w:r>
          </w:p>
        </w:tc>
        <w:tc>
          <w:tcPr>
            <w:tcW w:w="6353" w:type="dxa"/>
            <w:tcBorders>
              <w:top w:val="nil"/>
              <w:left w:val="nil"/>
              <w:bottom w:val="nil"/>
              <w:right w:val="nil"/>
            </w:tcBorders>
          </w:tcPr>
          <w:p w14:paraId="2912D308" w14:textId="77777777" w:rsidR="00C47401" w:rsidRPr="002A3021" w:rsidRDefault="00C4740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obey direction of police officer or authorised person</w:t>
            </w:r>
          </w:p>
        </w:tc>
        <w:tc>
          <w:tcPr>
            <w:tcW w:w="1356" w:type="dxa"/>
            <w:tcBorders>
              <w:top w:val="nil"/>
              <w:left w:val="nil"/>
              <w:bottom w:val="nil"/>
              <w:right w:val="nil"/>
            </w:tcBorders>
          </w:tcPr>
          <w:p w14:paraId="52369F5D" w14:textId="77777777" w:rsidR="00C47401" w:rsidRPr="002A3021" w:rsidRDefault="00C4740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712C2E93" w14:textId="77777777" w:rsidR="002A3021" w:rsidRPr="002A3021" w:rsidRDefault="002A3021" w:rsidP="005A0BCF">
      <w:pPr>
        <w:keepNext/>
        <w:keepLines/>
        <w:autoSpaceDE w:val="0"/>
        <w:autoSpaceDN w:val="0"/>
        <w:adjustRightInd w:val="0"/>
        <w:spacing w:before="120" w:after="0" w:line="240" w:lineRule="auto"/>
        <w:ind w:left="567" w:hanging="567"/>
        <w:jc w:val="left"/>
        <w:rPr>
          <w:rFonts w:eastAsia="Times New Roman"/>
          <w:b/>
          <w:bCs/>
          <w:color w:val="000000"/>
          <w:sz w:val="26"/>
          <w:szCs w:val="26"/>
          <w:lang w:eastAsia="en-AU"/>
          <w14:ligatures w14:val="standardContextual"/>
        </w:rPr>
      </w:pPr>
      <w:bookmarkStart w:id="395" w:name="Elkera_Print_TOC188"/>
      <w:bookmarkStart w:id="396" w:name="Elkera_Print_BK188"/>
      <w:r w:rsidRPr="002A3021">
        <w:rPr>
          <w:rFonts w:eastAsia="Times New Roman"/>
          <w:b/>
          <w:bCs/>
          <w:color w:val="000000"/>
          <w:sz w:val="26"/>
          <w:szCs w:val="26"/>
          <w:lang w:eastAsia="en-AU"/>
          <w14:ligatures w14:val="standardContextual"/>
        </w:rPr>
        <w:t xml:space="preserve">3—Offences against </w:t>
      </w:r>
      <w:r w:rsidRPr="002A3021">
        <w:rPr>
          <w:rFonts w:eastAsia="Times New Roman"/>
          <w:b/>
          <w:bCs/>
          <w:i/>
          <w:iCs/>
          <w:color w:val="000000"/>
          <w:sz w:val="26"/>
          <w:szCs w:val="26"/>
          <w:lang w:eastAsia="en-AU"/>
          <w14:ligatures w14:val="standardContextual"/>
        </w:rPr>
        <w:t>Heavy Vehicle National Law (South Australia)</w:t>
      </w:r>
      <w:bookmarkEnd w:id="395"/>
      <w:bookmarkEnd w:id="396"/>
    </w:p>
    <w:p w14:paraId="4703BF2E"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317"/>
        <w:gridCol w:w="6099"/>
        <w:gridCol w:w="1370"/>
      </w:tblGrid>
      <w:tr w:rsidR="002A3021" w:rsidRPr="002A3021" w14:paraId="2FC2E1BB" w14:textId="77777777" w:rsidTr="00911011">
        <w:trPr>
          <w:cantSplit/>
          <w:tblHeader/>
        </w:trPr>
        <w:tc>
          <w:tcPr>
            <w:tcW w:w="1317" w:type="dxa"/>
            <w:tcBorders>
              <w:top w:val="nil"/>
              <w:left w:val="nil"/>
              <w:bottom w:val="single" w:sz="4" w:space="0" w:color="auto"/>
              <w:right w:val="nil"/>
            </w:tcBorders>
          </w:tcPr>
          <w:p w14:paraId="75CA1243"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Section</w:t>
            </w:r>
          </w:p>
        </w:tc>
        <w:tc>
          <w:tcPr>
            <w:tcW w:w="6099" w:type="dxa"/>
            <w:tcBorders>
              <w:top w:val="nil"/>
              <w:left w:val="nil"/>
              <w:bottom w:val="single" w:sz="4" w:space="0" w:color="auto"/>
              <w:right w:val="nil"/>
            </w:tcBorders>
          </w:tcPr>
          <w:p w14:paraId="642B8A46"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7" w:history="1">
              <w:r w:rsidRPr="002A3021">
                <w:rPr>
                  <w:rFonts w:eastAsia="Times New Roman"/>
                  <w:b/>
                  <w:bCs/>
                  <w:i/>
                  <w:iCs/>
                  <w:color w:val="000000"/>
                  <w:sz w:val="20"/>
                  <w:szCs w:val="20"/>
                  <w:lang w:eastAsia="en-AU"/>
                  <w14:ligatures w14:val="standardContextual"/>
                </w:rPr>
                <w:t>Heavy Vehicle National Law (South Australia)</w:t>
              </w:r>
            </w:hyperlink>
          </w:p>
        </w:tc>
        <w:tc>
          <w:tcPr>
            <w:tcW w:w="1370" w:type="dxa"/>
            <w:tcBorders>
              <w:top w:val="nil"/>
              <w:left w:val="nil"/>
              <w:bottom w:val="single" w:sz="4" w:space="0" w:color="auto"/>
              <w:right w:val="nil"/>
            </w:tcBorders>
          </w:tcPr>
          <w:p w14:paraId="75649C08"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0646CAE2" w14:textId="77777777" w:rsidTr="00911011">
        <w:trPr>
          <w:cantSplit/>
        </w:trPr>
        <w:tc>
          <w:tcPr>
            <w:tcW w:w="1317" w:type="dxa"/>
            <w:tcBorders>
              <w:top w:val="single" w:sz="4" w:space="0" w:color="auto"/>
              <w:left w:val="nil"/>
              <w:bottom w:val="nil"/>
              <w:right w:val="nil"/>
            </w:tcBorders>
          </w:tcPr>
          <w:p w14:paraId="625AA277" w14:textId="77777777" w:rsidR="002A3021" w:rsidRPr="002A3021" w:rsidRDefault="002A302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228(1)</w:t>
            </w:r>
          </w:p>
        </w:tc>
        <w:tc>
          <w:tcPr>
            <w:tcW w:w="6099" w:type="dxa"/>
            <w:tcBorders>
              <w:top w:val="single" w:sz="4" w:space="0" w:color="auto"/>
              <w:left w:val="nil"/>
              <w:bottom w:val="nil"/>
              <w:right w:val="nil"/>
            </w:tcBorders>
          </w:tcPr>
          <w:p w14:paraId="4A179FC6" w14:textId="77777777" w:rsidR="002A3021" w:rsidRPr="002A3021" w:rsidRDefault="002A302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a fatigue</w:t>
            </w:r>
            <w:r w:rsidRPr="002A3021">
              <w:rPr>
                <w:rFonts w:eastAsia="Times New Roman"/>
                <w:i/>
                <w:iCs/>
                <w:color w:val="000000"/>
                <w:sz w:val="20"/>
                <w:szCs w:val="20"/>
                <w:lang w:eastAsia="en-AU"/>
                <w14:ligatures w14:val="standardContextual"/>
              </w:rPr>
              <w:noBreakHyphen/>
              <w:t>regulated heavy vehicle on a road while the driver is impaired by fatigue</w:t>
            </w:r>
          </w:p>
        </w:tc>
        <w:tc>
          <w:tcPr>
            <w:tcW w:w="1370" w:type="dxa"/>
            <w:tcBorders>
              <w:top w:val="single" w:sz="4" w:space="0" w:color="auto"/>
              <w:left w:val="nil"/>
              <w:bottom w:val="nil"/>
              <w:right w:val="nil"/>
            </w:tcBorders>
          </w:tcPr>
          <w:p w14:paraId="07594207" w14:textId="77777777" w:rsidR="002A3021" w:rsidRPr="002A3021" w:rsidRDefault="002A302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36779CE" w14:textId="77777777" w:rsidTr="00911011">
        <w:trPr>
          <w:cantSplit/>
        </w:trPr>
        <w:tc>
          <w:tcPr>
            <w:tcW w:w="1317" w:type="dxa"/>
            <w:tcBorders>
              <w:top w:val="nil"/>
              <w:left w:val="nil"/>
              <w:bottom w:val="nil"/>
              <w:right w:val="nil"/>
            </w:tcBorders>
          </w:tcPr>
          <w:p w14:paraId="64E1E663" w14:textId="77777777" w:rsidR="002A3021" w:rsidRPr="002A3021" w:rsidRDefault="002A302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250(1)</w:t>
            </w:r>
          </w:p>
        </w:tc>
        <w:tc>
          <w:tcPr>
            <w:tcW w:w="6099" w:type="dxa"/>
            <w:tcBorders>
              <w:top w:val="nil"/>
              <w:left w:val="nil"/>
              <w:bottom w:val="nil"/>
              <w:right w:val="nil"/>
            </w:tcBorders>
          </w:tcPr>
          <w:p w14:paraId="49505D33" w14:textId="77777777" w:rsidR="002A3021" w:rsidRPr="002A3021" w:rsidRDefault="002A302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of solo driver of a fatigue</w:t>
            </w:r>
            <w:r w:rsidRPr="002A3021">
              <w:rPr>
                <w:rFonts w:eastAsia="Times New Roman"/>
                <w:i/>
                <w:iCs/>
                <w:color w:val="000000"/>
                <w:sz w:val="20"/>
                <w:szCs w:val="20"/>
                <w:lang w:eastAsia="en-AU"/>
                <w14:ligatures w14:val="standardContextual"/>
              </w:rPr>
              <w:noBreakHyphen/>
              <w:t>regulated heavy vehicle to comply with standard hours</w:t>
            </w:r>
            <w:r w:rsidRPr="002A3021">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2B144352" w14:textId="77777777" w:rsidR="002A3021" w:rsidRPr="002A3021" w:rsidRDefault="002A302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p>
        </w:tc>
      </w:tr>
      <w:tr w:rsidR="002A3021" w:rsidRPr="002A3021" w14:paraId="3DE2B1D2" w14:textId="77777777" w:rsidTr="00911011">
        <w:trPr>
          <w:cantSplit/>
        </w:trPr>
        <w:tc>
          <w:tcPr>
            <w:tcW w:w="1317" w:type="dxa"/>
            <w:tcBorders>
              <w:top w:val="nil"/>
              <w:left w:val="nil"/>
              <w:bottom w:val="nil"/>
              <w:right w:val="nil"/>
            </w:tcBorders>
          </w:tcPr>
          <w:p w14:paraId="73B8A594" w14:textId="77777777" w:rsidR="002A3021" w:rsidRPr="002A3021" w:rsidRDefault="002A302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0DB5257D" w14:textId="77777777" w:rsidR="002A3021" w:rsidRPr="002A3021" w:rsidRDefault="002A3021" w:rsidP="005A0BCF">
            <w:pPr>
              <w:keepLines/>
              <w:tabs>
                <w:tab w:val="center" w:pos="397"/>
                <w:tab w:val="left" w:pos="794"/>
              </w:tabs>
              <w:autoSpaceDE w:val="0"/>
              <w:autoSpaceDN w:val="0"/>
              <w:adjustRightInd w:val="0"/>
              <w:spacing w:before="11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796BF6A9" w14:textId="77777777" w:rsidR="002A3021" w:rsidRPr="002A3021" w:rsidRDefault="002A302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DF7021F" w14:textId="77777777" w:rsidTr="00911011">
        <w:trPr>
          <w:cantSplit/>
        </w:trPr>
        <w:tc>
          <w:tcPr>
            <w:tcW w:w="1317" w:type="dxa"/>
            <w:tcBorders>
              <w:top w:val="nil"/>
              <w:left w:val="nil"/>
              <w:bottom w:val="nil"/>
              <w:right w:val="nil"/>
            </w:tcBorders>
          </w:tcPr>
          <w:p w14:paraId="3CCCAC04" w14:textId="5E7F8151" w:rsidR="002A3021" w:rsidRPr="002A3021" w:rsidRDefault="002A3021" w:rsidP="005A0BCF">
            <w:pPr>
              <w:keepLines/>
              <w:autoSpaceDE w:val="0"/>
              <w:autoSpaceDN w:val="0"/>
              <w:adjustRightInd w:val="0"/>
              <w:spacing w:before="11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12EFF06B" w14:textId="77777777" w:rsidR="002A3021" w:rsidRPr="002A3021" w:rsidRDefault="002A3021" w:rsidP="005A0BCF">
            <w:pPr>
              <w:keepLines/>
              <w:tabs>
                <w:tab w:val="center" w:pos="397"/>
                <w:tab w:val="left" w:pos="794"/>
              </w:tabs>
              <w:autoSpaceDE w:val="0"/>
              <w:autoSpaceDN w:val="0"/>
              <w:adjustRightInd w:val="0"/>
              <w:spacing w:before="11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19E6FFFB" w14:textId="77777777" w:rsidR="002A3021" w:rsidRPr="002A3021" w:rsidRDefault="002A3021" w:rsidP="005A0BCF">
            <w:pPr>
              <w:keepLines/>
              <w:autoSpaceDE w:val="0"/>
              <w:autoSpaceDN w:val="0"/>
              <w:adjustRightInd w:val="0"/>
              <w:spacing w:before="11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bl>
    <w:p w14:paraId="66D06CEE" w14:textId="77777777" w:rsidR="005A0BCF" w:rsidRDefault="005A0BCF" w:rsidP="005A0BCF">
      <w:pPr>
        <w:spacing w:after="0" w:line="80" w:lineRule="exact"/>
      </w:pPr>
      <w:r>
        <w:br w:type="page"/>
      </w:r>
    </w:p>
    <w:tbl>
      <w:tblPr>
        <w:tblW w:w="0" w:type="auto"/>
        <w:tblLayout w:type="fixed"/>
        <w:tblCellMar>
          <w:left w:w="60" w:type="dxa"/>
          <w:right w:w="60" w:type="dxa"/>
        </w:tblCellMar>
        <w:tblLook w:val="0000" w:firstRow="0" w:lastRow="0" w:firstColumn="0" w:lastColumn="0" w:noHBand="0" w:noVBand="0"/>
      </w:tblPr>
      <w:tblGrid>
        <w:gridCol w:w="1317"/>
        <w:gridCol w:w="6099"/>
        <w:gridCol w:w="1370"/>
      </w:tblGrid>
      <w:tr w:rsidR="005A0BCF" w:rsidRPr="005A0BCF" w14:paraId="572BB9CE" w14:textId="77777777" w:rsidTr="005A0BCF">
        <w:trPr>
          <w:cantSplit/>
        </w:trPr>
        <w:tc>
          <w:tcPr>
            <w:tcW w:w="1317" w:type="dxa"/>
            <w:tcBorders>
              <w:top w:val="nil"/>
              <w:left w:val="nil"/>
              <w:bottom w:val="single" w:sz="4" w:space="0" w:color="auto"/>
              <w:right w:val="nil"/>
            </w:tcBorders>
          </w:tcPr>
          <w:p w14:paraId="229C7DC8" w14:textId="458B074E" w:rsidR="005A0BCF" w:rsidRPr="005A0BCF" w:rsidRDefault="005A0BCF" w:rsidP="005A0BCF">
            <w:pPr>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6099" w:type="dxa"/>
            <w:tcBorders>
              <w:top w:val="nil"/>
              <w:left w:val="nil"/>
              <w:bottom w:val="single" w:sz="4" w:space="0" w:color="auto"/>
              <w:right w:val="nil"/>
            </w:tcBorders>
          </w:tcPr>
          <w:p w14:paraId="6892368C" w14:textId="01A42404" w:rsidR="005A0BCF" w:rsidRPr="005A0BCF" w:rsidRDefault="005A0BCF" w:rsidP="005A0BC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
                <w:szCs w:val="2"/>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8" w:history="1">
              <w:r w:rsidRPr="002A3021">
                <w:rPr>
                  <w:rFonts w:eastAsia="Times New Roman"/>
                  <w:b/>
                  <w:bCs/>
                  <w:i/>
                  <w:iCs/>
                  <w:color w:val="000000"/>
                  <w:sz w:val="20"/>
                  <w:szCs w:val="20"/>
                  <w:lang w:eastAsia="en-AU"/>
                  <w14:ligatures w14:val="standardContextual"/>
                </w:rPr>
                <w:t>Heavy Vehicle National Law (South Australia)</w:t>
              </w:r>
            </w:hyperlink>
          </w:p>
        </w:tc>
        <w:tc>
          <w:tcPr>
            <w:tcW w:w="1370" w:type="dxa"/>
            <w:tcBorders>
              <w:top w:val="nil"/>
              <w:left w:val="nil"/>
              <w:bottom w:val="single" w:sz="4" w:space="0" w:color="auto"/>
              <w:right w:val="nil"/>
            </w:tcBorders>
          </w:tcPr>
          <w:p w14:paraId="4C439158" w14:textId="1106576B" w:rsidR="005A0BCF" w:rsidRPr="005A0BCF" w:rsidRDefault="005A0BCF" w:rsidP="005A0BCF">
            <w:pPr>
              <w:keepLines/>
              <w:autoSpaceDE w:val="0"/>
              <w:autoSpaceDN w:val="0"/>
              <w:adjustRightInd w:val="0"/>
              <w:spacing w:before="120" w:after="0" w:line="240" w:lineRule="auto"/>
              <w:jc w:val="center"/>
              <w:rPr>
                <w:rFonts w:eastAsia="Times New Roman"/>
                <w:color w:val="000000"/>
                <w:sz w:val="2"/>
                <w:szCs w:val="2"/>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43DC98E3" w14:textId="77777777" w:rsidTr="005A0BCF">
        <w:trPr>
          <w:cantSplit/>
        </w:trPr>
        <w:tc>
          <w:tcPr>
            <w:tcW w:w="1317" w:type="dxa"/>
            <w:tcBorders>
              <w:top w:val="single" w:sz="4" w:space="0" w:color="auto"/>
              <w:left w:val="nil"/>
              <w:bottom w:val="nil"/>
              <w:right w:val="nil"/>
            </w:tcBorders>
          </w:tcPr>
          <w:p w14:paraId="1819331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251(1)</w:t>
            </w:r>
          </w:p>
        </w:tc>
        <w:tc>
          <w:tcPr>
            <w:tcW w:w="6099" w:type="dxa"/>
            <w:tcBorders>
              <w:top w:val="single" w:sz="4" w:space="0" w:color="auto"/>
              <w:left w:val="nil"/>
              <w:bottom w:val="nil"/>
              <w:right w:val="nil"/>
            </w:tcBorders>
          </w:tcPr>
          <w:p w14:paraId="19CA767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of two</w:t>
            </w:r>
            <w:r w:rsidRPr="002A3021">
              <w:rPr>
                <w:rFonts w:eastAsia="Times New Roman"/>
                <w:i/>
                <w:iCs/>
                <w:color w:val="000000"/>
                <w:sz w:val="20"/>
                <w:szCs w:val="20"/>
                <w:lang w:eastAsia="en-AU"/>
                <w14:ligatures w14:val="standardContextual"/>
              </w:rPr>
              <w:noBreakHyphen/>
              <w:t>up driver of a fatigue</w:t>
            </w:r>
            <w:r w:rsidRPr="002A3021">
              <w:rPr>
                <w:rFonts w:eastAsia="Times New Roman"/>
                <w:i/>
                <w:iCs/>
                <w:color w:val="000000"/>
                <w:sz w:val="20"/>
                <w:szCs w:val="20"/>
                <w:lang w:eastAsia="en-AU"/>
                <w14:ligatures w14:val="standardContextual"/>
              </w:rPr>
              <w:noBreakHyphen/>
              <w:t>regulated heavy vehicle to comply with standard hours</w:t>
            </w:r>
            <w:r w:rsidRPr="002A3021">
              <w:rPr>
                <w:rFonts w:eastAsia="Times New Roman"/>
                <w:color w:val="000000"/>
                <w:sz w:val="20"/>
                <w:szCs w:val="20"/>
                <w:lang w:eastAsia="en-AU"/>
                <w14:ligatures w14:val="standardContextual"/>
              </w:rPr>
              <w:t>—</w:t>
            </w:r>
          </w:p>
        </w:tc>
        <w:tc>
          <w:tcPr>
            <w:tcW w:w="1370" w:type="dxa"/>
            <w:tcBorders>
              <w:top w:val="single" w:sz="4" w:space="0" w:color="auto"/>
              <w:left w:val="nil"/>
              <w:bottom w:val="nil"/>
              <w:right w:val="nil"/>
            </w:tcBorders>
          </w:tcPr>
          <w:p w14:paraId="072F7D0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5EBAE44D" w14:textId="77777777" w:rsidTr="00911011">
        <w:trPr>
          <w:cantSplit/>
        </w:trPr>
        <w:tc>
          <w:tcPr>
            <w:tcW w:w="1317" w:type="dxa"/>
            <w:tcBorders>
              <w:top w:val="nil"/>
              <w:left w:val="nil"/>
              <w:bottom w:val="nil"/>
              <w:right w:val="nil"/>
            </w:tcBorders>
          </w:tcPr>
          <w:p w14:paraId="00E2156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7C5C018E"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70B4AF6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5850AF1F" w14:textId="77777777" w:rsidTr="00911011">
        <w:trPr>
          <w:cantSplit/>
        </w:trPr>
        <w:tc>
          <w:tcPr>
            <w:tcW w:w="1317" w:type="dxa"/>
            <w:tcBorders>
              <w:top w:val="nil"/>
              <w:left w:val="nil"/>
              <w:bottom w:val="nil"/>
              <w:right w:val="nil"/>
            </w:tcBorders>
          </w:tcPr>
          <w:p w14:paraId="42D559F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0DE9BD44"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5B0E8D5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A3021" w:rsidRPr="002A3021" w14:paraId="0D92F668" w14:textId="77777777" w:rsidTr="00911011">
        <w:trPr>
          <w:cantSplit/>
        </w:trPr>
        <w:tc>
          <w:tcPr>
            <w:tcW w:w="1317" w:type="dxa"/>
            <w:tcBorders>
              <w:top w:val="nil"/>
              <w:left w:val="nil"/>
              <w:bottom w:val="nil"/>
              <w:right w:val="nil"/>
            </w:tcBorders>
          </w:tcPr>
          <w:p w14:paraId="2A5B2FC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254(1)</w:t>
            </w:r>
          </w:p>
        </w:tc>
        <w:tc>
          <w:tcPr>
            <w:tcW w:w="6099" w:type="dxa"/>
            <w:tcBorders>
              <w:top w:val="nil"/>
              <w:left w:val="nil"/>
              <w:bottom w:val="nil"/>
              <w:right w:val="nil"/>
            </w:tcBorders>
          </w:tcPr>
          <w:p w14:paraId="07448DE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of solo driver of a fatigue</w:t>
            </w:r>
            <w:r w:rsidRPr="002A3021">
              <w:rPr>
                <w:rFonts w:eastAsia="Times New Roman"/>
                <w:i/>
                <w:iCs/>
                <w:color w:val="000000"/>
                <w:sz w:val="20"/>
                <w:szCs w:val="20"/>
                <w:lang w:eastAsia="en-AU"/>
                <w14:ligatures w14:val="standardContextual"/>
              </w:rPr>
              <w:noBreakHyphen/>
              <w:t>regulated heavy vehicle to comply with BFM hours</w:t>
            </w:r>
            <w:r w:rsidRPr="002A3021">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6C04C1F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413E2D16" w14:textId="77777777" w:rsidTr="00911011">
        <w:trPr>
          <w:cantSplit/>
        </w:trPr>
        <w:tc>
          <w:tcPr>
            <w:tcW w:w="1317" w:type="dxa"/>
            <w:tcBorders>
              <w:top w:val="nil"/>
              <w:left w:val="nil"/>
              <w:bottom w:val="nil"/>
              <w:right w:val="nil"/>
            </w:tcBorders>
          </w:tcPr>
          <w:p w14:paraId="5A03B20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5AD24E06"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510829F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8AB88BF" w14:textId="77777777" w:rsidTr="00911011">
        <w:trPr>
          <w:cantSplit/>
        </w:trPr>
        <w:tc>
          <w:tcPr>
            <w:tcW w:w="1317" w:type="dxa"/>
            <w:tcBorders>
              <w:top w:val="nil"/>
              <w:left w:val="nil"/>
              <w:bottom w:val="nil"/>
              <w:right w:val="nil"/>
            </w:tcBorders>
          </w:tcPr>
          <w:p w14:paraId="09548EB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0BF3E7A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270A13E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A3021" w:rsidRPr="002A3021" w14:paraId="61834351" w14:textId="77777777" w:rsidTr="00911011">
        <w:trPr>
          <w:cantSplit/>
        </w:trPr>
        <w:tc>
          <w:tcPr>
            <w:tcW w:w="1317" w:type="dxa"/>
            <w:tcBorders>
              <w:top w:val="nil"/>
              <w:left w:val="nil"/>
              <w:bottom w:val="nil"/>
              <w:right w:val="nil"/>
            </w:tcBorders>
          </w:tcPr>
          <w:p w14:paraId="77A9E7D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256(1)</w:t>
            </w:r>
          </w:p>
        </w:tc>
        <w:tc>
          <w:tcPr>
            <w:tcW w:w="6099" w:type="dxa"/>
            <w:tcBorders>
              <w:top w:val="nil"/>
              <w:left w:val="nil"/>
              <w:bottom w:val="nil"/>
              <w:right w:val="nil"/>
            </w:tcBorders>
          </w:tcPr>
          <w:p w14:paraId="4C2F345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of two</w:t>
            </w:r>
            <w:r w:rsidRPr="002A3021">
              <w:rPr>
                <w:rFonts w:eastAsia="Times New Roman"/>
                <w:i/>
                <w:iCs/>
                <w:color w:val="000000"/>
                <w:sz w:val="20"/>
                <w:szCs w:val="20"/>
                <w:lang w:eastAsia="en-AU"/>
                <w14:ligatures w14:val="standardContextual"/>
              </w:rPr>
              <w:noBreakHyphen/>
              <w:t>up driver of fatigue</w:t>
            </w:r>
            <w:r w:rsidRPr="002A3021">
              <w:rPr>
                <w:rFonts w:eastAsia="Times New Roman"/>
                <w:i/>
                <w:iCs/>
                <w:color w:val="000000"/>
                <w:sz w:val="20"/>
                <w:szCs w:val="20"/>
                <w:lang w:eastAsia="en-AU"/>
                <w14:ligatures w14:val="standardContextual"/>
              </w:rPr>
              <w:noBreakHyphen/>
              <w:t>regulated heavy vehicle to comply with BFM hours</w:t>
            </w:r>
            <w:r w:rsidRPr="002A3021">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49F89BF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5C908435" w14:textId="77777777" w:rsidTr="00911011">
        <w:trPr>
          <w:cantSplit/>
        </w:trPr>
        <w:tc>
          <w:tcPr>
            <w:tcW w:w="1317" w:type="dxa"/>
            <w:tcBorders>
              <w:top w:val="nil"/>
              <w:left w:val="nil"/>
              <w:bottom w:val="nil"/>
              <w:right w:val="nil"/>
            </w:tcBorders>
          </w:tcPr>
          <w:p w14:paraId="03BA614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2033AFE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79EEE33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397A3C03" w14:textId="77777777" w:rsidTr="00911011">
        <w:trPr>
          <w:cantSplit/>
        </w:trPr>
        <w:tc>
          <w:tcPr>
            <w:tcW w:w="1317" w:type="dxa"/>
            <w:tcBorders>
              <w:top w:val="nil"/>
              <w:left w:val="nil"/>
              <w:bottom w:val="nil"/>
              <w:right w:val="nil"/>
            </w:tcBorders>
          </w:tcPr>
          <w:p w14:paraId="2F2CD89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667D216B"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6977F18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A3021" w:rsidRPr="002A3021" w14:paraId="1C65EC3B" w14:textId="77777777" w:rsidTr="00911011">
        <w:trPr>
          <w:cantSplit/>
        </w:trPr>
        <w:tc>
          <w:tcPr>
            <w:tcW w:w="1317" w:type="dxa"/>
            <w:tcBorders>
              <w:top w:val="nil"/>
              <w:left w:val="nil"/>
              <w:bottom w:val="nil"/>
              <w:right w:val="nil"/>
            </w:tcBorders>
          </w:tcPr>
          <w:p w14:paraId="215D02C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258(1)</w:t>
            </w:r>
          </w:p>
        </w:tc>
        <w:tc>
          <w:tcPr>
            <w:tcW w:w="6099" w:type="dxa"/>
            <w:tcBorders>
              <w:top w:val="nil"/>
              <w:left w:val="nil"/>
              <w:bottom w:val="nil"/>
              <w:right w:val="nil"/>
            </w:tcBorders>
          </w:tcPr>
          <w:p w14:paraId="083F5A6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of driver of fatigue</w:t>
            </w:r>
            <w:r w:rsidRPr="002A3021">
              <w:rPr>
                <w:rFonts w:eastAsia="Times New Roman"/>
                <w:i/>
                <w:iCs/>
                <w:color w:val="000000"/>
                <w:sz w:val="20"/>
                <w:szCs w:val="20"/>
                <w:lang w:eastAsia="en-AU"/>
                <w14:ligatures w14:val="standardContextual"/>
              </w:rPr>
              <w:noBreakHyphen/>
              <w:t>regulated heavy vehicle to comply with AFM hours</w:t>
            </w:r>
            <w:r w:rsidRPr="002A3021">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017C661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3B5D37F2" w14:textId="77777777" w:rsidTr="00911011">
        <w:trPr>
          <w:cantSplit/>
        </w:trPr>
        <w:tc>
          <w:tcPr>
            <w:tcW w:w="1317" w:type="dxa"/>
            <w:tcBorders>
              <w:top w:val="nil"/>
              <w:left w:val="nil"/>
              <w:bottom w:val="nil"/>
              <w:right w:val="nil"/>
            </w:tcBorders>
          </w:tcPr>
          <w:p w14:paraId="0D2465C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4861808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5F8CE5E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02C7EC3D" w14:textId="77777777" w:rsidTr="00911011">
        <w:trPr>
          <w:cantSplit/>
        </w:trPr>
        <w:tc>
          <w:tcPr>
            <w:tcW w:w="1317" w:type="dxa"/>
            <w:tcBorders>
              <w:top w:val="nil"/>
              <w:left w:val="nil"/>
              <w:bottom w:val="nil"/>
              <w:right w:val="nil"/>
            </w:tcBorders>
          </w:tcPr>
          <w:p w14:paraId="0238150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3C8ABC4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3164CAE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A3021" w:rsidRPr="002A3021" w14:paraId="6EF2BCA9" w14:textId="77777777" w:rsidTr="00911011">
        <w:trPr>
          <w:cantSplit/>
        </w:trPr>
        <w:tc>
          <w:tcPr>
            <w:tcW w:w="1317" w:type="dxa"/>
            <w:tcBorders>
              <w:top w:val="nil"/>
              <w:left w:val="nil"/>
              <w:bottom w:val="nil"/>
              <w:right w:val="nil"/>
            </w:tcBorders>
          </w:tcPr>
          <w:p w14:paraId="4ABE931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260(1)</w:t>
            </w:r>
          </w:p>
        </w:tc>
        <w:tc>
          <w:tcPr>
            <w:tcW w:w="6099" w:type="dxa"/>
            <w:tcBorders>
              <w:top w:val="nil"/>
              <w:left w:val="nil"/>
              <w:bottom w:val="nil"/>
              <w:right w:val="nil"/>
            </w:tcBorders>
          </w:tcPr>
          <w:p w14:paraId="0C1E86C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of driver of fatigue</w:t>
            </w:r>
            <w:r w:rsidRPr="002A3021">
              <w:rPr>
                <w:rFonts w:eastAsia="Times New Roman"/>
                <w:i/>
                <w:iCs/>
                <w:color w:val="000000"/>
                <w:sz w:val="20"/>
                <w:szCs w:val="20"/>
                <w:lang w:eastAsia="en-AU"/>
                <w14:ligatures w14:val="standardContextual"/>
              </w:rPr>
              <w:noBreakHyphen/>
              <w:t>regulated heavy vehicle to comply with work and rest hours exemption hours</w:t>
            </w:r>
            <w:r w:rsidRPr="002A3021">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0A2600A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B1F625A" w14:textId="77777777" w:rsidTr="00911011">
        <w:trPr>
          <w:cantSplit/>
        </w:trPr>
        <w:tc>
          <w:tcPr>
            <w:tcW w:w="1317" w:type="dxa"/>
            <w:tcBorders>
              <w:top w:val="nil"/>
              <w:left w:val="nil"/>
              <w:bottom w:val="nil"/>
              <w:right w:val="nil"/>
            </w:tcBorders>
          </w:tcPr>
          <w:p w14:paraId="713C849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39B8B0E3"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7D66C84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50F85CFF" w14:textId="77777777" w:rsidTr="00911011">
        <w:trPr>
          <w:cantSplit/>
        </w:trPr>
        <w:tc>
          <w:tcPr>
            <w:tcW w:w="1317" w:type="dxa"/>
            <w:tcBorders>
              <w:top w:val="nil"/>
              <w:left w:val="nil"/>
              <w:bottom w:val="nil"/>
              <w:right w:val="nil"/>
            </w:tcBorders>
          </w:tcPr>
          <w:p w14:paraId="2E0D070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44D2E2B8"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6950848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bl>
    <w:p w14:paraId="63148072" w14:textId="77777777" w:rsidR="002A3021" w:rsidRPr="002A3021" w:rsidRDefault="002A3021" w:rsidP="002A3021">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A3021">
        <w:rPr>
          <w:rFonts w:eastAsia="Times New Roman"/>
          <w:b/>
          <w:bCs/>
          <w:color w:val="000000"/>
          <w:sz w:val="32"/>
          <w:szCs w:val="32"/>
          <w:lang w:eastAsia="en-AU"/>
          <w14:ligatures w14:val="standardContextual"/>
        </w:rPr>
        <w:t>Part 2—Demerit points peculiar to South Australia</w:t>
      </w:r>
    </w:p>
    <w:p w14:paraId="24907F24"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7" w:name="Elkera_Print_TOC191"/>
      <w:bookmarkStart w:id="398" w:name="Elkera_Print_BK191"/>
      <w:r w:rsidRPr="002A3021">
        <w:rPr>
          <w:rFonts w:eastAsia="Times New Roman"/>
          <w:b/>
          <w:bCs/>
          <w:color w:val="000000"/>
          <w:sz w:val="26"/>
          <w:szCs w:val="26"/>
          <w:lang w:eastAsia="en-AU"/>
          <w14:ligatures w14:val="standardContextual"/>
        </w:rPr>
        <w:t xml:space="preserve">4—Offences against </w:t>
      </w:r>
      <w:r w:rsidRPr="002A3021">
        <w:rPr>
          <w:rFonts w:eastAsia="Times New Roman"/>
          <w:b/>
          <w:bCs/>
          <w:i/>
          <w:iCs/>
          <w:color w:val="000000"/>
          <w:sz w:val="26"/>
          <w:szCs w:val="26"/>
          <w:lang w:eastAsia="en-AU"/>
          <w14:ligatures w14:val="standardContextual"/>
        </w:rPr>
        <w:t>Road Traffic Act 1961</w:t>
      </w:r>
      <w:bookmarkEnd w:id="397"/>
      <w:bookmarkEnd w:id="398"/>
    </w:p>
    <w:p w14:paraId="566A46DE"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051"/>
        <w:gridCol w:w="6345"/>
        <w:gridCol w:w="1389"/>
      </w:tblGrid>
      <w:tr w:rsidR="002B2E13" w:rsidRPr="002A3021" w14:paraId="1E46D657" w14:textId="77777777" w:rsidTr="002B2E13">
        <w:trPr>
          <w:cantSplit/>
          <w:tblHeader/>
        </w:trPr>
        <w:tc>
          <w:tcPr>
            <w:tcW w:w="1051" w:type="dxa"/>
            <w:tcBorders>
              <w:top w:val="nil"/>
              <w:left w:val="nil"/>
              <w:bottom w:val="single" w:sz="4" w:space="0" w:color="auto"/>
              <w:right w:val="nil"/>
            </w:tcBorders>
          </w:tcPr>
          <w:p w14:paraId="462D94BB"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Section</w:t>
            </w:r>
          </w:p>
        </w:tc>
        <w:tc>
          <w:tcPr>
            <w:tcW w:w="6345" w:type="dxa"/>
            <w:tcBorders>
              <w:top w:val="nil"/>
              <w:left w:val="nil"/>
              <w:bottom w:val="single" w:sz="4" w:space="0" w:color="auto"/>
              <w:right w:val="nil"/>
            </w:tcBorders>
          </w:tcPr>
          <w:p w14:paraId="5DAF9ADB"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89" w:history="1">
              <w:r w:rsidRPr="002A3021">
                <w:rPr>
                  <w:rFonts w:eastAsia="Times New Roman"/>
                  <w:b/>
                  <w:bCs/>
                  <w:i/>
                  <w:iCs/>
                  <w:color w:val="000000"/>
                  <w:sz w:val="20"/>
                  <w:szCs w:val="20"/>
                  <w:lang w:eastAsia="en-AU"/>
                  <w14:ligatures w14:val="standardContextual"/>
                </w:rPr>
                <w:t>Road Traffic Act 1961</w:t>
              </w:r>
            </w:hyperlink>
          </w:p>
        </w:tc>
        <w:tc>
          <w:tcPr>
            <w:tcW w:w="1389" w:type="dxa"/>
            <w:tcBorders>
              <w:top w:val="nil"/>
              <w:left w:val="nil"/>
              <w:bottom w:val="single" w:sz="4" w:space="0" w:color="auto"/>
              <w:right w:val="nil"/>
            </w:tcBorders>
          </w:tcPr>
          <w:p w14:paraId="5CA41858"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B2E13" w:rsidRPr="002A3021" w14:paraId="22570202" w14:textId="77777777" w:rsidTr="002B2E13">
        <w:trPr>
          <w:cantSplit/>
        </w:trPr>
        <w:tc>
          <w:tcPr>
            <w:tcW w:w="1051" w:type="dxa"/>
            <w:tcBorders>
              <w:top w:val="single" w:sz="4" w:space="0" w:color="auto"/>
              <w:left w:val="nil"/>
              <w:bottom w:val="nil"/>
              <w:right w:val="nil"/>
            </w:tcBorders>
          </w:tcPr>
          <w:p w14:paraId="1E99907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40H(5)</w:t>
            </w:r>
          </w:p>
        </w:tc>
        <w:tc>
          <w:tcPr>
            <w:tcW w:w="6345" w:type="dxa"/>
            <w:tcBorders>
              <w:top w:val="single" w:sz="4" w:space="0" w:color="auto"/>
              <w:left w:val="nil"/>
              <w:bottom w:val="nil"/>
              <w:right w:val="nil"/>
            </w:tcBorders>
          </w:tcPr>
          <w:p w14:paraId="0446E172" w14:textId="77777777" w:rsidR="002A3021" w:rsidRPr="002A3021" w:rsidRDefault="002A3021" w:rsidP="002A3021">
            <w:pPr>
              <w:keepLines/>
              <w:autoSpaceDE w:val="0"/>
              <w:autoSpaceDN w:val="0"/>
              <w:adjustRightInd w:val="0"/>
              <w:spacing w:before="120" w:after="0" w:line="240" w:lineRule="auto"/>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Engaging in conduct in contravention of direction of authorised officer to stop vehicle, or not move it, or not interfere with vehicle or its equipment or load</w:t>
            </w:r>
          </w:p>
        </w:tc>
        <w:tc>
          <w:tcPr>
            <w:tcW w:w="1389" w:type="dxa"/>
            <w:tcBorders>
              <w:top w:val="single" w:sz="4" w:space="0" w:color="auto"/>
              <w:left w:val="nil"/>
              <w:bottom w:val="nil"/>
              <w:right w:val="nil"/>
            </w:tcBorders>
          </w:tcPr>
          <w:p w14:paraId="719954C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B2E13" w:rsidRPr="002A3021" w14:paraId="4F0A5D34" w14:textId="77777777" w:rsidTr="002B2E13">
        <w:trPr>
          <w:cantSplit/>
        </w:trPr>
        <w:tc>
          <w:tcPr>
            <w:tcW w:w="1051" w:type="dxa"/>
            <w:tcBorders>
              <w:top w:val="nil"/>
              <w:left w:val="nil"/>
              <w:bottom w:val="nil"/>
              <w:right w:val="nil"/>
            </w:tcBorders>
          </w:tcPr>
          <w:p w14:paraId="7EF4CFC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40I(2)</w:t>
            </w:r>
          </w:p>
        </w:tc>
        <w:tc>
          <w:tcPr>
            <w:tcW w:w="6345" w:type="dxa"/>
            <w:tcBorders>
              <w:top w:val="nil"/>
              <w:left w:val="nil"/>
              <w:bottom w:val="nil"/>
              <w:right w:val="nil"/>
            </w:tcBorders>
          </w:tcPr>
          <w:p w14:paraId="10D4095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Engaging in conduct in contravention of direction of authorised officer to move vehicle to specified location</w:t>
            </w:r>
          </w:p>
        </w:tc>
        <w:tc>
          <w:tcPr>
            <w:tcW w:w="1389" w:type="dxa"/>
            <w:tcBorders>
              <w:top w:val="nil"/>
              <w:left w:val="nil"/>
              <w:bottom w:val="nil"/>
              <w:right w:val="nil"/>
            </w:tcBorders>
          </w:tcPr>
          <w:p w14:paraId="212978C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B2E13" w:rsidRPr="002A3021" w14:paraId="22CD82D5" w14:textId="77777777" w:rsidTr="002B2E13">
        <w:trPr>
          <w:cantSplit/>
        </w:trPr>
        <w:tc>
          <w:tcPr>
            <w:tcW w:w="1051" w:type="dxa"/>
            <w:tcBorders>
              <w:top w:val="nil"/>
              <w:left w:val="nil"/>
              <w:bottom w:val="nil"/>
              <w:right w:val="nil"/>
            </w:tcBorders>
          </w:tcPr>
          <w:p w14:paraId="5BA66C9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40J(3)</w:t>
            </w:r>
          </w:p>
        </w:tc>
        <w:tc>
          <w:tcPr>
            <w:tcW w:w="6345" w:type="dxa"/>
            <w:tcBorders>
              <w:top w:val="nil"/>
              <w:left w:val="nil"/>
              <w:bottom w:val="nil"/>
              <w:right w:val="nil"/>
            </w:tcBorders>
          </w:tcPr>
          <w:p w14:paraId="1AA152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Engaging in conduct in contravention of direction of authorised officer to move vehicle or do anything else reasonably required by officer to avoid causing harm or obstruction</w:t>
            </w:r>
          </w:p>
        </w:tc>
        <w:tc>
          <w:tcPr>
            <w:tcW w:w="1389" w:type="dxa"/>
            <w:tcBorders>
              <w:top w:val="nil"/>
              <w:left w:val="nil"/>
              <w:bottom w:val="nil"/>
              <w:right w:val="nil"/>
            </w:tcBorders>
          </w:tcPr>
          <w:p w14:paraId="29CFC53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B2E13" w:rsidRPr="002A3021" w14:paraId="4BF0F5DA" w14:textId="77777777" w:rsidTr="002B2E13">
        <w:trPr>
          <w:cantSplit/>
        </w:trPr>
        <w:tc>
          <w:tcPr>
            <w:tcW w:w="1051" w:type="dxa"/>
            <w:tcBorders>
              <w:top w:val="nil"/>
              <w:left w:val="nil"/>
              <w:bottom w:val="nil"/>
              <w:right w:val="nil"/>
            </w:tcBorders>
          </w:tcPr>
          <w:p w14:paraId="4120F38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43(1)</w:t>
            </w:r>
          </w:p>
        </w:tc>
        <w:tc>
          <w:tcPr>
            <w:tcW w:w="6345" w:type="dxa"/>
            <w:tcBorders>
              <w:top w:val="nil"/>
              <w:left w:val="nil"/>
              <w:bottom w:val="nil"/>
              <w:right w:val="nil"/>
            </w:tcBorders>
          </w:tcPr>
          <w:p w14:paraId="282B6D3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and give assistance immediately after accident involving injury or death</w:t>
            </w:r>
          </w:p>
        </w:tc>
        <w:tc>
          <w:tcPr>
            <w:tcW w:w="1389" w:type="dxa"/>
            <w:tcBorders>
              <w:top w:val="nil"/>
              <w:left w:val="nil"/>
              <w:bottom w:val="nil"/>
              <w:right w:val="nil"/>
            </w:tcBorders>
          </w:tcPr>
          <w:p w14:paraId="5BDD181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B2E13" w:rsidRPr="002A3021" w14:paraId="008202C0" w14:textId="77777777" w:rsidTr="002B2E13">
        <w:trPr>
          <w:cantSplit/>
        </w:trPr>
        <w:tc>
          <w:tcPr>
            <w:tcW w:w="1051" w:type="dxa"/>
            <w:tcBorders>
              <w:top w:val="nil"/>
              <w:left w:val="nil"/>
              <w:bottom w:val="nil"/>
              <w:right w:val="nil"/>
            </w:tcBorders>
          </w:tcPr>
          <w:p w14:paraId="7614967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44B(3)</w:t>
            </w:r>
          </w:p>
        </w:tc>
        <w:tc>
          <w:tcPr>
            <w:tcW w:w="6345" w:type="dxa"/>
            <w:tcBorders>
              <w:top w:val="nil"/>
              <w:left w:val="nil"/>
              <w:bottom w:val="nil"/>
              <w:right w:val="nil"/>
            </w:tcBorders>
          </w:tcPr>
          <w:p w14:paraId="0EDC5C9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Misuse of motor vehicle</w:t>
            </w:r>
          </w:p>
        </w:tc>
        <w:tc>
          <w:tcPr>
            <w:tcW w:w="1389" w:type="dxa"/>
            <w:tcBorders>
              <w:top w:val="nil"/>
              <w:left w:val="nil"/>
              <w:bottom w:val="nil"/>
              <w:right w:val="nil"/>
            </w:tcBorders>
          </w:tcPr>
          <w:p w14:paraId="65015E0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B2E13" w:rsidRPr="002A3021" w14:paraId="672C41D3" w14:textId="77777777" w:rsidTr="002B2E13">
        <w:trPr>
          <w:cantSplit/>
        </w:trPr>
        <w:tc>
          <w:tcPr>
            <w:tcW w:w="1051" w:type="dxa"/>
            <w:tcBorders>
              <w:top w:val="nil"/>
              <w:left w:val="nil"/>
              <w:bottom w:val="nil"/>
              <w:right w:val="nil"/>
            </w:tcBorders>
          </w:tcPr>
          <w:p w14:paraId="16B0340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44C</w:t>
            </w:r>
          </w:p>
        </w:tc>
        <w:tc>
          <w:tcPr>
            <w:tcW w:w="6345" w:type="dxa"/>
            <w:tcBorders>
              <w:top w:val="nil"/>
              <w:left w:val="nil"/>
              <w:bottom w:val="nil"/>
              <w:right w:val="nil"/>
            </w:tcBorders>
          </w:tcPr>
          <w:p w14:paraId="00C9A85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ultra high powered vehicle with disabled automated intervention system</w:t>
            </w:r>
          </w:p>
        </w:tc>
        <w:tc>
          <w:tcPr>
            <w:tcW w:w="1389" w:type="dxa"/>
            <w:tcBorders>
              <w:top w:val="nil"/>
              <w:left w:val="nil"/>
              <w:bottom w:val="nil"/>
              <w:right w:val="nil"/>
            </w:tcBorders>
          </w:tcPr>
          <w:p w14:paraId="06723A1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1F38DF10" w14:textId="77777777" w:rsidTr="002B2E13">
        <w:trPr>
          <w:cantSplit/>
        </w:trPr>
        <w:tc>
          <w:tcPr>
            <w:tcW w:w="1051" w:type="dxa"/>
            <w:tcBorders>
              <w:top w:val="nil"/>
              <w:left w:val="nil"/>
              <w:bottom w:val="nil"/>
              <w:right w:val="nil"/>
            </w:tcBorders>
          </w:tcPr>
          <w:p w14:paraId="27E62CF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45A</w:t>
            </w:r>
          </w:p>
        </w:tc>
        <w:tc>
          <w:tcPr>
            <w:tcW w:w="6345" w:type="dxa"/>
            <w:tcBorders>
              <w:top w:val="nil"/>
              <w:left w:val="nil"/>
              <w:bottom w:val="nil"/>
              <w:right w:val="nil"/>
            </w:tcBorders>
          </w:tcPr>
          <w:p w14:paraId="44570BF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Excessive speed</w:t>
            </w:r>
          </w:p>
        </w:tc>
        <w:tc>
          <w:tcPr>
            <w:tcW w:w="1389" w:type="dxa"/>
            <w:tcBorders>
              <w:top w:val="nil"/>
              <w:left w:val="nil"/>
              <w:bottom w:val="nil"/>
              <w:right w:val="nil"/>
            </w:tcBorders>
          </w:tcPr>
          <w:p w14:paraId="059E268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w:t>
            </w:r>
          </w:p>
        </w:tc>
      </w:tr>
      <w:tr w:rsidR="002B2E13" w:rsidRPr="002A3021" w14:paraId="36E0A401" w14:textId="77777777" w:rsidTr="002B2E13">
        <w:trPr>
          <w:cantSplit/>
        </w:trPr>
        <w:tc>
          <w:tcPr>
            <w:tcW w:w="1051" w:type="dxa"/>
            <w:tcBorders>
              <w:top w:val="nil"/>
              <w:left w:val="nil"/>
              <w:bottom w:val="nil"/>
              <w:right w:val="nil"/>
            </w:tcBorders>
          </w:tcPr>
          <w:p w14:paraId="63D2305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45C(1)</w:t>
            </w:r>
          </w:p>
        </w:tc>
        <w:tc>
          <w:tcPr>
            <w:tcW w:w="6345" w:type="dxa"/>
            <w:tcBorders>
              <w:top w:val="nil"/>
              <w:left w:val="nil"/>
              <w:bottom w:val="nil"/>
              <w:right w:val="nil"/>
            </w:tcBorders>
          </w:tcPr>
          <w:p w14:paraId="119671E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Driver of truck or bus on prescribed road exceeding the speed limit by 10 kph or more</w:t>
            </w:r>
          </w:p>
        </w:tc>
        <w:tc>
          <w:tcPr>
            <w:tcW w:w="1389" w:type="dxa"/>
            <w:tcBorders>
              <w:top w:val="nil"/>
              <w:left w:val="nil"/>
              <w:bottom w:val="nil"/>
              <w:right w:val="nil"/>
            </w:tcBorders>
          </w:tcPr>
          <w:p w14:paraId="2C438F6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1F4A244C" w14:textId="77777777" w:rsidTr="002B2E13">
        <w:trPr>
          <w:cantSplit/>
        </w:trPr>
        <w:tc>
          <w:tcPr>
            <w:tcW w:w="1051" w:type="dxa"/>
            <w:tcBorders>
              <w:top w:val="nil"/>
              <w:left w:val="nil"/>
              <w:bottom w:val="nil"/>
              <w:right w:val="nil"/>
            </w:tcBorders>
          </w:tcPr>
          <w:p w14:paraId="6300887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45C(2)</w:t>
            </w:r>
          </w:p>
        </w:tc>
        <w:tc>
          <w:tcPr>
            <w:tcW w:w="6345" w:type="dxa"/>
            <w:tcBorders>
              <w:top w:val="nil"/>
              <w:left w:val="nil"/>
              <w:bottom w:val="nil"/>
              <w:right w:val="nil"/>
            </w:tcBorders>
          </w:tcPr>
          <w:p w14:paraId="267F14D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Driver of truck or bus on prescribed road failing to engage low gear</w:t>
            </w:r>
          </w:p>
        </w:tc>
        <w:tc>
          <w:tcPr>
            <w:tcW w:w="1389" w:type="dxa"/>
            <w:tcBorders>
              <w:top w:val="nil"/>
              <w:left w:val="nil"/>
              <w:bottom w:val="nil"/>
              <w:right w:val="nil"/>
            </w:tcBorders>
          </w:tcPr>
          <w:p w14:paraId="4A0790C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bl>
    <w:p w14:paraId="2A9F94B7" w14:textId="77777777" w:rsidR="005C5FF4" w:rsidRDefault="005C5FF4">
      <w:r>
        <w:br w:type="page"/>
      </w:r>
    </w:p>
    <w:tbl>
      <w:tblPr>
        <w:tblW w:w="0" w:type="auto"/>
        <w:tblLayout w:type="fixed"/>
        <w:tblCellMar>
          <w:left w:w="60" w:type="dxa"/>
          <w:right w:w="60" w:type="dxa"/>
        </w:tblCellMar>
        <w:tblLook w:val="0000" w:firstRow="0" w:lastRow="0" w:firstColumn="0" w:lastColumn="0" w:noHBand="0" w:noVBand="0"/>
      </w:tblPr>
      <w:tblGrid>
        <w:gridCol w:w="1051"/>
        <w:gridCol w:w="6345"/>
        <w:gridCol w:w="1389"/>
      </w:tblGrid>
      <w:tr w:rsidR="005C5FF4" w:rsidRPr="005C5FF4" w14:paraId="24F91A6E" w14:textId="77777777" w:rsidTr="005C5FF4">
        <w:trPr>
          <w:cantSplit/>
        </w:trPr>
        <w:tc>
          <w:tcPr>
            <w:tcW w:w="1051" w:type="dxa"/>
            <w:tcBorders>
              <w:top w:val="nil"/>
              <w:left w:val="nil"/>
              <w:bottom w:val="single" w:sz="4" w:space="0" w:color="auto"/>
              <w:right w:val="nil"/>
            </w:tcBorders>
          </w:tcPr>
          <w:p w14:paraId="6F43B86D" w14:textId="381C7041" w:rsidR="005C5FF4" w:rsidRPr="005C5FF4" w:rsidRDefault="005C5FF4" w:rsidP="005C5FF4">
            <w:pPr>
              <w:keepLines/>
              <w:autoSpaceDE w:val="0"/>
              <w:autoSpaceDN w:val="0"/>
              <w:adjustRightInd w:val="0"/>
              <w:spacing w:before="120" w:after="0" w:line="240" w:lineRule="auto"/>
              <w:jc w:val="left"/>
              <w:rPr>
                <w:rFonts w:eastAsia="Times New Roman"/>
                <w:color w:val="000000"/>
                <w:sz w:val="6"/>
                <w:szCs w:val="6"/>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6345" w:type="dxa"/>
            <w:tcBorders>
              <w:top w:val="nil"/>
              <w:left w:val="nil"/>
              <w:bottom w:val="single" w:sz="4" w:space="0" w:color="auto"/>
              <w:right w:val="nil"/>
            </w:tcBorders>
          </w:tcPr>
          <w:p w14:paraId="140727BC" w14:textId="360B3CF7" w:rsidR="005C5FF4" w:rsidRPr="005C5FF4" w:rsidRDefault="005C5FF4" w:rsidP="005C5FF4">
            <w:pPr>
              <w:keepLines/>
              <w:autoSpaceDE w:val="0"/>
              <w:autoSpaceDN w:val="0"/>
              <w:adjustRightInd w:val="0"/>
              <w:spacing w:before="120" w:after="0" w:line="240" w:lineRule="auto"/>
              <w:jc w:val="left"/>
              <w:rPr>
                <w:rFonts w:eastAsia="Times New Roman"/>
                <w:i/>
                <w:iCs/>
                <w:color w:val="000000"/>
                <w:sz w:val="6"/>
                <w:szCs w:val="6"/>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0" w:history="1">
              <w:r w:rsidRPr="002A3021">
                <w:rPr>
                  <w:rFonts w:eastAsia="Times New Roman"/>
                  <w:b/>
                  <w:bCs/>
                  <w:i/>
                  <w:iCs/>
                  <w:color w:val="000000"/>
                  <w:sz w:val="20"/>
                  <w:szCs w:val="20"/>
                  <w:lang w:eastAsia="en-AU"/>
                  <w14:ligatures w14:val="standardContextual"/>
                </w:rPr>
                <w:t>Road Traffic Act 1961</w:t>
              </w:r>
            </w:hyperlink>
          </w:p>
        </w:tc>
        <w:tc>
          <w:tcPr>
            <w:tcW w:w="1389" w:type="dxa"/>
            <w:tcBorders>
              <w:top w:val="nil"/>
              <w:left w:val="nil"/>
              <w:bottom w:val="single" w:sz="4" w:space="0" w:color="auto"/>
              <w:right w:val="nil"/>
            </w:tcBorders>
          </w:tcPr>
          <w:p w14:paraId="718C0DC4" w14:textId="682E90EA" w:rsidR="005C5FF4" w:rsidRPr="005C5FF4" w:rsidRDefault="005C5FF4" w:rsidP="005C5FF4">
            <w:pPr>
              <w:keepLines/>
              <w:autoSpaceDE w:val="0"/>
              <w:autoSpaceDN w:val="0"/>
              <w:adjustRightInd w:val="0"/>
              <w:spacing w:before="120" w:after="0" w:line="240" w:lineRule="auto"/>
              <w:jc w:val="center"/>
              <w:rPr>
                <w:rFonts w:eastAsia="Times New Roman"/>
                <w:color w:val="000000"/>
                <w:sz w:val="6"/>
                <w:szCs w:val="6"/>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B2E13" w:rsidRPr="002A3021" w14:paraId="2F81D83A" w14:textId="77777777" w:rsidTr="005C5FF4">
        <w:trPr>
          <w:cantSplit/>
        </w:trPr>
        <w:tc>
          <w:tcPr>
            <w:tcW w:w="1051" w:type="dxa"/>
            <w:tcBorders>
              <w:top w:val="single" w:sz="4" w:space="0" w:color="auto"/>
              <w:left w:val="nil"/>
              <w:bottom w:val="nil"/>
              <w:right w:val="nil"/>
            </w:tcBorders>
          </w:tcPr>
          <w:p w14:paraId="7A5F30B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46(1)</w:t>
            </w:r>
          </w:p>
        </w:tc>
        <w:tc>
          <w:tcPr>
            <w:tcW w:w="6345" w:type="dxa"/>
            <w:tcBorders>
              <w:top w:val="single" w:sz="4" w:space="0" w:color="auto"/>
              <w:left w:val="nil"/>
              <w:bottom w:val="nil"/>
              <w:right w:val="nil"/>
            </w:tcBorders>
          </w:tcPr>
          <w:p w14:paraId="30DC52F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recklessly or at speed or in manner dangerous to public</w:t>
            </w:r>
          </w:p>
        </w:tc>
        <w:tc>
          <w:tcPr>
            <w:tcW w:w="1389" w:type="dxa"/>
            <w:tcBorders>
              <w:top w:val="single" w:sz="4" w:space="0" w:color="auto"/>
              <w:left w:val="nil"/>
              <w:bottom w:val="nil"/>
              <w:right w:val="nil"/>
            </w:tcBorders>
          </w:tcPr>
          <w:p w14:paraId="1632A21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4D1202FF" w14:textId="77777777" w:rsidTr="002B2E13">
        <w:trPr>
          <w:cantSplit/>
        </w:trPr>
        <w:tc>
          <w:tcPr>
            <w:tcW w:w="1051" w:type="dxa"/>
            <w:tcBorders>
              <w:top w:val="nil"/>
              <w:left w:val="nil"/>
              <w:bottom w:val="nil"/>
              <w:right w:val="nil"/>
            </w:tcBorders>
          </w:tcPr>
          <w:p w14:paraId="2350EA8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47(1)</w:t>
            </w:r>
          </w:p>
        </w:tc>
        <w:tc>
          <w:tcPr>
            <w:tcW w:w="6345" w:type="dxa"/>
            <w:tcBorders>
              <w:top w:val="nil"/>
              <w:left w:val="nil"/>
              <w:bottom w:val="nil"/>
              <w:right w:val="nil"/>
            </w:tcBorders>
          </w:tcPr>
          <w:p w14:paraId="7243405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attempting to put vehicle in motion while under influence of liquor or drug</w:t>
            </w:r>
          </w:p>
        </w:tc>
        <w:tc>
          <w:tcPr>
            <w:tcW w:w="1389" w:type="dxa"/>
            <w:tcBorders>
              <w:top w:val="nil"/>
              <w:left w:val="nil"/>
              <w:bottom w:val="nil"/>
              <w:right w:val="nil"/>
            </w:tcBorders>
          </w:tcPr>
          <w:p w14:paraId="7331804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3D6130AD" w14:textId="77777777" w:rsidTr="002B2E13">
        <w:trPr>
          <w:cantSplit/>
        </w:trPr>
        <w:tc>
          <w:tcPr>
            <w:tcW w:w="1051" w:type="dxa"/>
            <w:tcBorders>
              <w:top w:val="nil"/>
              <w:left w:val="nil"/>
              <w:bottom w:val="nil"/>
              <w:right w:val="nil"/>
            </w:tcBorders>
          </w:tcPr>
          <w:p w14:paraId="4709D24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47(1a)</w:t>
            </w:r>
          </w:p>
        </w:tc>
        <w:tc>
          <w:tcPr>
            <w:tcW w:w="6345" w:type="dxa"/>
            <w:tcBorders>
              <w:top w:val="nil"/>
              <w:left w:val="nil"/>
              <w:bottom w:val="nil"/>
              <w:right w:val="nil"/>
            </w:tcBorders>
          </w:tcPr>
          <w:p w14:paraId="5ED46E8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Engaging in conduct involving motor vehicle that constitutes offence against section 47(1) while child under age of 16 years is present in or on that motor vehicle</w:t>
            </w:r>
          </w:p>
        </w:tc>
        <w:tc>
          <w:tcPr>
            <w:tcW w:w="1389" w:type="dxa"/>
            <w:tcBorders>
              <w:top w:val="nil"/>
              <w:left w:val="nil"/>
              <w:bottom w:val="nil"/>
              <w:right w:val="nil"/>
            </w:tcBorders>
          </w:tcPr>
          <w:p w14:paraId="511C151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7827B3C3" w14:textId="77777777" w:rsidTr="002B2E13">
        <w:trPr>
          <w:cantSplit/>
        </w:trPr>
        <w:tc>
          <w:tcPr>
            <w:tcW w:w="1051" w:type="dxa"/>
            <w:tcBorders>
              <w:top w:val="nil"/>
              <w:left w:val="nil"/>
              <w:bottom w:val="nil"/>
              <w:right w:val="nil"/>
            </w:tcBorders>
          </w:tcPr>
          <w:p w14:paraId="54952E3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47B(1)</w:t>
            </w:r>
          </w:p>
        </w:tc>
        <w:tc>
          <w:tcPr>
            <w:tcW w:w="6345" w:type="dxa"/>
            <w:tcBorders>
              <w:top w:val="nil"/>
              <w:left w:val="nil"/>
              <w:bottom w:val="nil"/>
              <w:right w:val="nil"/>
            </w:tcBorders>
          </w:tcPr>
          <w:p w14:paraId="7A1AFE3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whilst having prescribed concentration of alcohol in blood</w:t>
            </w:r>
            <w:r w:rsidRPr="002A3021">
              <w:rPr>
                <w:rFonts w:eastAsia="Times New Roman"/>
                <w:color w:val="000000"/>
                <w:sz w:val="20"/>
                <w:szCs w:val="20"/>
                <w:lang w:eastAsia="en-AU"/>
                <w14:ligatures w14:val="standardContextual"/>
              </w:rPr>
              <w:t>:</w:t>
            </w:r>
          </w:p>
        </w:tc>
        <w:tc>
          <w:tcPr>
            <w:tcW w:w="1389" w:type="dxa"/>
            <w:tcBorders>
              <w:top w:val="nil"/>
              <w:left w:val="nil"/>
              <w:bottom w:val="nil"/>
              <w:right w:val="nil"/>
            </w:tcBorders>
          </w:tcPr>
          <w:p w14:paraId="6E31661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B2E13" w:rsidRPr="002A3021" w14:paraId="1F56711D" w14:textId="77777777" w:rsidTr="002B2E13">
        <w:trPr>
          <w:cantSplit/>
        </w:trPr>
        <w:tc>
          <w:tcPr>
            <w:tcW w:w="1051" w:type="dxa"/>
            <w:tcBorders>
              <w:top w:val="nil"/>
              <w:left w:val="nil"/>
              <w:bottom w:val="nil"/>
              <w:right w:val="nil"/>
            </w:tcBorders>
          </w:tcPr>
          <w:p w14:paraId="26282D7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tcBorders>
              <w:top w:val="nil"/>
              <w:left w:val="nil"/>
              <w:bottom w:val="nil"/>
              <w:right w:val="nil"/>
            </w:tcBorders>
          </w:tcPr>
          <w:p w14:paraId="6E64D7D0"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involving less than 0.08 g of alcohol in 100 mL of blood</w:t>
            </w:r>
          </w:p>
        </w:tc>
        <w:tc>
          <w:tcPr>
            <w:tcW w:w="1389" w:type="dxa"/>
            <w:tcBorders>
              <w:top w:val="nil"/>
              <w:left w:val="nil"/>
              <w:bottom w:val="nil"/>
              <w:right w:val="nil"/>
            </w:tcBorders>
          </w:tcPr>
          <w:p w14:paraId="1068CB9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B2E13" w:rsidRPr="002A3021" w14:paraId="431D7241" w14:textId="77777777" w:rsidTr="002B2E13">
        <w:trPr>
          <w:cantSplit/>
        </w:trPr>
        <w:tc>
          <w:tcPr>
            <w:tcW w:w="1051" w:type="dxa"/>
            <w:tcBorders>
              <w:top w:val="nil"/>
              <w:left w:val="nil"/>
              <w:bottom w:val="nil"/>
              <w:right w:val="nil"/>
            </w:tcBorders>
          </w:tcPr>
          <w:p w14:paraId="523E2D8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tcBorders>
              <w:top w:val="nil"/>
              <w:left w:val="nil"/>
              <w:bottom w:val="nil"/>
              <w:right w:val="nil"/>
            </w:tcBorders>
          </w:tcPr>
          <w:p w14:paraId="3665F654" w14:textId="77777777" w:rsidR="002A3021" w:rsidRPr="002A3021" w:rsidRDefault="002A3021" w:rsidP="002A3021">
            <w:pPr>
              <w:keepNext/>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involving 0.08 g or more but less than 0.15 g of alcohol in 100 mL of blood</w:t>
            </w:r>
          </w:p>
        </w:tc>
        <w:tc>
          <w:tcPr>
            <w:tcW w:w="1389" w:type="dxa"/>
            <w:tcBorders>
              <w:top w:val="nil"/>
              <w:left w:val="nil"/>
              <w:bottom w:val="nil"/>
              <w:right w:val="nil"/>
            </w:tcBorders>
          </w:tcPr>
          <w:p w14:paraId="3E14E838"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B2E13" w:rsidRPr="002A3021" w14:paraId="0D0CE503" w14:textId="77777777" w:rsidTr="002B2E13">
        <w:trPr>
          <w:cantSplit/>
        </w:trPr>
        <w:tc>
          <w:tcPr>
            <w:tcW w:w="1051" w:type="dxa"/>
            <w:tcBorders>
              <w:top w:val="nil"/>
              <w:left w:val="nil"/>
              <w:bottom w:val="nil"/>
              <w:right w:val="nil"/>
            </w:tcBorders>
          </w:tcPr>
          <w:p w14:paraId="5BB4F89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tcBorders>
              <w:top w:val="nil"/>
              <w:left w:val="nil"/>
              <w:bottom w:val="nil"/>
              <w:right w:val="nil"/>
            </w:tcBorders>
          </w:tcPr>
          <w:p w14:paraId="48B26013"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involving 0.15 g or more of alcohol in 100 mL of blood</w:t>
            </w:r>
          </w:p>
        </w:tc>
        <w:tc>
          <w:tcPr>
            <w:tcW w:w="1389" w:type="dxa"/>
            <w:tcBorders>
              <w:top w:val="nil"/>
              <w:left w:val="nil"/>
              <w:bottom w:val="nil"/>
              <w:right w:val="nil"/>
            </w:tcBorders>
          </w:tcPr>
          <w:p w14:paraId="2747EAF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72D5301A" w14:textId="77777777" w:rsidTr="002B2E13">
        <w:trPr>
          <w:cantSplit/>
        </w:trPr>
        <w:tc>
          <w:tcPr>
            <w:tcW w:w="1051" w:type="dxa"/>
            <w:tcBorders>
              <w:top w:val="nil"/>
              <w:left w:val="nil"/>
              <w:bottom w:val="nil"/>
              <w:right w:val="nil"/>
            </w:tcBorders>
          </w:tcPr>
          <w:p w14:paraId="42BA662D"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47B(1a)</w:t>
            </w:r>
          </w:p>
        </w:tc>
        <w:tc>
          <w:tcPr>
            <w:tcW w:w="6345" w:type="dxa"/>
            <w:tcBorders>
              <w:top w:val="nil"/>
              <w:left w:val="nil"/>
              <w:bottom w:val="nil"/>
              <w:right w:val="nil"/>
            </w:tcBorders>
          </w:tcPr>
          <w:p w14:paraId="03EEAE2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Engaging in conduct involving motor vehicle that constitutes offence against section 47B(1) while child under age of 16 years is present in or on that motor vehicle</w:t>
            </w:r>
          </w:p>
        </w:tc>
        <w:tc>
          <w:tcPr>
            <w:tcW w:w="1389" w:type="dxa"/>
            <w:tcBorders>
              <w:top w:val="nil"/>
              <w:left w:val="nil"/>
              <w:bottom w:val="nil"/>
              <w:right w:val="nil"/>
            </w:tcBorders>
          </w:tcPr>
          <w:p w14:paraId="33DE50F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B2E13" w:rsidRPr="002A3021" w14:paraId="2DC63C63" w14:textId="77777777" w:rsidTr="002B2E13">
        <w:trPr>
          <w:cantSplit/>
        </w:trPr>
        <w:tc>
          <w:tcPr>
            <w:tcW w:w="1051" w:type="dxa"/>
            <w:tcBorders>
              <w:top w:val="nil"/>
              <w:left w:val="nil"/>
              <w:bottom w:val="nil"/>
              <w:right w:val="nil"/>
            </w:tcBorders>
          </w:tcPr>
          <w:p w14:paraId="77A358D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tcBorders>
              <w:top w:val="nil"/>
              <w:left w:val="nil"/>
              <w:bottom w:val="nil"/>
              <w:right w:val="nil"/>
            </w:tcBorders>
          </w:tcPr>
          <w:p w14:paraId="50952D91"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involving 0.08 g or more but less than 0.15 g of alcohol in 100 mL of blood</w:t>
            </w:r>
          </w:p>
        </w:tc>
        <w:tc>
          <w:tcPr>
            <w:tcW w:w="1389" w:type="dxa"/>
            <w:tcBorders>
              <w:top w:val="nil"/>
              <w:left w:val="nil"/>
              <w:bottom w:val="nil"/>
              <w:right w:val="nil"/>
            </w:tcBorders>
          </w:tcPr>
          <w:p w14:paraId="117AC43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B2E13" w:rsidRPr="002A3021" w14:paraId="761087B0" w14:textId="77777777" w:rsidTr="002B2E13">
        <w:trPr>
          <w:cantSplit/>
        </w:trPr>
        <w:tc>
          <w:tcPr>
            <w:tcW w:w="1051" w:type="dxa"/>
            <w:tcBorders>
              <w:top w:val="nil"/>
              <w:left w:val="nil"/>
              <w:bottom w:val="nil"/>
              <w:right w:val="nil"/>
            </w:tcBorders>
          </w:tcPr>
          <w:p w14:paraId="2907639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tcBorders>
              <w:top w:val="nil"/>
              <w:left w:val="nil"/>
              <w:bottom w:val="nil"/>
              <w:right w:val="nil"/>
            </w:tcBorders>
          </w:tcPr>
          <w:p w14:paraId="1B84E948"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involving 0.15 g or more of alcohol in 100 mL of blood</w:t>
            </w:r>
          </w:p>
        </w:tc>
        <w:tc>
          <w:tcPr>
            <w:tcW w:w="1389" w:type="dxa"/>
            <w:tcBorders>
              <w:top w:val="nil"/>
              <w:left w:val="nil"/>
              <w:bottom w:val="nil"/>
              <w:right w:val="nil"/>
            </w:tcBorders>
          </w:tcPr>
          <w:p w14:paraId="058C652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65E4B4AB" w14:textId="77777777" w:rsidTr="002B2E13">
        <w:trPr>
          <w:cantSplit/>
        </w:trPr>
        <w:tc>
          <w:tcPr>
            <w:tcW w:w="1051" w:type="dxa"/>
            <w:tcBorders>
              <w:top w:val="nil"/>
              <w:left w:val="nil"/>
              <w:bottom w:val="nil"/>
              <w:right w:val="nil"/>
            </w:tcBorders>
          </w:tcPr>
          <w:p w14:paraId="73326FE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47BA(1)</w:t>
            </w:r>
          </w:p>
        </w:tc>
        <w:tc>
          <w:tcPr>
            <w:tcW w:w="6345" w:type="dxa"/>
            <w:tcBorders>
              <w:top w:val="nil"/>
              <w:left w:val="nil"/>
              <w:bottom w:val="nil"/>
              <w:right w:val="nil"/>
            </w:tcBorders>
          </w:tcPr>
          <w:p w14:paraId="70FD0D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while a prescribed drug is in oral fluid or blood</w:t>
            </w:r>
          </w:p>
        </w:tc>
        <w:tc>
          <w:tcPr>
            <w:tcW w:w="1389" w:type="dxa"/>
            <w:tcBorders>
              <w:top w:val="nil"/>
              <w:left w:val="nil"/>
              <w:bottom w:val="nil"/>
              <w:right w:val="nil"/>
            </w:tcBorders>
          </w:tcPr>
          <w:p w14:paraId="39E6CA1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B2E13" w:rsidRPr="002A3021" w14:paraId="2C5A768F" w14:textId="77777777" w:rsidTr="002B2E13">
        <w:trPr>
          <w:cantSplit/>
        </w:trPr>
        <w:tc>
          <w:tcPr>
            <w:tcW w:w="1051" w:type="dxa"/>
            <w:tcBorders>
              <w:top w:val="nil"/>
              <w:left w:val="nil"/>
              <w:bottom w:val="nil"/>
              <w:right w:val="nil"/>
            </w:tcBorders>
          </w:tcPr>
          <w:p w14:paraId="11F3E0C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47BA(1a)</w:t>
            </w:r>
          </w:p>
        </w:tc>
        <w:tc>
          <w:tcPr>
            <w:tcW w:w="6345" w:type="dxa"/>
            <w:tcBorders>
              <w:top w:val="nil"/>
              <w:left w:val="nil"/>
              <w:bottom w:val="nil"/>
              <w:right w:val="nil"/>
            </w:tcBorders>
          </w:tcPr>
          <w:p w14:paraId="5404332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Engaging in conduct involving motor vehicle that constitutes offence against section 47BA(1) while child under age of 16 years is present in or on that motor vehicle</w:t>
            </w:r>
          </w:p>
        </w:tc>
        <w:tc>
          <w:tcPr>
            <w:tcW w:w="1389" w:type="dxa"/>
            <w:tcBorders>
              <w:top w:val="nil"/>
              <w:left w:val="nil"/>
              <w:bottom w:val="nil"/>
              <w:right w:val="nil"/>
            </w:tcBorders>
          </w:tcPr>
          <w:p w14:paraId="2C6EA91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r w:rsidR="002B2E13" w:rsidRPr="002A3021" w14:paraId="58AE1FDB" w14:textId="77777777" w:rsidTr="002B2E13">
        <w:trPr>
          <w:cantSplit/>
        </w:trPr>
        <w:tc>
          <w:tcPr>
            <w:tcW w:w="1051" w:type="dxa"/>
            <w:tcBorders>
              <w:top w:val="nil"/>
              <w:left w:val="nil"/>
              <w:bottom w:val="nil"/>
              <w:right w:val="nil"/>
            </w:tcBorders>
          </w:tcPr>
          <w:p w14:paraId="2583083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47E(3)</w:t>
            </w:r>
          </w:p>
        </w:tc>
        <w:tc>
          <w:tcPr>
            <w:tcW w:w="6345" w:type="dxa"/>
            <w:tcBorders>
              <w:top w:val="nil"/>
              <w:left w:val="nil"/>
              <w:bottom w:val="nil"/>
              <w:right w:val="nil"/>
            </w:tcBorders>
          </w:tcPr>
          <w:p w14:paraId="2EDE1B2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Refusing or failing to comply with direction of police officer in relation to alcotest or breath analysis</w:t>
            </w:r>
          </w:p>
        </w:tc>
        <w:tc>
          <w:tcPr>
            <w:tcW w:w="1389" w:type="dxa"/>
            <w:tcBorders>
              <w:top w:val="nil"/>
              <w:left w:val="nil"/>
              <w:bottom w:val="nil"/>
              <w:right w:val="nil"/>
            </w:tcBorders>
          </w:tcPr>
          <w:p w14:paraId="0E01087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7AA13885" w14:textId="77777777" w:rsidTr="002B2E13">
        <w:trPr>
          <w:cantSplit/>
        </w:trPr>
        <w:tc>
          <w:tcPr>
            <w:tcW w:w="1051" w:type="dxa"/>
            <w:tcBorders>
              <w:top w:val="nil"/>
              <w:left w:val="nil"/>
              <w:bottom w:val="nil"/>
              <w:right w:val="nil"/>
            </w:tcBorders>
          </w:tcPr>
          <w:p w14:paraId="2B090CF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47E(3a)</w:t>
            </w:r>
          </w:p>
        </w:tc>
        <w:tc>
          <w:tcPr>
            <w:tcW w:w="6345" w:type="dxa"/>
            <w:tcBorders>
              <w:top w:val="nil"/>
              <w:left w:val="nil"/>
              <w:bottom w:val="nil"/>
              <w:right w:val="nil"/>
            </w:tcBorders>
          </w:tcPr>
          <w:p w14:paraId="15435BF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Refusing or failing to comply with direction of police officer in relation to alcotest or breath analysis—person engaging in conduct described in section 47E(1)(a), (b) or (c) while child under age of 16 years is present in or on motor vehicle</w:t>
            </w:r>
          </w:p>
        </w:tc>
        <w:tc>
          <w:tcPr>
            <w:tcW w:w="1389" w:type="dxa"/>
            <w:tcBorders>
              <w:top w:val="nil"/>
              <w:left w:val="nil"/>
              <w:bottom w:val="nil"/>
              <w:right w:val="nil"/>
            </w:tcBorders>
          </w:tcPr>
          <w:p w14:paraId="2F4B6653"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6CD58E98" w14:textId="77777777" w:rsidTr="002B2E13">
        <w:trPr>
          <w:cantSplit/>
        </w:trPr>
        <w:tc>
          <w:tcPr>
            <w:tcW w:w="1051" w:type="dxa"/>
            <w:tcBorders>
              <w:top w:val="nil"/>
              <w:left w:val="nil"/>
              <w:bottom w:val="nil"/>
              <w:right w:val="nil"/>
            </w:tcBorders>
          </w:tcPr>
          <w:p w14:paraId="1602334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47EAA(9)</w:t>
            </w:r>
          </w:p>
        </w:tc>
        <w:tc>
          <w:tcPr>
            <w:tcW w:w="6345" w:type="dxa"/>
            <w:tcBorders>
              <w:top w:val="nil"/>
              <w:left w:val="nil"/>
              <w:bottom w:val="nil"/>
              <w:right w:val="nil"/>
            </w:tcBorders>
          </w:tcPr>
          <w:p w14:paraId="6D756F5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Refusing or failing to comply with direction of police officer in relation to drug screening test, oral fluid analysis or blood test</w:t>
            </w:r>
          </w:p>
        </w:tc>
        <w:tc>
          <w:tcPr>
            <w:tcW w:w="1389" w:type="dxa"/>
            <w:tcBorders>
              <w:top w:val="nil"/>
              <w:left w:val="nil"/>
              <w:bottom w:val="nil"/>
              <w:right w:val="nil"/>
            </w:tcBorders>
          </w:tcPr>
          <w:p w14:paraId="73DFD40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0759C05C" w14:textId="77777777" w:rsidTr="002B2E13">
        <w:trPr>
          <w:cantSplit/>
        </w:trPr>
        <w:tc>
          <w:tcPr>
            <w:tcW w:w="1051" w:type="dxa"/>
            <w:tcBorders>
              <w:top w:val="nil"/>
              <w:left w:val="nil"/>
              <w:bottom w:val="nil"/>
              <w:right w:val="nil"/>
            </w:tcBorders>
          </w:tcPr>
          <w:p w14:paraId="57CC41D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47EAA(9a)</w:t>
            </w:r>
          </w:p>
        </w:tc>
        <w:tc>
          <w:tcPr>
            <w:tcW w:w="6345" w:type="dxa"/>
            <w:tcBorders>
              <w:top w:val="nil"/>
              <w:left w:val="nil"/>
              <w:bottom w:val="nil"/>
              <w:right w:val="nil"/>
            </w:tcBorders>
          </w:tcPr>
          <w:p w14:paraId="5206F99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Refusing or failing to comply with direction of police officer in relation to drug screening test, oral fluid analysis or blood test—person engaging in conduct described in section 47E(1)(a), (b) or (c) while child under age of 16 years is present in or on motor vehicle</w:t>
            </w:r>
          </w:p>
        </w:tc>
        <w:tc>
          <w:tcPr>
            <w:tcW w:w="1389" w:type="dxa"/>
            <w:tcBorders>
              <w:top w:val="nil"/>
              <w:left w:val="nil"/>
              <w:bottom w:val="nil"/>
              <w:right w:val="nil"/>
            </w:tcBorders>
          </w:tcPr>
          <w:p w14:paraId="76BE8DF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60722388" w14:textId="77777777" w:rsidTr="002B2E13">
        <w:trPr>
          <w:cantSplit/>
        </w:trPr>
        <w:tc>
          <w:tcPr>
            <w:tcW w:w="1051" w:type="dxa"/>
            <w:tcBorders>
              <w:top w:val="nil"/>
              <w:left w:val="nil"/>
              <w:bottom w:val="nil"/>
              <w:right w:val="nil"/>
            </w:tcBorders>
          </w:tcPr>
          <w:p w14:paraId="19354BB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47I(7)</w:t>
            </w:r>
          </w:p>
        </w:tc>
        <w:tc>
          <w:tcPr>
            <w:tcW w:w="6345" w:type="dxa"/>
            <w:tcBorders>
              <w:top w:val="nil"/>
              <w:left w:val="nil"/>
              <w:bottom w:val="nil"/>
              <w:right w:val="nil"/>
            </w:tcBorders>
          </w:tcPr>
          <w:p w14:paraId="2CA73B9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Refusing or failing to comply with request to submit to taking of sample of blood—child under age of 16 years present in or on motor vehicle at time of accident</w:t>
            </w:r>
          </w:p>
        </w:tc>
        <w:tc>
          <w:tcPr>
            <w:tcW w:w="1389" w:type="dxa"/>
            <w:tcBorders>
              <w:top w:val="nil"/>
              <w:left w:val="nil"/>
              <w:bottom w:val="nil"/>
              <w:right w:val="nil"/>
            </w:tcBorders>
          </w:tcPr>
          <w:p w14:paraId="7263243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5C48A9FB" w14:textId="77777777" w:rsidTr="002B2E13">
        <w:trPr>
          <w:cantSplit/>
        </w:trPr>
        <w:tc>
          <w:tcPr>
            <w:tcW w:w="1051" w:type="dxa"/>
            <w:tcBorders>
              <w:top w:val="nil"/>
              <w:left w:val="nil"/>
              <w:bottom w:val="nil"/>
              <w:right w:val="nil"/>
            </w:tcBorders>
          </w:tcPr>
          <w:p w14:paraId="15C9FD7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47I(14)</w:t>
            </w:r>
          </w:p>
        </w:tc>
        <w:tc>
          <w:tcPr>
            <w:tcW w:w="6345" w:type="dxa"/>
            <w:tcBorders>
              <w:top w:val="nil"/>
              <w:left w:val="nil"/>
              <w:bottom w:val="nil"/>
              <w:right w:val="nil"/>
            </w:tcBorders>
          </w:tcPr>
          <w:p w14:paraId="010E592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Refusing or failing to comply with request to submit to taking of sample of blood</w:t>
            </w:r>
          </w:p>
        </w:tc>
        <w:tc>
          <w:tcPr>
            <w:tcW w:w="1389" w:type="dxa"/>
            <w:tcBorders>
              <w:top w:val="nil"/>
              <w:left w:val="nil"/>
              <w:bottom w:val="nil"/>
              <w:right w:val="nil"/>
            </w:tcBorders>
          </w:tcPr>
          <w:p w14:paraId="15042D4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w:t>
            </w:r>
          </w:p>
        </w:tc>
      </w:tr>
      <w:tr w:rsidR="002B2E13" w:rsidRPr="002A3021" w14:paraId="02F8CACA" w14:textId="77777777" w:rsidTr="002B2E13">
        <w:trPr>
          <w:cantSplit/>
        </w:trPr>
        <w:tc>
          <w:tcPr>
            <w:tcW w:w="1051" w:type="dxa"/>
            <w:tcBorders>
              <w:top w:val="nil"/>
              <w:left w:val="nil"/>
              <w:bottom w:val="nil"/>
              <w:right w:val="nil"/>
            </w:tcBorders>
          </w:tcPr>
          <w:p w14:paraId="6AADED7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79B(2)</w:t>
            </w:r>
          </w:p>
        </w:tc>
        <w:tc>
          <w:tcPr>
            <w:tcW w:w="6345" w:type="dxa"/>
            <w:tcBorders>
              <w:top w:val="nil"/>
              <w:left w:val="nil"/>
              <w:bottom w:val="nil"/>
              <w:right w:val="nil"/>
            </w:tcBorders>
          </w:tcPr>
          <w:p w14:paraId="2D7AF5B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Being the owner of a vehicle that appears from evidence obtained through the operation of a photographic detection device to have been involved in the commission of a prescribed offence</w:t>
            </w:r>
          </w:p>
        </w:tc>
        <w:tc>
          <w:tcPr>
            <w:tcW w:w="1389" w:type="dxa"/>
            <w:tcBorders>
              <w:top w:val="nil"/>
              <w:left w:val="nil"/>
              <w:bottom w:val="nil"/>
              <w:right w:val="nil"/>
            </w:tcBorders>
          </w:tcPr>
          <w:p w14:paraId="6814D9E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bl>
    <w:p w14:paraId="2E561FD3" w14:textId="77777777" w:rsidR="005C5FF4" w:rsidRDefault="005C5FF4">
      <w:r>
        <w:br w:type="page"/>
      </w:r>
    </w:p>
    <w:tbl>
      <w:tblPr>
        <w:tblW w:w="0" w:type="auto"/>
        <w:tblLayout w:type="fixed"/>
        <w:tblCellMar>
          <w:left w:w="60" w:type="dxa"/>
          <w:right w:w="60" w:type="dxa"/>
        </w:tblCellMar>
        <w:tblLook w:val="0000" w:firstRow="0" w:lastRow="0" w:firstColumn="0" w:lastColumn="0" w:noHBand="0" w:noVBand="0"/>
      </w:tblPr>
      <w:tblGrid>
        <w:gridCol w:w="1051"/>
        <w:gridCol w:w="938"/>
        <w:gridCol w:w="5407"/>
        <w:gridCol w:w="1389"/>
      </w:tblGrid>
      <w:tr w:rsidR="005C5FF4" w:rsidRPr="002A3021" w14:paraId="7080A01D" w14:textId="77777777" w:rsidTr="005C5FF4">
        <w:trPr>
          <w:cantSplit/>
        </w:trPr>
        <w:tc>
          <w:tcPr>
            <w:tcW w:w="1051" w:type="dxa"/>
            <w:tcBorders>
              <w:top w:val="nil"/>
              <w:left w:val="nil"/>
              <w:bottom w:val="single" w:sz="4" w:space="0" w:color="auto"/>
              <w:right w:val="nil"/>
            </w:tcBorders>
          </w:tcPr>
          <w:p w14:paraId="52B194C7" w14:textId="39F645E1" w:rsidR="005C5FF4" w:rsidRPr="002A3021" w:rsidRDefault="005C5FF4" w:rsidP="005C5F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6345" w:type="dxa"/>
            <w:gridSpan w:val="2"/>
            <w:tcBorders>
              <w:top w:val="nil"/>
              <w:left w:val="nil"/>
              <w:bottom w:val="single" w:sz="4" w:space="0" w:color="auto"/>
              <w:right w:val="nil"/>
            </w:tcBorders>
          </w:tcPr>
          <w:p w14:paraId="01A56FC3" w14:textId="37E3A9FF" w:rsidR="005C5FF4" w:rsidRPr="002A3021" w:rsidRDefault="005C5FF4" w:rsidP="005C5FF4">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1" w:history="1">
              <w:r w:rsidRPr="002A3021">
                <w:rPr>
                  <w:rFonts w:eastAsia="Times New Roman"/>
                  <w:b/>
                  <w:bCs/>
                  <w:i/>
                  <w:iCs/>
                  <w:color w:val="000000"/>
                  <w:sz w:val="20"/>
                  <w:szCs w:val="20"/>
                  <w:lang w:eastAsia="en-AU"/>
                  <w14:ligatures w14:val="standardContextual"/>
                </w:rPr>
                <w:t>Road Traffic Act 1961</w:t>
              </w:r>
            </w:hyperlink>
          </w:p>
        </w:tc>
        <w:tc>
          <w:tcPr>
            <w:tcW w:w="1389" w:type="dxa"/>
            <w:tcBorders>
              <w:top w:val="nil"/>
              <w:left w:val="nil"/>
              <w:bottom w:val="single" w:sz="4" w:space="0" w:color="auto"/>
              <w:right w:val="nil"/>
            </w:tcBorders>
          </w:tcPr>
          <w:p w14:paraId="42BD3AAC" w14:textId="33FD6CA3" w:rsidR="005C5FF4" w:rsidRPr="002A3021" w:rsidRDefault="005C5FF4" w:rsidP="005C5FF4">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B2E13" w:rsidRPr="002A3021" w14:paraId="51CA11AC" w14:textId="77777777" w:rsidTr="005C5FF4">
        <w:trPr>
          <w:cantSplit/>
        </w:trPr>
        <w:tc>
          <w:tcPr>
            <w:tcW w:w="1051" w:type="dxa"/>
            <w:tcBorders>
              <w:top w:val="single" w:sz="4" w:space="0" w:color="auto"/>
              <w:left w:val="nil"/>
              <w:bottom w:val="nil"/>
              <w:right w:val="nil"/>
            </w:tcBorders>
          </w:tcPr>
          <w:p w14:paraId="1D8866A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gridSpan w:val="2"/>
            <w:tcBorders>
              <w:top w:val="single" w:sz="4" w:space="0" w:color="auto"/>
              <w:left w:val="nil"/>
              <w:bottom w:val="nil"/>
              <w:right w:val="nil"/>
            </w:tcBorders>
          </w:tcPr>
          <w:p w14:paraId="14D5C74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where the owner is a natural person</w:t>
            </w:r>
          </w:p>
        </w:tc>
        <w:tc>
          <w:tcPr>
            <w:tcW w:w="1389" w:type="dxa"/>
            <w:tcBorders>
              <w:top w:val="single" w:sz="4" w:space="0" w:color="auto"/>
              <w:left w:val="nil"/>
              <w:bottom w:val="nil"/>
              <w:right w:val="nil"/>
            </w:tcBorders>
          </w:tcPr>
          <w:p w14:paraId="2D668A0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number of demerit points prescribed by these regulations for the prescribed offence in which the vehicle appears to have been involved</w:t>
            </w:r>
          </w:p>
        </w:tc>
      </w:tr>
      <w:tr w:rsidR="002B2E13" w:rsidRPr="002A3021" w14:paraId="19B21822" w14:textId="77777777" w:rsidTr="002B2E13">
        <w:trPr>
          <w:cantSplit/>
        </w:trPr>
        <w:tc>
          <w:tcPr>
            <w:tcW w:w="1051" w:type="dxa"/>
            <w:tcBorders>
              <w:top w:val="nil"/>
              <w:left w:val="nil"/>
              <w:bottom w:val="nil"/>
              <w:right w:val="nil"/>
            </w:tcBorders>
          </w:tcPr>
          <w:p w14:paraId="5014D93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91(3)</w:t>
            </w:r>
          </w:p>
        </w:tc>
        <w:tc>
          <w:tcPr>
            <w:tcW w:w="6345" w:type="dxa"/>
            <w:gridSpan w:val="2"/>
            <w:tcBorders>
              <w:top w:val="nil"/>
              <w:left w:val="nil"/>
              <w:bottom w:val="nil"/>
              <w:right w:val="nil"/>
            </w:tcBorders>
          </w:tcPr>
          <w:p w14:paraId="4ADEC64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Person subject to direction or request of authorised person failing to comply or giving false information</w:t>
            </w:r>
          </w:p>
        </w:tc>
        <w:tc>
          <w:tcPr>
            <w:tcW w:w="1389" w:type="dxa"/>
            <w:tcBorders>
              <w:top w:val="nil"/>
              <w:left w:val="nil"/>
              <w:bottom w:val="nil"/>
              <w:right w:val="nil"/>
            </w:tcBorders>
          </w:tcPr>
          <w:p w14:paraId="52CCE67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B2E13" w:rsidRPr="002A3021" w14:paraId="3384DDCB" w14:textId="77777777" w:rsidTr="002B2E13">
        <w:trPr>
          <w:cantSplit/>
        </w:trPr>
        <w:tc>
          <w:tcPr>
            <w:tcW w:w="1051" w:type="dxa"/>
            <w:tcBorders>
              <w:top w:val="nil"/>
              <w:left w:val="nil"/>
              <w:bottom w:val="nil"/>
              <w:right w:val="nil"/>
            </w:tcBorders>
          </w:tcPr>
          <w:p w14:paraId="60548CF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123</w:t>
            </w:r>
          </w:p>
        </w:tc>
        <w:tc>
          <w:tcPr>
            <w:tcW w:w="6345" w:type="dxa"/>
            <w:gridSpan w:val="2"/>
            <w:tcBorders>
              <w:top w:val="nil"/>
              <w:left w:val="nil"/>
              <w:bottom w:val="nil"/>
              <w:right w:val="nil"/>
            </w:tcBorders>
          </w:tcPr>
          <w:p w14:paraId="26B0DDE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Light vehicle not complying with light vehicle mass, dimension or load restraint requirement driven on road—being driver of vehicle</w:t>
            </w:r>
          </w:p>
        </w:tc>
        <w:tc>
          <w:tcPr>
            <w:tcW w:w="1389" w:type="dxa"/>
            <w:tcBorders>
              <w:top w:val="nil"/>
              <w:left w:val="nil"/>
              <w:bottom w:val="nil"/>
              <w:right w:val="nil"/>
            </w:tcBorders>
          </w:tcPr>
          <w:p w14:paraId="68EBA77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B2E13" w:rsidRPr="002A3021" w14:paraId="39840544" w14:textId="77777777" w:rsidTr="002B2E13">
        <w:trPr>
          <w:cantSplit/>
        </w:trPr>
        <w:tc>
          <w:tcPr>
            <w:tcW w:w="1051" w:type="dxa"/>
            <w:tcBorders>
              <w:top w:val="nil"/>
              <w:left w:val="nil"/>
              <w:bottom w:val="nil"/>
              <w:right w:val="nil"/>
            </w:tcBorders>
          </w:tcPr>
          <w:p w14:paraId="0B3D92D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gridSpan w:val="2"/>
            <w:tcBorders>
              <w:top w:val="nil"/>
              <w:left w:val="nil"/>
              <w:bottom w:val="nil"/>
              <w:right w:val="nil"/>
            </w:tcBorders>
          </w:tcPr>
          <w:p w14:paraId="5437BACB"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Breach comprising failure to comply with clause 7A(1) of Schedule 1 of the </w:t>
            </w:r>
            <w:hyperlink r:id="rId92" w:history="1">
              <w:r w:rsidRPr="002A3021">
                <w:rPr>
                  <w:rFonts w:eastAsia="Times New Roman"/>
                  <w:i/>
                  <w:iCs/>
                  <w:color w:val="000000"/>
                  <w:sz w:val="20"/>
                  <w:szCs w:val="20"/>
                  <w:lang w:eastAsia="en-AU"/>
                  <w14:ligatures w14:val="standardContextual"/>
                </w:rPr>
                <w:t>Road Traffic (Light Vehicle Mass and Loading Requirements) Regulations 2013</w:t>
              </w:r>
            </w:hyperlink>
          </w:p>
        </w:tc>
        <w:tc>
          <w:tcPr>
            <w:tcW w:w="1389" w:type="dxa"/>
            <w:tcBorders>
              <w:top w:val="nil"/>
              <w:left w:val="nil"/>
              <w:bottom w:val="nil"/>
              <w:right w:val="nil"/>
            </w:tcBorders>
          </w:tcPr>
          <w:p w14:paraId="6F66101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B2E13" w:rsidRPr="002A3021" w14:paraId="79BFA54A" w14:textId="77777777" w:rsidTr="002B2E13">
        <w:trPr>
          <w:cantSplit/>
        </w:trPr>
        <w:tc>
          <w:tcPr>
            <w:tcW w:w="1051" w:type="dxa"/>
            <w:tcBorders>
              <w:top w:val="nil"/>
              <w:left w:val="nil"/>
              <w:bottom w:val="nil"/>
              <w:right w:val="nil"/>
            </w:tcBorders>
          </w:tcPr>
          <w:p w14:paraId="18CAE37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124(1)</w:t>
            </w:r>
          </w:p>
        </w:tc>
        <w:tc>
          <w:tcPr>
            <w:tcW w:w="6345" w:type="dxa"/>
            <w:gridSpan w:val="2"/>
            <w:tcBorders>
              <w:top w:val="nil"/>
              <w:left w:val="nil"/>
              <w:bottom w:val="nil"/>
              <w:right w:val="nil"/>
            </w:tcBorders>
          </w:tcPr>
          <w:p w14:paraId="3A85E77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Light vehicle not complying with light vehicle mass, dimension or load restraint requirement driven on road—being operator of vehicle</w:t>
            </w:r>
          </w:p>
        </w:tc>
        <w:tc>
          <w:tcPr>
            <w:tcW w:w="1389" w:type="dxa"/>
            <w:tcBorders>
              <w:top w:val="nil"/>
              <w:left w:val="nil"/>
              <w:bottom w:val="nil"/>
              <w:right w:val="nil"/>
            </w:tcBorders>
          </w:tcPr>
          <w:p w14:paraId="22D252C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B2E13" w:rsidRPr="002A3021" w14:paraId="1EC1B9F1" w14:textId="77777777" w:rsidTr="002B2E13">
        <w:trPr>
          <w:cantSplit/>
        </w:trPr>
        <w:tc>
          <w:tcPr>
            <w:tcW w:w="1051" w:type="dxa"/>
            <w:tcBorders>
              <w:top w:val="nil"/>
              <w:left w:val="nil"/>
              <w:bottom w:val="nil"/>
              <w:right w:val="nil"/>
            </w:tcBorders>
          </w:tcPr>
          <w:p w14:paraId="4834FCC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gridSpan w:val="2"/>
            <w:tcBorders>
              <w:top w:val="nil"/>
              <w:left w:val="nil"/>
              <w:bottom w:val="nil"/>
              <w:right w:val="nil"/>
            </w:tcBorders>
          </w:tcPr>
          <w:p w14:paraId="33D1F931"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Breach comprising failure to comply with clause 7A(1) of Schedule 1 of the </w:t>
            </w:r>
            <w:hyperlink r:id="rId93" w:history="1">
              <w:r w:rsidRPr="002A3021">
                <w:rPr>
                  <w:rFonts w:eastAsia="Times New Roman"/>
                  <w:i/>
                  <w:iCs/>
                  <w:color w:val="000000"/>
                  <w:sz w:val="20"/>
                  <w:szCs w:val="20"/>
                  <w:lang w:eastAsia="en-AU"/>
                  <w14:ligatures w14:val="standardContextual"/>
                </w:rPr>
                <w:t>Road Traffic (Light Vehicle Mass and Loading Requirements) Regulations 2013</w:t>
              </w:r>
            </w:hyperlink>
          </w:p>
        </w:tc>
        <w:tc>
          <w:tcPr>
            <w:tcW w:w="1389" w:type="dxa"/>
            <w:tcBorders>
              <w:top w:val="nil"/>
              <w:left w:val="nil"/>
              <w:bottom w:val="nil"/>
              <w:right w:val="nil"/>
            </w:tcBorders>
          </w:tcPr>
          <w:p w14:paraId="6DA64569"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B2E13" w:rsidRPr="002A3021" w14:paraId="159F9B94" w14:textId="77777777" w:rsidTr="002B2E13">
        <w:trPr>
          <w:cantSplit/>
        </w:trPr>
        <w:tc>
          <w:tcPr>
            <w:tcW w:w="1051" w:type="dxa"/>
            <w:tcBorders>
              <w:top w:val="nil"/>
              <w:left w:val="nil"/>
              <w:bottom w:val="nil"/>
              <w:right w:val="nil"/>
            </w:tcBorders>
          </w:tcPr>
          <w:p w14:paraId="0907228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164A(1)</w:t>
            </w:r>
          </w:p>
        </w:tc>
        <w:tc>
          <w:tcPr>
            <w:tcW w:w="6345" w:type="dxa"/>
            <w:gridSpan w:val="2"/>
            <w:tcBorders>
              <w:top w:val="nil"/>
              <w:left w:val="nil"/>
              <w:bottom w:val="nil"/>
              <w:right w:val="nil"/>
            </w:tcBorders>
          </w:tcPr>
          <w:p w14:paraId="71C35B1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or failing to comply with provision of Act</w:t>
            </w:r>
          </w:p>
        </w:tc>
        <w:tc>
          <w:tcPr>
            <w:tcW w:w="1389" w:type="dxa"/>
            <w:tcBorders>
              <w:top w:val="nil"/>
              <w:left w:val="nil"/>
              <w:bottom w:val="nil"/>
              <w:right w:val="nil"/>
            </w:tcBorders>
          </w:tcPr>
          <w:p w14:paraId="3111DEDD"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B2E13" w:rsidRPr="002A3021" w14:paraId="166BF5D0" w14:textId="77777777" w:rsidTr="002B2E13">
        <w:trPr>
          <w:cantSplit/>
        </w:trPr>
        <w:tc>
          <w:tcPr>
            <w:tcW w:w="1051" w:type="dxa"/>
            <w:tcBorders>
              <w:top w:val="nil"/>
              <w:left w:val="nil"/>
              <w:bottom w:val="nil"/>
              <w:right w:val="nil"/>
            </w:tcBorders>
          </w:tcPr>
          <w:p w14:paraId="272047B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45" w:type="dxa"/>
            <w:gridSpan w:val="2"/>
            <w:tcBorders>
              <w:top w:val="nil"/>
              <w:left w:val="nil"/>
              <w:bottom w:val="nil"/>
              <w:right w:val="nil"/>
            </w:tcBorders>
          </w:tcPr>
          <w:p w14:paraId="1C6B43B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of or failure to comply with—</w:t>
            </w:r>
          </w:p>
        </w:tc>
        <w:tc>
          <w:tcPr>
            <w:tcW w:w="1389" w:type="dxa"/>
            <w:tcBorders>
              <w:top w:val="nil"/>
              <w:left w:val="nil"/>
              <w:bottom w:val="nil"/>
              <w:right w:val="nil"/>
            </w:tcBorders>
          </w:tcPr>
          <w:p w14:paraId="72E6AC4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4C61B3C1" w14:textId="77777777" w:rsidTr="00911011">
        <w:trPr>
          <w:cantSplit/>
        </w:trPr>
        <w:tc>
          <w:tcPr>
            <w:tcW w:w="1051" w:type="dxa"/>
            <w:tcBorders>
              <w:top w:val="nil"/>
              <w:left w:val="nil"/>
              <w:bottom w:val="nil"/>
              <w:right w:val="nil"/>
            </w:tcBorders>
          </w:tcPr>
          <w:p w14:paraId="46C1F41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19BF0EA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82(1)</w:t>
            </w:r>
          </w:p>
        </w:tc>
        <w:tc>
          <w:tcPr>
            <w:tcW w:w="5407" w:type="dxa"/>
            <w:tcBorders>
              <w:top w:val="nil"/>
              <w:left w:val="nil"/>
              <w:bottom w:val="nil"/>
              <w:right w:val="nil"/>
            </w:tcBorders>
          </w:tcPr>
          <w:p w14:paraId="51A1B16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while passing school bus</w:t>
            </w:r>
          </w:p>
        </w:tc>
        <w:tc>
          <w:tcPr>
            <w:tcW w:w="1389" w:type="dxa"/>
            <w:tcBorders>
              <w:top w:val="nil"/>
              <w:left w:val="nil"/>
              <w:bottom w:val="nil"/>
              <w:right w:val="nil"/>
            </w:tcBorders>
          </w:tcPr>
          <w:p w14:paraId="43206223"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43D6B8F8" w14:textId="77777777" w:rsidTr="00911011">
        <w:trPr>
          <w:cantSplit/>
        </w:trPr>
        <w:tc>
          <w:tcPr>
            <w:tcW w:w="1051" w:type="dxa"/>
            <w:tcBorders>
              <w:top w:val="nil"/>
              <w:left w:val="nil"/>
              <w:bottom w:val="nil"/>
              <w:right w:val="nil"/>
            </w:tcBorders>
          </w:tcPr>
          <w:p w14:paraId="5B39C13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51B5329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2F63AB9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the speed limit while passing school bus—</w:t>
            </w:r>
          </w:p>
        </w:tc>
        <w:tc>
          <w:tcPr>
            <w:tcW w:w="1389" w:type="dxa"/>
            <w:tcBorders>
              <w:top w:val="nil"/>
              <w:left w:val="nil"/>
              <w:bottom w:val="nil"/>
              <w:right w:val="nil"/>
            </w:tcBorders>
          </w:tcPr>
          <w:p w14:paraId="1DBBAC8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6BAC10C" w14:textId="77777777" w:rsidTr="00911011">
        <w:trPr>
          <w:cantSplit/>
        </w:trPr>
        <w:tc>
          <w:tcPr>
            <w:tcW w:w="1051" w:type="dxa"/>
            <w:tcBorders>
              <w:top w:val="nil"/>
              <w:left w:val="nil"/>
              <w:bottom w:val="nil"/>
              <w:right w:val="nil"/>
            </w:tcBorders>
          </w:tcPr>
          <w:p w14:paraId="1F82DA9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7A0873D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31503C7F"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89" w:type="dxa"/>
            <w:tcBorders>
              <w:top w:val="nil"/>
              <w:left w:val="nil"/>
              <w:bottom w:val="nil"/>
              <w:right w:val="nil"/>
            </w:tcBorders>
          </w:tcPr>
          <w:p w14:paraId="6E2D9BB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6400AEB5" w14:textId="77777777" w:rsidTr="00911011">
        <w:trPr>
          <w:cantSplit/>
        </w:trPr>
        <w:tc>
          <w:tcPr>
            <w:tcW w:w="1051" w:type="dxa"/>
            <w:tcBorders>
              <w:top w:val="nil"/>
              <w:left w:val="nil"/>
              <w:bottom w:val="nil"/>
              <w:right w:val="nil"/>
            </w:tcBorders>
          </w:tcPr>
          <w:p w14:paraId="258CCAF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25543FC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2C1E7B8C"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89" w:type="dxa"/>
            <w:tcBorders>
              <w:top w:val="nil"/>
              <w:left w:val="nil"/>
              <w:bottom w:val="nil"/>
              <w:right w:val="nil"/>
            </w:tcBorders>
          </w:tcPr>
          <w:p w14:paraId="287678B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D7BFE05" w14:textId="77777777" w:rsidTr="00911011">
        <w:trPr>
          <w:cantSplit/>
        </w:trPr>
        <w:tc>
          <w:tcPr>
            <w:tcW w:w="1051" w:type="dxa"/>
            <w:tcBorders>
              <w:top w:val="nil"/>
              <w:left w:val="nil"/>
              <w:bottom w:val="nil"/>
              <w:right w:val="nil"/>
            </w:tcBorders>
          </w:tcPr>
          <w:p w14:paraId="093B4D7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4318984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21972D98"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89" w:type="dxa"/>
            <w:tcBorders>
              <w:top w:val="nil"/>
              <w:left w:val="nil"/>
              <w:bottom w:val="nil"/>
              <w:right w:val="nil"/>
            </w:tcBorders>
          </w:tcPr>
          <w:p w14:paraId="3FBCEA79"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A3021" w:rsidRPr="002A3021" w14:paraId="4D628396" w14:textId="77777777" w:rsidTr="00911011">
        <w:trPr>
          <w:cantSplit/>
        </w:trPr>
        <w:tc>
          <w:tcPr>
            <w:tcW w:w="1051" w:type="dxa"/>
            <w:tcBorders>
              <w:top w:val="nil"/>
              <w:left w:val="nil"/>
              <w:bottom w:val="nil"/>
              <w:right w:val="nil"/>
            </w:tcBorders>
          </w:tcPr>
          <w:p w14:paraId="28CCEC6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5895ABB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00E98132"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89" w:type="dxa"/>
            <w:tcBorders>
              <w:top w:val="nil"/>
              <w:left w:val="nil"/>
              <w:bottom w:val="nil"/>
              <w:right w:val="nil"/>
            </w:tcBorders>
          </w:tcPr>
          <w:p w14:paraId="190E1C5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2A3021" w:rsidRPr="002A3021" w14:paraId="08EEED71" w14:textId="77777777" w:rsidTr="00911011">
        <w:trPr>
          <w:cantSplit/>
        </w:trPr>
        <w:tc>
          <w:tcPr>
            <w:tcW w:w="1051" w:type="dxa"/>
            <w:tcBorders>
              <w:top w:val="nil"/>
              <w:left w:val="nil"/>
              <w:bottom w:val="nil"/>
              <w:right w:val="nil"/>
            </w:tcBorders>
          </w:tcPr>
          <w:p w14:paraId="575EDD2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6D563605"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82A(1)</w:t>
            </w:r>
          </w:p>
        </w:tc>
        <w:tc>
          <w:tcPr>
            <w:tcW w:w="5407" w:type="dxa"/>
            <w:tcBorders>
              <w:top w:val="nil"/>
              <w:left w:val="nil"/>
              <w:bottom w:val="nil"/>
              <w:right w:val="nil"/>
            </w:tcBorders>
          </w:tcPr>
          <w:p w14:paraId="1F63416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while passing breakdown services vehicle</w:t>
            </w:r>
          </w:p>
        </w:tc>
        <w:tc>
          <w:tcPr>
            <w:tcW w:w="1389" w:type="dxa"/>
            <w:tcBorders>
              <w:top w:val="nil"/>
              <w:left w:val="nil"/>
              <w:bottom w:val="nil"/>
              <w:right w:val="nil"/>
            </w:tcBorders>
          </w:tcPr>
          <w:p w14:paraId="3DD0A8F7"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04B2658" w14:textId="77777777" w:rsidTr="00911011">
        <w:trPr>
          <w:cantSplit/>
        </w:trPr>
        <w:tc>
          <w:tcPr>
            <w:tcW w:w="1051" w:type="dxa"/>
            <w:tcBorders>
              <w:top w:val="nil"/>
              <w:left w:val="nil"/>
              <w:bottom w:val="nil"/>
              <w:right w:val="nil"/>
            </w:tcBorders>
          </w:tcPr>
          <w:p w14:paraId="5117B62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15B3050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0FD4ACB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the speed limit while passing a breakdown services vehicle—</w:t>
            </w:r>
          </w:p>
        </w:tc>
        <w:tc>
          <w:tcPr>
            <w:tcW w:w="1389" w:type="dxa"/>
            <w:tcBorders>
              <w:top w:val="nil"/>
              <w:left w:val="nil"/>
              <w:bottom w:val="nil"/>
              <w:right w:val="nil"/>
            </w:tcBorders>
          </w:tcPr>
          <w:p w14:paraId="6CF3CEA3"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11E962BD" w14:textId="77777777" w:rsidTr="00911011">
        <w:trPr>
          <w:cantSplit/>
        </w:trPr>
        <w:tc>
          <w:tcPr>
            <w:tcW w:w="1051" w:type="dxa"/>
            <w:tcBorders>
              <w:top w:val="nil"/>
              <w:left w:val="nil"/>
              <w:bottom w:val="nil"/>
              <w:right w:val="nil"/>
            </w:tcBorders>
          </w:tcPr>
          <w:p w14:paraId="3E0AE3C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42D1DD2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081EFFE9"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89" w:type="dxa"/>
            <w:tcBorders>
              <w:top w:val="nil"/>
              <w:left w:val="nil"/>
              <w:bottom w:val="nil"/>
              <w:right w:val="nil"/>
            </w:tcBorders>
          </w:tcPr>
          <w:p w14:paraId="284C4B1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0B1168D2" w14:textId="77777777" w:rsidTr="00911011">
        <w:trPr>
          <w:cantSplit/>
        </w:trPr>
        <w:tc>
          <w:tcPr>
            <w:tcW w:w="1051" w:type="dxa"/>
            <w:tcBorders>
              <w:top w:val="nil"/>
              <w:left w:val="nil"/>
              <w:bottom w:val="nil"/>
              <w:right w:val="nil"/>
            </w:tcBorders>
          </w:tcPr>
          <w:p w14:paraId="417D94A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09BD642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41B8D615"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89" w:type="dxa"/>
            <w:tcBorders>
              <w:top w:val="nil"/>
              <w:left w:val="nil"/>
              <w:bottom w:val="nil"/>
              <w:right w:val="nil"/>
            </w:tcBorders>
          </w:tcPr>
          <w:p w14:paraId="6AF9C54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252FC7C5" w14:textId="77777777" w:rsidTr="00911011">
        <w:trPr>
          <w:cantSplit/>
        </w:trPr>
        <w:tc>
          <w:tcPr>
            <w:tcW w:w="1051" w:type="dxa"/>
            <w:tcBorders>
              <w:top w:val="nil"/>
              <w:left w:val="nil"/>
              <w:bottom w:val="nil"/>
              <w:right w:val="nil"/>
            </w:tcBorders>
          </w:tcPr>
          <w:p w14:paraId="35EEECD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2A0203C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2A5797D3"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89" w:type="dxa"/>
            <w:tcBorders>
              <w:top w:val="nil"/>
              <w:left w:val="nil"/>
              <w:bottom w:val="nil"/>
              <w:right w:val="nil"/>
            </w:tcBorders>
          </w:tcPr>
          <w:p w14:paraId="7D684BC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A3021" w:rsidRPr="002A3021" w14:paraId="78971702" w14:textId="77777777" w:rsidTr="00911011">
        <w:trPr>
          <w:cantSplit/>
        </w:trPr>
        <w:tc>
          <w:tcPr>
            <w:tcW w:w="1051" w:type="dxa"/>
            <w:tcBorders>
              <w:top w:val="nil"/>
              <w:left w:val="nil"/>
              <w:bottom w:val="nil"/>
              <w:right w:val="nil"/>
            </w:tcBorders>
          </w:tcPr>
          <w:p w14:paraId="350F862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2F99E80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3E67ED73"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89" w:type="dxa"/>
            <w:tcBorders>
              <w:top w:val="nil"/>
              <w:left w:val="nil"/>
              <w:bottom w:val="nil"/>
              <w:right w:val="nil"/>
            </w:tcBorders>
          </w:tcPr>
          <w:p w14:paraId="340D2D7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2A3021" w:rsidRPr="002A3021" w14:paraId="677453D6" w14:textId="77777777" w:rsidTr="00911011">
        <w:trPr>
          <w:cantSplit/>
        </w:trPr>
        <w:tc>
          <w:tcPr>
            <w:tcW w:w="1051" w:type="dxa"/>
            <w:tcBorders>
              <w:top w:val="nil"/>
              <w:left w:val="nil"/>
              <w:bottom w:val="nil"/>
              <w:right w:val="nil"/>
            </w:tcBorders>
          </w:tcPr>
          <w:p w14:paraId="575A9891"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499BE1CB"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83(1)(a)</w:t>
            </w:r>
          </w:p>
        </w:tc>
        <w:tc>
          <w:tcPr>
            <w:tcW w:w="5407" w:type="dxa"/>
            <w:tcBorders>
              <w:top w:val="nil"/>
              <w:left w:val="nil"/>
              <w:bottom w:val="nil"/>
              <w:right w:val="nil"/>
            </w:tcBorders>
          </w:tcPr>
          <w:p w14:paraId="7C3210E5"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in emergency service speed zone</w:t>
            </w:r>
          </w:p>
        </w:tc>
        <w:tc>
          <w:tcPr>
            <w:tcW w:w="1389" w:type="dxa"/>
            <w:tcBorders>
              <w:top w:val="nil"/>
              <w:left w:val="nil"/>
              <w:bottom w:val="nil"/>
              <w:right w:val="nil"/>
            </w:tcBorders>
          </w:tcPr>
          <w:p w14:paraId="27BF0D77"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01355EF9" w14:textId="77777777" w:rsidTr="00911011">
        <w:trPr>
          <w:cantSplit/>
        </w:trPr>
        <w:tc>
          <w:tcPr>
            <w:tcW w:w="1051" w:type="dxa"/>
            <w:tcBorders>
              <w:top w:val="nil"/>
              <w:left w:val="nil"/>
              <w:bottom w:val="nil"/>
              <w:right w:val="nil"/>
            </w:tcBorders>
          </w:tcPr>
          <w:p w14:paraId="74C12F2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3239DE8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711ABD47"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25 kph in an emergency service speed zone—</w:t>
            </w:r>
          </w:p>
        </w:tc>
        <w:tc>
          <w:tcPr>
            <w:tcW w:w="1389" w:type="dxa"/>
            <w:tcBorders>
              <w:top w:val="nil"/>
              <w:left w:val="nil"/>
              <w:bottom w:val="nil"/>
              <w:right w:val="nil"/>
            </w:tcBorders>
          </w:tcPr>
          <w:p w14:paraId="29DC3DA3"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3B31805A" w14:textId="77777777" w:rsidTr="00911011">
        <w:trPr>
          <w:cantSplit/>
        </w:trPr>
        <w:tc>
          <w:tcPr>
            <w:tcW w:w="1051" w:type="dxa"/>
            <w:tcBorders>
              <w:top w:val="nil"/>
              <w:left w:val="nil"/>
              <w:bottom w:val="nil"/>
              <w:right w:val="nil"/>
            </w:tcBorders>
          </w:tcPr>
          <w:p w14:paraId="7789383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663F8EC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2F55F942"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89" w:type="dxa"/>
            <w:tcBorders>
              <w:top w:val="nil"/>
              <w:left w:val="nil"/>
              <w:bottom w:val="nil"/>
              <w:right w:val="nil"/>
            </w:tcBorders>
          </w:tcPr>
          <w:p w14:paraId="104827F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16446227" w14:textId="77777777" w:rsidTr="00911011">
        <w:trPr>
          <w:cantSplit/>
        </w:trPr>
        <w:tc>
          <w:tcPr>
            <w:tcW w:w="1051" w:type="dxa"/>
            <w:tcBorders>
              <w:top w:val="nil"/>
              <w:left w:val="nil"/>
              <w:bottom w:val="nil"/>
              <w:right w:val="nil"/>
            </w:tcBorders>
          </w:tcPr>
          <w:p w14:paraId="7515C5D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5F53144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113DE5E7"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89" w:type="dxa"/>
            <w:tcBorders>
              <w:top w:val="nil"/>
              <w:left w:val="nil"/>
              <w:bottom w:val="nil"/>
              <w:right w:val="nil"/>
            </w:tcBorders>
          </w:tcPr>
          <w:p w14:paraId="0EA976E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4275BBDA" w14:textId="77777777" w:rsidR="005C5FF4" w:rsidRDefault="005C5FF4">
      <w:r>
        <w:br w:type="page"/>
      </w:r>
    </w:p>
    <w:tbl>
      <w:tblPr>
        <w:tblW w:w="0" w:type="auto"/>
        <w:tblLayout w:type="fixed"/>
        <w:tblCellMar>
          <w:left w:w="60" w:type="dxa"/>
          <w:right w:w="60" w:type="dxa"/>
        </w:tblCellMar>
        <w:tblLook w:val="0000" w:firstRow="0" w:lastRow="0" w:firstColumn="0" w:lastColumn="0" w:noHBand="0" w:noVBand="0"/>
      </w:tblPr>
      <w:tblGrid>
        <w:gridCol w:w="1051"/>
        <w:gridCol w:w="938"/>
        <w:gridCol w:w="5407"/>
        <w:gridCol w:w="1389"/>
      </w:tblGrid>
      <w:tr w:rsidR="00D7647A" w:rsidRPr="002A3021" w14:paraId="18286071" w14:textId="77777777" w:rsidTr="00D7647A">
        <w:trPr>
          <w:cantSplit/>
        </w:trPr>
        <w:tc>
          <w:tcPr>
            <w:tcW w:w="1051" w:type="dxa"/>
            <w:tcBorders>
              <w:top w:val="nil"/>
              <w:left w:val="nil"/>
              <w:bottom w:val="single" w:sz="4" w:space="0" w:color="auto"/>
              <w:right w:val="nil"/>
            </w:tcBorders>
          </w:tcPr>
          <w:p w14:paraId="05CF73E8" w14:textId="33BE66CF"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6345" w:type="dxa"/>
            <w:gridSpan w:val="2"/>
            <w:tcBorders>
              <w:top w:val="nil"/>
              <w:left w:val="nil"/>
              <w:bottom w:val="single" w:sz="4" w:space="0" w:color="auto"/>
              <w:right w:val="nil"/>
            </w:tcBorders>
          </w:tcPr>
          <w:p w14:paraId="0C13E791" w14:textId="2A7AF4E8" w:rsidR="00D7647A" w:rsidRPr="002A3021" w:rsidRDefault="00D7647A" w:rsidP="00D7647A">
            <w:pPr>
              <w:keepLines/>
              <w:autoSpaceDE w:val="0"/>
              <w:autoSpaceDN w:val="0"/>
              <w:adjustRightInd w:val="0"/>
              <w:spacing w:before="120" w:after="0" w:line="240" w:lineRule="auto"/>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4" w:history="1">
              <w:r w:rsidRPr="002A3021">
                <w:rPr>
                  <w:rFonts w:eastAsia="Times New Roman"/>
                  <w:b/>
                  <w:bCs/>
                  <w:i/>
                  <w:iCs/>
                  <w:color w:val="000000"/>
                  <w:sz w:val="20"/>
                  <w:szCs w:val="20"/>
                  <w:lang w:eastAsia="en-AU"/>
                  <w14:ligatures w14:val="standardContextual"/>
                </w:rPr>
                <w:t>Road Traffic Act 1961</w:t>
              </w:r>
            </w:hyperlink>
          </w:p>
        </w:tc>
        <w:tc>
          <w:tcPr>
            <w:tcW w:w="1389" w:type="dxa"/>
            <w:tcBorders>
              <w:top w:val="nil"/>
              <w:left w:val="nil"/>
              <w:bottom w:val="single" w:sz="4" w:space="0" w:color="auto"/>
              <w:right w:val="nil"/>
            </w:tcBorders>
          </w:tcPr>
          <w:p w14:paraId="72A75302" w14:textId="4A123CBA"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7F64FC79" w14:textId="77777777" w:rsidTr="00D7647A">
        <w:trPr>
          <w:cantSplit/>
        </w:trPr>
        <w:tc>
          <w:tcPr>
            <w:tcW w:w="1051" w:type="dxa"/>
            <w:tcBorders>
              <w:top w:val="single" w:sz="4" w:space="0" w:color="auto"/>
              <w:left w:val="nil"/>
              <w:bottom w:val="nil"/>
              <w:right w:val="nil"/>
            </w:tcBorders>
          </w:tcPr>
          <w:p w14:paraId="587635E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single" w:sz="4" w:space="0" w:color="auto"/>
              <w:left w:val="nil"/>
              <w:bottom w:val="nil"/>
              <w:right w:val="nil"/>
            </w:tcBorders>
          </w:tcPr>
          <w:p w14:paraId="49FEC08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single" w:sz="4" w:space="0" w:color="auto"/>
              <w:left w:val="nil"/>
              <w:bottom w:val="nil"/>
              <w:right w:val="nil"/>
            </w:tcBorders>
          </w:tcPr>
          <w:p w14:paraId="4D2DAEB3"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89" w:type="dxa"/>
            <w:tcBorders>
              <w:top w:val="single" w:sz="4" w:space="0" w:color="auto"/>
              <w:left w:val="nil"/>
              <w:bottom w:val="nil"/>
              <w:right w:val="nil"/>
            </w:tcBorders>
          </w:tcPr>
          <w:p w14:paraId="6C93DBD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A3021" w:rsidRPr="002A3021" w14:paraId="059C51B0" w14:textId="77777777" w:rsidTr="00911011">
        <w:trPr>
          <w:cantSplit/>
        </w:trPr>
        <w:tc>
          <w:tcPr>
            <w:tcW w:w="1051" w:type="dxa"/>
            <w:tcBorders>
              <w:top w:val="nil"/>
              <w:left w:val="nil"/>
              <w:bottom w:val="nil"/>
              <w:right w:val="nil"/>
            </w:tcBorders>
          </w:tcPr>
          <w:p w14:paraId="6036B17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2D42A6F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710BA31F"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89" w:type="dxa"/>
            <w:tcBorders>
              <w:top w:val="nil"/>
              <w:left w:val="nil"/>
              <w:bottom w:val="nil"/>
              <w:right w:val="nil"/>
            </w:tcBorders>
          </w:tcPr>
          <w:p w14:paraId="667DDD3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2A3021" w:rsidRPr="002A3021" w14:paraId="66470451" w14:textId="77777777" w:rsidTr="00911011">
        <w:trPr>
          <w:cantSplit/>
        </w:trPr>
        <w:tc>
          <w:tcPr>
            <w:tcW w:w="1051" w:type="dxa"/>
            <w:tcBorders>
              <w:top w:val="nil"/>
              <w:left w:val="nil"/>
              <w:bottom w:val="nil"/>
              <w:right w:val="nil"/>
            </w:tcBorders>
          </w:tcPr>
          <w:p w14:paraId="58F68415"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04360DD9"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83(1)(b)</w:t>
            </w:r>
          </w:p>
        </w:tc>
        <w:tc>
          <w:tcPr>
            <w:tcW w:w="5407" w:type="dxa"/>
            <w:tcBorders>
              <w:top w:val="nil"/>
              <w:left w:val="nil"/>
              <w:bottom w:val="nil"/>
              <w:right w:val="nil"/>
            </w:tcBorders>
          </w:tcPr>
          <w:p w14:paraId="28BDE6B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in emergency service speed zone</w:t>
            </w:r>
          </w:p>
        </w:tc>
        <w:tc>
          <w:tcPr>
            <w:tcW w:w="1389" w:type="dxa"/>
            <w:tcBorders>
              <w:top w:val="nil"/>
              <w:left w:val="nil"/>
              <w:bottom w:val="nil"/>
              <w:right w:val="nil"/>
            </w:tcBorders>
          </w:tcPr>
          <w:p w14:paraId="1849E79C"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45DA1BBB" w14:textId="77777777" w:rsidTr="00911011">
        <w:trPr>
          <w:cantSplit/>
        </w:trPr>
        <w:tc>
          <w:tcPr>
            <w:tcW w:w="1051" w:type="dxa"/>
            <w:tcBorders>
              <w:top w:val="nil"/>
              <w:left w:val="nil"/>
              <w:bottom w:val="nil"/>
              <w:right w:val="nil"/>
            </w:tcBorders>
          </w:tcPr>
          <w:p w14:paraId="4D7D7D8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62467A2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44C9855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lesser speed required to avoid endangering any person while driving through emergency service speed zone</w:t>
            </w:r>
          </w:p>
        </w:tc>
        <w:tc>
          <w:tcPr>
            <w:tcW w:w="1389" w:type="dxa"/>
            <w:tcBorders>
              <w:top w:val="nil"/>
              <w:left w:val="nil"/>
              <w:bottom w:val="nil"/>
              <w:right w:val="nil"/>
            </w:tcBorders>
          </w:tcPr>
          <w:p w14:paraId="020CF33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61DE2F18" w14:textId="77777777" w:rsidTr="00911011">
        <w:trPr>
          <w:cantSplit/>
        </w:trPr>
        <w:tc>
          <w:tcPr>
            <w:tcW w:w="1051" w:type="dxa"/>
            <w:tcBorders>
              <w:top w:val="nil"/>
              <w:left w:val="nil"/>
              <w:bottom w:val="nil"/>
              <w:right w:val="nil"/>
            </w:tcBorders>
          </w:tcPr>
          <w:p w14:paraId="5B669D9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0AB9883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110</w:t>
            </w:r>
          </w:p>
        </w:tc>
        <w:tc>
          <w:tcPr>
            <w:tcW w:w="5407" w:type="dxa"/>
            <w:tcBorders>
              <w:top w:val="nil"/>
              <w:left w:val="nil"/>
              <w:bottom w:val="nil"/>
              <w:right w:val="nil"/>
            </w:tcBorders>
          </w:tcPr>
          <w:p w14:paraId="0AABB3A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keep whole of vehicle on sealed surface when driving on sealed road</w:t>
            </w:r>
          </w:p>
        </w:tc>
        <w:tc>
          <w:tcPr>
            <w:tcW w:w="1389" w:type="dxa"/>
            <w:tcBorders>
              <w:top w:val="nil"/>
              <w:left w:val="nil"/>
              <w:bottom w:val="nil"/>
              <w:right w:val="nil"/>
            </w:tcBorders>
          </w:tcPr>
          <w:p w14:paraId="7818937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1E73BDCB" w14:textId="77777777" w:rsidTr="00911011">
        <w:trPr>
          <w:cantSplit/>
        </w:trPr>
        <w:tc>
          <w:tcPr>
            <w:tcW w:w="1051" w:type="dxa"/>
            <w:tcBorders>
              <w:top w:val="nil"/>
              <w:left w:val="nil"/>
              <w:bottom w:val="nil"/>
              <w:right w:val="nil"/>
            </w:tcBorders>
          </w:tcPr>
          <w:p w14:paraId="23C19718"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54CE325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 145(6)</w:t>
            </w:r>
          </w:p>
        </w:tc>
        <w:tc>
          <w:tcPr>
            <w:tcW w:w="5407" w:type="dxa"/>
            <w:tcBorders>
              <w:top w:val="nil"/>
              <w:left w:val="nil"/>
              <w:bottom w:val="nil"/>
              <w:right w:val="nil"/>
            </w:tcBorders>
          </w:tcPr>
          <w:p w14:paraId="056EC79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Contravention of terms of defect notice</w:t>
            </w:r>
          </w:p>
        </w:tc>
        <w:tc>
          <w:tcPr>
            <w:tcW w:w="1389" w:type="dxa"/>
            <w:tcBorders>
              <w:top w:val="nil"/>
              <w:left w:val="nil"/>
              <w:bottom w:val="nil"/>
              <w:right w:val="nil"/>
            </w:tcBorders>
          </w:tcPr>
          <w:p w14:paraId="05EADED8"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11375AC0" w14:textId="77777777" w:rsidTr="00911011">
        <w:trPr>
          <w:cantSplit/>
        </w:trPr>
        <w:tc>
          <w:tcPr>
            <w:tcW w:w="1051" w:type="dxa"/>
            <w:tcBorders>
              <w:top w:val="nil"/>
              <w:left w:val="nil"/>
              <w:bottom w:val="nil"/>
              <w:right w:val="nil"/>
            </w:tcBorders>
          </w:tcPr>
          <w:p w14:paraId="5944C67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38" w:type="dxa"/>
            <w:tcBorders>
              <w:top w:val="nil"/>
              <w:left w:val="nil"/>
              <w:bottom w:val="nil"/>
              <w:right w:val="nil"/>
            </w:tcBorders>
          </w:tcPr>
          <w:p w14:paraId="3E7FE75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407" w:type="dxa"/>
            <w:tcBorders>
              <w:top w:val="nil"/>
              <w:left w:val="nil"/>
              <w:bottom w:val="nil"/>
              <w:right w:val="nil"/>
            </w:tcBorders>
          </w:tcPr>
          <w:p w14:paraId="4BDB532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Contravention comprising driving contrary to terms of defect notice</w:t>
            </w:r>
          </w:p>
        </w:tc>
        <w:tc>
          <w:tcPr>
            <w:tcW w:w="1389" w:type="dxa"/>
            <w:tcBorders>
              <w:top w:val="nil"/>
              <w:left w:val="nil"/>
              <w:bottom w:val="nil"/>
              <w:right w:val="nil"/>
            </w:tcBorders>
          </w:tcPr>
          <w:p w14:paraId="3811780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13A12AEE"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9" w:name="Elkera_Print_TOC193"/>
      <w:bookmarkStart w:id="400" w:name="idec04ed79_5390_4b02_9177_c2ec71526244_8"/>
      <w:r w:rsidRPr="002A3021">
        <w:rPr>
          <w:rFonts w:eastAsia="Times New Roman"/>
          <w:b/>
          <w:bCs/>
          <w:color w:val="000000"/>
          <w:sz w:val="26"/>
          <w:szCs w:val="26"/>
          <w:lang w:eastAsia="en-AU"/>
          <w14:ligatures w14:val="standardContextual"/>
        </w:rPr>
        <w:t xml:space="preserve">5—Offences against </w:t>
      </w:r>
      <w:r w:rsidRPr="002A3021">
        <w:rPr>
          <w:rFonts w:eastAsia="Times New Roman"/>
          <w:b/>
          <w:bCs/>
          <w:i/>
          <w:iCs/>
          <w:color w:val="000000"/>
          <w:sz w:val="26"/>
          <w:szCs w:val="26"/>
          <w:lang w:eastAsia="en-AU"/>
          <w14:ligatures w14:val="standardContextual"/>
        </w:rPr>
        <w:t>Australian Road Rules</w:t>
      </w:r>
      <w:bookmarkEnd w:id="399"/>
      <w:bookmarkEnd w:id="400"/>
    </w:p>
    <w:p w14:paraId="28F8A243"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049"/>
        <w:gridCol w:w="6372"/>
        <w:gridCol w:w="1364"/>
      </w:tblGrid>
      <w:tr w:rsidR="002A3021" w:rsidRPr="002A3021" w14:paraId="5F228626" w14:textId="77777777" w:rsidTr="00911011">
        <w:trPr>
          <w:cantSplit/>
          <w:tblHeader/>
        </w:trPr>
        <w:tc>
          <w:tcPr>
            <w:tcW w:w="1049" w:type="dxa"/>
            <w:tcBorders>
              <w:top w:val="nil"/>
              <w:left w:val="nil"/>
              <w:bottom w:val="single" w:sz="4" w:space="0" w:color="auto"/>
              <w:right w:val="nil"/>
            </w:tcBorders>
          </w:tcPr>
          <w:p w14:paraId="6575A7D9"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Rule</w:t>
            </w:r>
          </w:p>
        </w:tc>
        <w:tc>
          <w:tcPr>
            <w:tcW w:w="6372" w:type="dxa"/>
            <w:tcBorders>
              <w:top w:val="nil"/>
              <w:left w:val="nil"/>
              <w:bottom w:val="single" w:sz="4" w:space="0" w:color="auto"/>
              <w:right w:val="nil"/>
            </w:tcBorders>
          </w:tcPr>
          <w:p w14:paraId="6DB522EB"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5" w:history="1">
              <w:r w:rsidRPr="002A3021">
                <w:rPr>
                  <w:rFonts w:eastAsia="Times New Roman"/>
                  <w:b/>
                  <w:bCs/>
                  <w:i/>
                  <w:iCs/>
                  <w:color w:val="000000"/>
                  <w:sz w:val="20"/>
                  <w:szCs w:val="20"/>
                  <w:lang w:eastAsia="en-AU"/>
                  <w14:ligatures w14:val="standardContextual"/>
                </w:rPr>
                <w:t>Australian Road Rules</w:t>
              </w:r>
            </w:hyperlink>
          </w:p>
        </w:tc>
        <w:tc>
          <w:tcPr>
            <w:tcW w:w="1364" w:type="dxa"/>
            <w:tcBorders>
              <w:top w:val="nil"/>
              <w:left w:val="nil"/>
              <w:bottom w:val="single" w:sz="4" w:space="0" w:color="auto"/>
              <w:right w:val="nil"/>
            </w:tcBorders>
          </w:tcPr>
          <w:p w14:paraId="59099192"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1DAA8577" w14:textId="77777777" w:rsidTr="00911011">
        <w:trPr>
          <w:cantSplit/>
        </w:trPr>
        <w:tc>
          <w:tcPr>
            <w:tcW w:w="1049" w:type="dxa"/>
            <w:tcBorders>
              <w:top w:val="single" w:sz="4" w:space="0" w:color="auto"/>
              <w:left w:val="nil"/>
              <w:bottom w:val="nil"/>
              <w:right w:val="nil"/>
            </w:tcBorders>
          </w:tcPr>
          <w:p w14:paraId="4A81402A"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20</w:t>
            </w:r>
          </w:p>
        </w:tc>
        <w:tc>
          <w:tcPr>
            <w:tcW w:w="6372" w:type="dxa"/>
            <w:tcBorders>
              <w:top w:val="single" w:sz="4" w:space="0" w:color="auto"/>
              <w:left w:val="nil"/>
              <w:bottom w:val="nil"/>
              <w:right w:val="nil"/>
            </w:tcBorders>
          </w:tcPr>
          <w:p w14:paraId="5B87555C"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w:t>
            </w:r>
          </w:p>
        </w:tc>
        <w:tc>
          <w:tcPr>
            <w:tcW w:w="1364" w:type="dxa"/>
            <w:tcBorders>
              <w:top w:val="single" w:sz="4" w:space="0" w:color="auto"/>
              <w:left w:val="nil"/>
              <w:bottom w:val="nil"/>
              <w:right w:val="nil"/>
            </w:tcBorders>
          </w:tcPr>
          <w:p w14:paraId="71E29CE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1C73E788" w14:textId="77777777" w:rsidTr="00911011">
        <w:trPr>
          <w:cantSplit/>
        </w:trPr>
        <w:tc>
          <w:tcPr>
            <w:tcW w:w="1049" w:type="dxa"/>
            <w:tcBorders>
              <w:top w:val="nil"/>
              <w:left w:val="nil"/>
              <w:bottom w:val="nil"/>
              <w:right w:val="nil"/>
            </w:tcBorders>
          </w:tcPr>
          <w:p w14:paraId="31CEF29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6B3D1B7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applicable speed limit on length of road—</w:t>
            </w:r>
          </w:p>
        </w:tc>
        <w:tc>
          <w:tcPr>
            <w:tcW w:w="1364" w:type="dxa"/>
            <w:tcBorders>
              <w:top w:val="nil"/>
              <w:left w:val="nil"/>
              <w:bottom w:val="nil"/>
              <w:right w:val="nil"/>
            </w:tcBorders>
          </w:tcPr>
          <w:p w14:paraId="225470B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7B8BFE17" w14:textId="77777777" w:rsidTr="00911011">
        <w:trPr>
          <w:cantSplit/>
        </w:trPr>
        <w:tc>
          <w:tcPr>
            <w:tcW w:w="1049" w:type="dxa"/>
            <w:tcBorders>
              <w:top w:val="nil"/>
              <w:left w:val="nil"/>
              <w:bottom w:val="nil"/>
              <w:right w:val="nil"/>
            </w:tcBorders>
          </w:tcPr>
          <w:p w14:paraId="25860CD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22A79C67"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64" w:type="dxa"/>
            <w:tcBorders>
              <w:top w:val="nil"/>
              <w:left w:val="nil"/>
              <w:bottom w:val="nil"/>
              <w:right w:val="nil"/>
            </w:tcBorders>
          </w:tcPr>
          <w:p w14:paraId="1327DE68"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247CC4A5" w14:textId="77777777" w:rsidTr="00911011">
        <w:trPr>
          <w:cantSplit/>
        </w:trPr>
        <w:tc>
          <w:tcPr>
            <w:tcW w:w="1049" w:type="dxa"/>
            <w:tcBorders>
              <w:top w:val="nil"/>
              <w:left w:val="nil"/>
              <w:bottom w:val="nil"/>
              <w:right w:val="nil"/>
            </w:tcBorders>
          </w:tcPr>
          <w:p w14:paraId="449FAF0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3D0B080C"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64" w:type="dxa"/>
            <w:tcBorders>
              <w:top w:val="nil"/>
              <w:left w:val="nil"/>
              <w:bottom w:val="nil"/>
              <w:right w:val="nil"/>
            </w:tcBorders>
          </w:tcPr>
          <w:p w14:paraId="6B408009"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3A03F91B" w14:textId="77777777" w:rsidTr="00911011">
        <w:trPr>
          <w:cantSplit/>
        </w:trPr>
        <w:tc>
          <w:tcPr>
            <w:tcW w:w="1049" w:type="dxa"/>
            <w:tcBorders>
              <w:top w:val="nil"/>
              <w:left w:val="nil"/>
              <w:bottom w:val="nil"/>
              <w:right w:val="nil"/>
            </w:tcBorders>
          </w:tcPr>
          <w:p w14:paraId="6190ACA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063C8426"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64" w:type="dxa"/>
            <w:tcBorders>
              <w:top w:val="nil"/>
              <w:left w:val="nil"/>
              <w:bottom w:val="nil"/>
              <w:right w:val="nil"/>
            </w:tcBorders>
          </w:tcPr>
          <w:p w14:paraId="5AA6547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A3021" w:rsidRPr="002A3021" w14:paraId="504CC2A6" w14:textId="77777777" w:rsidTr="00911011">
        <w:trPr>
          <w:cantSplit/>
        </w:trPr>
        <w:tc>
          <w:tcPr>
            <w:tcW w:w="1049" w:type="dxa"/>
            <w:tcBorders>
              <w:top w:val="nil"/>
              <w:left w:val="nil"/>
              <w:bottom w:val="nil"/>
              <w:right w:val="nil"/>
            </w:tcBorders>
          </w:tcPr>
          <w:p w14:paraId="4578556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34712D08"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64" w:type="dxa"/>
            <w:tcBorders>
              <w:top w:val="nil"/>
              <w:left w:val="nil"/>
              <w:bottom w:val="nil"/>
              <w:right w:val="nil"/>
            </w:tcBorders>
          </w:tcPr>
          <w:p w14:paraId="74D952D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2A3021" w:rsidRPr="002A3021" w14:paraId="1A182ED0" w14:textId="77777777" w:rsidTr="00911011">
        <w:trPr>
          <w:cantSplit/>
        </w:trPr>
        <w:tc>
          <w:tcPr>
            <w:tcW w:w="1049" w:type="dxa"/>
            <w:tcBorders>
              <w:top w:val="nil"/>
              <w:left w:val="nil"/>
              <w:bottom w:val="nil"/>
              <w:right w:val="nil"/>
            </w:tcBorders>
          </w:tcPr>
          <w:p w14:paraId="2BD4368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28(1A)</w:t>
            </w:r>
          </w:p>
        </w:tc>
        <w:tc>
          <w:tcPr>
            <w:tcW w:w="6372" w:type="dxa"/>
            <w:tcBorders>
              <w:top w:val="nil"/>
              <w:left w:val="nil"/>
              <w:bottom w:val="nil"/>
              <w:right w:val="nil"/>
            </w:tcBorders>
          </w:tcPr>
          <w:p w14:paraId="073D3CF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use slip lane when starting left turn on multi</w:t>
            </w:r>
            <w:r w:rsidRPr="002A3021">
              <w:rPr>
                <w:rFonts w:eastAsia="Times New Roman"/>
                <w:i/>
                <w:iCs/>
                <w:color w:val="000000"/>
                <w:sz w:val="20"/>
                <w:szCs w:val="20"/>
                <w:lang w:eastAsia="en-AU"/>
                <w14:ligatures w14:val="standardContextual"/>
              </w:rPr>
              <w:noBreakHyphen/>
              <w:t>lane road</w:t>
            </w:r>
          </w:p>
        </w:tc>
        <w:tc>
          <w:tcPr>
            <w:tcW w:w="1364" w:type="dxa"/>
            <w:tcBorders>
              <w:top w:val="nil"/>
              <w:left w:val="nil"/>
              <w:bottom w:val="nil"/>
              <w:right w:val="nil"/>
            </w:tcBorders>
          </w:tcPr>
          <w:p w14:paraId="53590B6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4FE57CFB" w14:textId="77777777" w:rsidTr="00911011">
        <w:trPr>
          <w:cantSplit/>
        </w:trPr>
        <w:tc>
          <w:tcPr>
            <w:tcW w:w="1049" w:type="dxa"/>
            <w:tcBorders>
              <w:top w:val="nil"/>
              <w:left w:val="nil"/>
              <w:bottom w:val="nil"/>
              <w:right w:val="nil"/>
            </w:tcBorders>
          </w:tcPr>
          <w:p w14:paraId="2CC8AFB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28(2A)</w:t>
            </w:r>
          </w:p>
        </w:tc>
        <w:tc>
          <w:tcPr>
            <w:tcW w:w="6372" w:type="dxa"/>
            <w:tcBorders>
              <w:top w:val="nil"/>
              <w:left w:val="nil"/>
              <w:bottom w:val="nil"/>
              <w:right w:val="nil"/>
            </w:tcBorders>
          </w:tcPr>
          <w:p w14:paraId="2A09C44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starting left turn on multi</w:t>
            </w:r>
            <w:r w:rsidRPr="002A3021">
              <w:rPr>
                <w:rFonts w:eastAsia="Times New Roman"/>
                <w:i/>
                <w:iCs/>
                <w:color w:val="000000"/>
                <w:sz w:val="20"/>
                <w:szCs w:val="20"/>
                <w:lang w:eastAsia="en-AU"/>
                <w14:ligatures w14:val="standardContextual"/>
              </w:rPr>
              <w:noBreakHyphen/>
              <w:t>lane road from incorrect position in bicycle storage area</w:t>
            </w:r>
          </w:p>
        </w:tc>
        <w:tc>
          <w:tcPr>
            <w:tcW w:w="1364" w:type="dxa"/>
            <w:tcBorders>
              <w:top w:val="nil"/>
              <w:left w:val="nil"/>
              <w:bottom w:val="nil"/>
              <w:right w:val="nil"/>
            </w:tcBorders>
          </w:tcPr>
          <w:p w14:paraId="53BB34C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6D2EF5D9" w14:textId="77777777" w:rsidTr="00911011">
        <w:trPr>
          <w:cantSplit/>
        </w:trPr>
        <w:tc>
          <w:tcPr>
            <w:tcW w:w="1049" w:type="dxa"/>
            <w:tcBorders>
              <w:top w:val="nil"/>
              <w:left w:val="nil"/>
              <w:bottom w:val="nil"/>
              <w:right w:val="nil"/>
            </w:tcBorders>
          </w:tcPr>
          <w:p w14:paraId="31F8813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32(2A)</w:t>
            </w:r>
          </w:p>
        </w:tc>
        <w:tc>
          <w:tcPr>
            <w:tcW w:w="6372" w:type="dxa"/>
            <w:tcBorders>
              <w:top w:val="nil"/>
              <w:left w:val="nil"/>
              <w:bottom w:val="nil"/>
              <w:right w:val="nil"/>
            </w:tcBorders>
          </w:tcPr>
          <w:p w14:paraId="258251F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starting right turn on multi</w:t>
            </w:r>
            <w:r w:rsidRPr="002A3021">
              <w:rPr>
                <w:rFonts w:eastAsia="Times New Roman"/>
                <w:i/>
                <w:iCs/>
                <w:color w:val="000000"/>
                <w:sz w:val="20"/>
                <w:szCs w:val="20"/>
                <w:lang w:eastAsia="en-AU"/>
                <w14:ligatures w14:val="standardContextual"/>
              </w:rPr>
              <w:noBreakHyphen/>
              <w:t>lane road from incorrect position in bicycle storage area</w:t>
            </w:r>
          </w:p>
        </w:tc>
        <w:tc>
          <w:tcPr>
            <w:tcW w:w="1364" w:type="dxa"/>
            <w:tcBorders>
              <w:top w:val="nil"/>
              <w:left w:val="nil"/>
              <w:bottom w:val="nil"/>
              <w:right w:val="nil"/>
            </w:tcBorders>
          </w:tcPr>
          <w:p w14:paraId="138EED3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018FFACA" w14:textId="77777777" w:rsidTr="00911011">
        <w:trPr>
          <w:cantSplit/>
        </w:trPr>
        <w:tc>
          <w:tcPr>
            <w:tcW w:w="1049" w:type="dxa"/>
            <w:tcBorders>
              <w:top w:val="nil"/>
              <w:left w:val="nil"/>
              <w:bottom w:val="nil"/>
              <w:right w:val="nil"/>
            </w:tcBorders>
          </w:tcPr>
          <w:p w14:paraId="3D9A7FB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w:t>
            </w:r>
          </w:p>
        </w:tc>
        <w:tc>
          <w:tcPr>
            <w:tcW w:w="6372" w:type="dxa"/>
            <w:tcBorders>
              <w:top w:val="nil"/>
              <w:left w:val="nil"/>
              <w:bottom w:val="nil"/>
              <w:right w:val="nil"/>
            </w:tcBorders>
          </w:tcPr>
          <w:p w14:paraId="6B2363E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a U</w:t>
            </w:r>
            <w:r w:rsidRPr="002A3021">
              <w:rPr>
                <w:rFonts w:eastAsia="Times New Roman"/>
                <w:i/>
                <w:iCs/>
                <w:color w:val="000000"/>
                <w:sz w:val="20"/>
                <w:szCs w:val="20"/>
                <w:lang w:eastAsia="en-AU"/>
                <w14:ligatures w14:val="standardContextual"/>
              </w:rPr>
              <w:noBreakHyphen/>
              <w:t>turn at children's crossing, level crossing, marked foot crossing or pedestrian crossing without a U</w:t>
            </w:r>
            <w:r w:rsidRPr="002A3021">
              <w:rPr>
                <w:rFonts w:eastAsia="Times New Roman"/>
                <w:i/>
                <w:iCs/>
                <w:color w:val="000000"/>
                <w:sz w:val="20"/>
                <w:szCs w:val="20"/>
                <w:lang w:eastAsia="en-AU"/>
                <w14:ligatures w14:val="standardContextual"/>
              </w:rPr>
              <w:noBreakHyphen/>
              <w:t>turn permitted sign</w:t>
            </w:r>
          </w:p>
        </w:tc>
        <w:tc>
          <w:tcPr>
            <w:tcW w:w="1364" w:type="dxa"/>
            <w:tcBorders>
              <w:top w:val="nil"/>
              <w:left w:val="nil"/>
              <w:bottom w:val="nil"/>
              <w:right w:val="nil"/>
            </w:tcBorders>
          </w:tcPr>
          <w:p w14:paraId="47BB8FF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7564E09B" w14:textId="77777777" w:rsidTr="00911011">
        <w:trPr>
          <w:cantSplit/>
        </w:trPr>
        <w:tc>
          <w:tcPr>
            <w:tcW w:w="1049" w:type="dxa"/>
            <w:tcBorders>
              <w:top w:val="nil"/>
              <w:left w:val="nil"/>
              <w:bottom w:val="nil"/>
              <w:right w:val="nil"/>
            </w:tcBorders>
          </w:tcPr>
          <w:p w14:paraId="0B94BFF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43A</w:t>
            </w:r>
          </w:p>
        </w:tc>
        <w:tc>
          <w:tcPr>
            <w:tcW w:w="6372" w:type="dxa"/>
            <w:tcBorders>
              <w:top w:val="nil"/>
              <w:left w:val="nil"/>
              <w:bottom w:val="nil"/>
              <w:right w:val="nil"/>
            </w:tcBorders>
          </w:tcPr>
          <w:p w14:paraId="64965E5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a U</w:t>
            </w:r>
            <w:r w:rsidRPr="002A3021">
              <w:rPr>
                <w:rFonts w:eastAsia="Times New Roman"/>
                <w:i/>
                <w:iCs/>
                <w:color w:val="000000"/>
                <w:sz w:val="20"/>
                <w:szCs w:val="20"/>
                <w:lang w:eastAsia="en-AU"/>
                <w14:ligatures w14:val="standardContextual"/>
              </w:rPr>
              <w:noBreakHyphen/>
              <w:t>turn at a place with traffic lights where road and road-related area intersect without a U</w:t>
            </w:r>
            <w:r w:rsidRPr="002A3021">
              <w:rPr>
                <w:rFonts w:eastAsia="Times New Roman"/>
                <w:i/>
                <w:iCs/>
                <w:color w:val="000000"/>
                <w:sz w:val="20"/>
                <w:szCs w:val="20"/>
                <w:lang w:eastAsia="en-AU"/>
                <w14:ligatures w14:val="standardContextual"/>
              </w:rPr>
              <w:noBreakHyphen/>
              <w:t>turn permitted sign</w:t>
            </w:r>
          </w:p>
        </w:tc>
        <w:tc>
          <w:tcPr>
            <w:tcW w:w="1364" w:type="dxa"/>
            <w:tcBorders>
              <w:top w:val="nil"/>
              <w:left w:val="nil"/>
              <w:bottom w:val="nil"/>
              <w:right w:val="nil"/>
            </w:tcBorders>
          </w:tcPr>
          <w:p w14:paraId="77AE50F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38BD805B" w14:textId="77777777" w:rsidTr="00911011">
        <w:trPr>
          <w:cantSplit/>
        </w:trPr>
        <w:tc>
          <w:tcPr>
            <w:tcW w:w="1049" w:type="dxa"/>
            <w:tcBorders>
              <w:top w:val="nil"/>
              <w:left w:val="nil"/>
              <w:bottom w:val="nil"/>
              <w:right w:val="nil"/>
            </w:tcBorders>
          </w:tcPr>
          <w:p w14:paraId="3A09823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46(4)</w:t>
            </w:r>
          </w:p>
        </w:tc>
        <w:tc>
          <w:tcPr>
            <w:tcW w:w="6372" w:type="dxa"/>
            <w:tcBorders>
              <w:top w:val="nil"/>
              <w:left w:val="nil"/>
              <w:bottom w:val="nil"/>
              <w:right w:val="nil"/>
            </w:tcBorders>
          </w:tcPr>
          <w:p w14:paraId="19D60F3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giving left change of direction signal after turning left</w:t>
            </w:r>
          </w:p>
        </w:tc>
        <w:tc>
          <w:tcPr>
            <w:tcW w:w="1364" w:type="dxa"/>
            <w:tcBorders>
              <w:top w:val="nil"/>
              <w:left w:val="nil"/>
              <w:bottom w:val="nil"/>
              <w:right w:val="nil"/>
            </w:tcBorders>
          </w:tcPr>
          <w:p w14:paraId="4413700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4B262C38" w14:textId="77777777" w:rsidTr="00911011">
        <w:trPr>
          <w:cantSplit/>
        </w:trPr>
        <w:tc>
          <w:tcPr>
            <w:tcW w:w="1049" w:type="dxa"/>
            <w:tcBorders>
              <w:top w:val="nil"/>
              <w:left w:val="nil"/>
              <w:bottom w:val="nil"/>
              <w:right w:val="nil"/>
            </w:tcBorders>
          </w:tcPr>
          <w:p w14:paraId="58F1E54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48(4)</w:t>
            </w:r>
          </w:p>
        </w:tc>
        <w:tc>
          <w:tcPr>
            <w:tcW w:w="6372" w:type="dxa"/>
            <w:tcBorders>
              <w:top w:val="nil"/>
              <w:left w:val="nil"/>
              <w:bottom w:val="nil"/>
              <w:right w:val="nil"/>
            </w:tcBorders>
          </w:tcPr>
          <w:p w14:paraId="52F65DF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giving right change of direction signal after turning right</w:t>
            </w:r>
          </w:p>
        </w:tc>
        <w:tc>
          <w:tcPr>
            <w:tcW w:w="1364" w:type="dxa"/>
            <w:tcBorders>
              <w:top w:val="nil"/>
              <w:left w:val="nil"/>
              <w:bottom w:val="nil"/>
              <w:right w:val="nil"/>
            </w:tcBorders>
          </w:tcPr>
          <w:p w14:paraId="507F9FE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3F8B1F7F" w14:textId="77777777" w:rsidTr="00911011">
        <w:trPr>
          <w:cantSplit/>
        </w:trPr>
        <w:tc>
          <w:tcPr>
            <w:tcW w:w="1049" w:type="dxa"/>
            <w:tcBorders>
              <w:top w:val="nil"/>
              <w:left w:val="nil"/>
              <w:bottom w:val="nil"/>
              <w:right w:val="nil"/>
            </w:tcBorders>
          </w:tcPr>
          <w:p w14:paraId="127B4F3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51</w:t>
            </w:r>
          </w:p>
        </w:tc>
        <w:tc>
          <w:tcPr>
            <w:tcW w:w="6372" w:type="dxa"/>
            <w:tcBorders>
              <w:top w:val="nil"/>
              <w:left w:val="nil"/>
              <w:bottom w:val="nil"/>
              <w:right w:val="nil"/>
            </w:tcBorders>
          </w:tcPr>
          <w:p w14:paraId="1F9BAA6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Using direction indicator lights when not permitted</w:t>
            </w:r>
          </w:p>
        </w:tc>
        <w:tc>
          <w:tcPr>
            <w:tcW w:w="1364" w:type="dxa"/>
            <w:tcBorders>
              <w:top w:val="nil"/>
              <w:left w:val="nil"/>
              <w:bottom w:val="nil"/>
              <w:right w:val="nil"/>
            </w:tcBorders>
          </w:tcPr>
          <w:p w14:paraId="31E52A0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67B543CD" w14:textId="77777777" w:rsidTr="00911011">
        <w:trPr>
          <w:cantSplit/>
        </w:trPr>
        <w:tc>
          <w:tcPr>
            <w:tcW w:w="1049" w:type="dxa"/>
            <w:tcBorders>
              <w:top w:val="nil"/>
              <w:left w:val="nil"/>
              <w:bottom w:val="nil"/>
              <w:right w:val="nil"/>
            </w:tcBorders>
          </w:tcPr>
          <w:p w14:paraId="57441EC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57(3)</w:t>
            </w:r>
          </w:p>
        </w:tc>
        <w:tc>
          <w:tcPr>
            <w:tcW w:w="6372" w:type="dxa"/>
            <w:tcBorders>
              <w:top w:val="nil"/>
              <w:left w:val="nil"/>
              <w:bottom w:val="nil"/>
              <w:right w:val="nil"/>
            </w:tcBorders>
          </w:tcPr>
          <w:p w14:paraId="6B5CC73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leave intersection showing yellow traffic light or arrow</w:t>
            </w:r>
          </w:p>
        </w:tc>
        <w:tc>
          <w:tcPr>
            <w:tcW w:w="1364" w:type="dxa"/>
            <w:tcBorders>
              <w:top w:val="nil"/>
              <w:left w:val="nil"/>
              <w:bottom w:val="nil"/>
              <w:right w:val="nil"/>
            </w:tcBorders>
          </w:tcPr>
          <w:p w14:paraId="6153D23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81CFA09" w14:textId="77777777" w:rsidTr="00911011">
        <w:trPr>
          <w:cantSplit/>
        </w:trPr>
        <w:tc>
          <w:tcPr>
            <w:tcW w:w="1049" w:type="dxa"/>
            <w:tcBorders>
              <w:top w:val="nil"/>
              <w:left w:val="nil"/>
              <w:bottom w:val="nil"/>
              <w:right w:val="nil"/>
            </w:tcBorders>
          </w:tcPr>
          <w:p w14:paraId="2FF700E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60A(1)</w:t>
            </w:r>
          </w:p>
        </w:tc>
        <w:tc>
          <w:tcPr>
            <w:tcW w:w="6372" w:type="dxa"/>
            <w:tcBorders>
              <w:top w:val="nil"/>
              <w:left w:val="nil"/>
              <w:bottom w:val="nil"/>
              <w:right w:val="nil"/>
            </w:tcBorders>
          </w:tcPr>
          <w:p w14:paraId="31EAEAF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through bicycle storage area before red traffic light</w:t>
            </w:r>
          </w:p>
        </w:tc>
        <w:tc>
          <w:tcPr>
            <w:tcW w:w="1364" w:type="dxa"/>
            <w:tcBorders>
              <w:top w:val="nil"/>
              <w:left w:val="nil"/>
              <w:bottom w:val="nil"/>
              <w:right w:val="nil"/>
            </w:tcBorders>
          </w:tcPr>
          <w:p w14:paraId="1C46183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F7AC7BF" w14:textId="77777777" w:rsidTr="00911011">
        <w:trPr>
          <w:cantSplit/>
        </w:trPr>
        <w:tc>
          <w:tcPr>
            <w:tcW w:w="1049" w:type="dxa"/>
            <w:tcBorders>
              <w:top w:val="nil"/>
              <w:left w:val="nil"/>
              <w:bottom w:val="nil"/>
              <w:right w:val="nil"/>
            </w:tcBorders>
          </w:tcPr>
          <w:p w14:paraId="1AB0FA3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60A(2)</w:t>
            </w:r>
          </w:p>
        </w:tc>
        <w:tc>
          <w:tcPr>
            <w:tcW w:w="6372" w:type="dxa"/>
            <w:tcBorders>
              <w:top w:val="nil"/>
              <w:left w:val="nil"/>
              <w:bottom w:val="nil"/>
              <w:right w:val="nil"/>
            </w:tcBorders>
          </w:tcPr>
          <w:p w14:paraId="127D079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through bicycle storage area before red traffic arrow</w:t>
            </w:r>
          </w:p>
        </w:tc>
        <w:tc>
          <w:tcPr>
            <w:tcW w:w="1364" w:type="dxa"/>
            <w:tcBorders>
              <w:top w:val="nil"/>
              <w:left w:val="nil"/>
              <w:bottom w:val="nil"/>
              <w:right w:val="nil"/>
            </w:tcBorders>
          </w:tcPr>
          <w:p w14:paraId="619941B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31284ADB" w14:textId="77777777" w:rsidTr="00911011">
        <w:trPr>
          <w:cantSplit/>
        </w:trPr>
        <w:tc>
          <w:tcPr>
            <w:tcW w:w="1049" w:type="dxa"/>
            <w:tcBorders>
              <w:top w:val="nil"/>
              <w:left w:val="nil"/>
              <w:bottom w:val="nil"/>
              <w:right w:val="nil"/>
            </w:tcBorders>
          </w:tcPr>
          <w:p w14:paraId="344DC20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61(5)</w:t>
            </w:r>
          </w:p>
        </w:tc>
        <w:tc>
          <w:tcPr>
            <w:tcW w:w="6372" w:type="dxa"/>
            <w:tcBorders>
              <w:top w:val="nil"/>
              <w:left w:val="nil"/>
              <w:bottom w:val="nil"/>
              <w:right w:val="nil"/>
            </w:tcBorders>
          </w:tcPr>
          <w:p w14:paraId="261A5A7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leave intersection when traffic lights or arrows change to yellow or red</w:t>
            </w:r>
          </w:p>
        </w:tc>
        <w:tc>
          <w:tcPr>
            <w:tcW w:w="1364" w:type="dxa"/>
            <w:tcBorders>
              <w:top w:val="nil"/>
              <w:left w:val="nil"/>
              <w:bottom w:val="nil"/>
              <w:right w:val="nil"/>
            </w:tcBorders>
          </w:tcPr>
          <w:p w14:paraId="5C0E719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0A1B7545" w14:textId="77777777" w:rsidTr="00911011">
        <w:trPr>
          <w:cantSplit/>
        </w:trPr>
        <w:tc>
          <w:tcPr>
            <w:tcW w:w="1049" w:type="dxa"/>
            <w:tcBorders>
              <w:top w:val="nil"/>
              <w:left w:val="nil"/>
              <w:bottom w:val="nil"/>
              <w:right w:val="nil"/>
            </w:tcBorders>
          </w:tcPr>
          <w:p w14:paraId="71CC725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92(1)</w:t>
            </w:r>
          </w:p>
        </w:tc>
        <w:tc>
          <w:tcPr>
            <w:tcW w:w="6372" w:type="dxa"/>
            <w:tcBorders>
              <w:top w:val="nil"/>
              <w:left w:val="nil"/>
              <w:bottom w:val="nil"/>
              <w:right w:val="nil"/>
            </w:tcBorders>
          </w:tcPr>
          <w:p w14:paraId="4B4BA26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in direction indicated by traffic lane arrows</w:t>
            </w:r>
          </w:p>
        </w:tc>
        <w:tc>
          <w:tcPr>
            <w:tcW w:w="1364" w:type="dxa"/>
            <w:tcBorders>
              <w:top w:val="nil"/>
              <w:left w:val="nil"/>
              <w:bottom w:val="nil"/>
              <w:right w:val="nil"/>
            </w:tcBorders>
          </w:tcPr>
          <w:p w14:paraId="2FA28D82"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7A5AA70" w14:textId="77777777" w:rsidTr="00911011">
        <w:trPr>
          <w:cantSplit/>
        </w:trPr>
        <w:tc>
          <w:tcPr>
            <w:tcW w:w="1049" w:type="dxa"/>
            <w:tcBorders>
              <w:top w:val="nil"/>
              <w:left w:val="nil"/>
              <w:bottom w:val="nil"/>
              <w:right w:val="nil"/>
            </w:tcBorders>
          </w:tcPr>
          <w:p w14:paraId="5A6E7EA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95(1)</w:t>
            </w:r>
          </w:p>
        </w:tc>
        <w:tc>
          <w:tcPr>
            <w:tcW w:w="6372" w:type="dxa"/>
            <w:tcBorders>
              <w:top w:val="nil"/>
              <w:left w:val="nil"/>
              <w:bottom w:val="nil"/>
              <w:right w:val="nil"/>
            </w:tcBorders>
          </w:tcPr>
          <w:p w14:paraId="5BFDBB6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emergency stopping lane</w:t>
            </w:r>
          </w:p>
        </w:tc>
        <w:tc>
          <w:tcPr>
            <w:tcW w:w="1364" w:type="dxa"/>
            <w:tcBorders>
              <w:top w:val="nil"/>
              <w:left w:val="nil"/>
              <w:bottom w:val="nil"/>
              <w:right w:val="nil"/>
            </w:tcBorders>
          </w:tcPr>
          <w:p w14:paraId="300B96D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4D24C12A" w14:textId="77777777" w:rsidR="00D7647A" w:rsidRDefault="00D7647A">
      <w:r>
        <w:br w:type="page"/>
      </w:r>
    </w:p>
    <w:tbl>
      <w:tblPr>
        <w:tblW w:w="0" w:type="auto"/>
        <w:tblLayout w:type="fixed"/>
        <w:tblCellMar>
          <w:left w:w="60" w:type="dxa"/>
          <w:right w:w="60" w:type="dxa"/>
        </w:tblCellMar>
        <w:tblLook w:val="0000" w:firstRow="0" w:lastRow="0" w:firstColumn="0" w:lastColumn="0" w:noHBand="0" w:noVBand="0"/>
      </w:tblPr>
      <w:tblGrid>
        <w:gridCol w:w="1049"/>
        <w:gridCol w:w="6372"/>
        <w:gridCol w:w="1364"/>
      </w:tblGrid>
      <w:tr w:rsidR="00D7647A" w:rsidRPr="002A3021" w14:paraId="7C095608" w14:textId="77777777" w:rsidTr="00D7647A">
        <w:trPr>
          <w:cantSplit/>
        </w:trPr>
        <w:tc>
          <w:tcPr>
            <w:tcW w:w="1049" w:type="dxa"/>
            <w:tcBorders>
              <w:top w:val="nil"/>
              <w:left w:val="nil"/>
              <w:bottom w:val="single" w:sz="4" w:space="0" w:color="auto"/>
              <w:right w:val="nil"/>
            </w:tcBorders>
          </w:tcPr>
          <w:p w14:paraId="398874B6" w14:textId="3481FBD8"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72" w:type="dxa"/>
            <w:tcBorders>
              <w:top w:val="nil"/>
              <w:left w:val="nil"/>
              <w:bottom w:val="single" w:sz="4" w:space="0" w:color="auto"/>
              <w:right w:val="nil"/>
            </w:tcBorders>
          </w:tcPr>
          <w:p w14:paraId="42F244C8" w14:textId="79A75FE3"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6" w:history="1">
              <w:r w:rsidRPr="002A3021">
                <w:rPr>
                  <w:rFonts w:eastAsia="Times New Roman"/>
                  <w:b/>
                  <w:bCs/>
                  <w:i/>
                  <w:iCs/>
                  <w:color w:val="000000"/>
                  <w:sz w:val="20"/>
                  <w:szCs w:val="20"/>
                  <w:lang w:eastAsia="en-AU"/>
                  <w14:ligatures w14:val="standardContextual"/>
                </w:rPr>
                <w:t>Australian Road Rules</w:t>
              </w:r>
            </w:hyperlink>
          </w:p>
        </w:tc>
        <w:tc>
          <w:tcPr>
            <w:tcW w:w="1364" w:type="dxa"/>
            <w:tcBorders>
              <w:top w:val="nil"/>
              <w:left w:val="nil"/>
              <w:bottom w:val="single" w:sz="4" w:space="0" w:color="auto"/>
              <w:right w:val="nil"/>
            </w:tcBorders>
          </w:tcPr>
          <w:p w14:paraId="63457E40" w14:textId="2516802D"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D7647A" w:rsidRPr="002A3021" w14:paraId="6AD85C78" w14:textId="77777777" w:rsidTr="00D7647A">
        <w:trPr>
          <w:cantSplit/>
        </w:trPr>
        <w:tc>
          <w:tcPr>
            <w:tcW w:w="1049" w:type="dxa"/>
            <w:tcBorders>
              <w:top w:val="single" w:sz="4" w:space="0" w:color="auto"/>
              <w:left w:val="nil"/>
              <w:bottom w:val="nil"/>
              <w:right w:val="nil"/>
            </w:tcBorders>
          </w:tcPr>
          <w:p w14:paraId="776C45FE" w14:textId="37A37B1F"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96(1)</w:t>
            </w:r>
          </w:p>
        </w:tc>
        <w:tc>
          <w:tcPr>
            <w:tcW w:w="6372" w:type="dxa"/>
            <w:tcBorders>
              <w:top w:val="single" w:sz="4" w:space="0" w:color="auto"/>
              <w:left w:val="nil"/>
              <w:bottom w:val="nil"/>
              <w:right w:val="nil"/>
            </w:tcBorders>
          </w:tcPr>
          <w:p w14:paraId="0FC62394" w14:textId="15B71F6B" w:rsidR="00D7647A" w:rsidRPr="002A3021" w:rsidRDefault="00D7647A" w:rsidP="00D7647A">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Stopping on area of road marked with keep clear marking</w:t>
            </w:r>
          </w:p>
        </w:tc>
        <w:tc>
          <w:tcPr>
            <w:tcW w:w="1364" w:type="dxa"/>
            <w:tcBorders>
              <w:top w:val="single" w:sz="4" w:space="0" w:color="auto"/>
              <w:left w:val="nil"/>
              <w:bottom w:val="nil"/>
              <w:right w:val="nil"/>
            </w:tcBorders>
          </w:tcPr>
          <w:p w14:paraId="3F4F9372" w14:textId="2D3D06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F2666E9" w14:textId="77777777" w:rsidTr="00911011">
        <w:trPr>
          <w:cantSplit/>
        </w:trPr>
        <w:tc>
          <w:tcPr>
            <w:tcW w:w="1049" w:type="dxa"/>
            <w:tcBorders>
              <w:top w:val="nil"/>
              <w:left w:val="nil"/>
              <w:bottom w:val="nil"/>
              <w:right w:val="nil"/>
            </w:tcBorders>
          </w:tcPr>
          <w:p w14:paraId="0D36699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97(1)</w:t>
            </w:r>
          </w:p>
        </w:tc>
        <w:tc>
          <w:tcPr>
            <w:tcW w:w="6372" w:type="dxa"/>
            <w:tcBorders>
              <w:top w:val="nil"/>
              <w:left w:val="nil"/>
              <w:bottom w:val="nil"/>
              <w:right w:val="nil"/>
            </w:tcBorders>
          </w:tcPr>
          <w:p w14:paraId="7B7E9DD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on length of road where "road access" sign applies</w:t>
            </w:r>
          </w:p>
        </w:tc>
        <w:tc>
          <w:tcPr>
            <w:tcW w:w="1364" w:type="dxa"/>
            <w:tcBorders>
              <w:top w:val="nil"/>
              <w:left w:val="nil"/>
              <w:bottom w:val="nil"/>
              <w:right w:val="nil"/>
            </w:tcBorders>
          </w:tcPr>
          <w:p w14:paraId="437A8AA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C85FB48" w14:textId="77777777" w:rsidTr="00911011">
        <w:trPr>
          <w:cantSplit/>
        </w:trPr>
        <w:tc>
          <w:tcPr>
            <w:tcW w:w="1049" w:type="dxa"/>
            <w:tcBorders>
              <w:top w:val="nil"/>
              <w:left w:val="nil"/>
              <w:bottom w:val="nil"/>
              <w:right w:val="nil"/>
            </w:tcBorders>
          </w:tcPr>
          <w:p w14:paraId="0F46D99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98(1)</w:t>
            </w:r>
          </w:p>
        </w:tc>
        <w:tc>
          <w:tcPr>
            <w:tcW w:w="6372" w:type="dxa"/>
            <w:tcBorders>
              <w:top w:val="nil"/>
              <w:left w:val="nil"/>
              <w:bottom w:val="nil"/>
              <w:right w:val="nil"/>
            </w:tcBorders>
          </w:tcPr>
          <w:p w14:paraId="2C16C46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wrong direction on length of road where "one</w:t>
            </w:r>
            <w:r w:rsidRPr="002A3021">
              <w:rPr>
                <w:rFonts w:eastAsia="Times New Roman"/>
                <w:i/>
                <w:iCs/>
                <w:color w:val="000000"/>
                <w:sz w:val="20"/>
                <w:szCs w:val="20"/>
                <w:lang w:eastAsia="en-AU"/>
                <w14:ligatures w14:val="standardContextual"/>
              </w:rPr>
              <w:noBreakHyphen/>
              <w:t>way" sign applies</w:t>
            </w:r>
          </w:p>
        </w:tc>
        <w:tc>
          <w:tcPr>
            <w:tcW w:w="1364" w:type="dxa"/>
            <w:tcBorders>
              <w:top w:val="nil"/>
              <w:left w:val="nil"/>
              <w:bottom w:val="nil"/>
              <w:right w:val="nil"/>
            </w:tcBorders>
          </w:tcPr>
          <w:p w14:paraId="007AA7D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0E09496" w14:textId="77777777" w:rsidTr="00911011">
        <w:trPr>
          <w:cantSplit/>
        </w:trPr>
        <w:tc>
          <w:tcPr>
            <w:tcW w:w="1049" w:type="dxa"/>
            <w:tcBorders>
              <w:top w:val="nil"/>
              <w:left w:val="nil"/>
              <w:bottom w:val="nil"/>
              <w:right w:val="nil"/>
            </w:tcBorders>
          </w:tcPr>
          <w:p w14:paraId="3B05F5F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99(1)</w:t>
            </w:r>
          </w:p>
        </w:tc>
        <w:tc>
          <w:tcPr>
            <w:tcW w:w="6372" w:type="dxa"/>
            <w:tcBorders>
              <w:top w:val="nil"/>
              <w:left w:val="nil"/>
              <w:bottom w:val="nil"/>
              <w:right w:val="nil"/>
            </w:tcBorders>
          </w:tcPr>
          <w:p w14:paraId="6EBAC173"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to left of "keep left" sign</w:t>
            </w:r>
          </w:p>
        </w:tc>
        <w:tc>
          <w:tcPr>
            <w:tcW w:w="1364" w:type="dxa"/>
            <w:tcBorders>
              <w:top w:val="nil"/>
              <w:left w:val="nil"/>
              <w:bottom w:val="nil"/>
              <w:right w:val="nil"/>
            </w:tcBorders>
          </w:tcPr>
          <w:p w14:paraId="0D9C511E"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95CFDF0" w14:textId="77777777" w:rsidTr="00911011">
        <w:trPr>
          <w:cantSplit/>
        </w:trPr>
        <w:tc>
          <w:tcPr>
            <w:tcW w:w="1049" w:type="dxa"/>
            <w:tcBorders>
              <w:top w:val="nil"/>
              <w:left w:val="nil"/>
              <w:bottom w:val="nil"/>
              <w:right w:val="nil"/>
            </w:tcBorders>
          </w:tcPr>
          <w:p w14:paraId="02B10A2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99(2)</w:t>
            </w:r>
          </w:p>
        </w:tc>
        <w:tc>
          <w:tcPr>
            <w:tcW w:w="6372" w:type="dxa"/>
            <w:tcBorders>
              <w:top w:val="nil"/>
              <w:left w:val="nil"/>
              <w:bottom w:val="nil"/>
              <w:right w:val="nil"/>
            </w:tcBorders>
          </w:tcPr>
          <w:p w14:paraId="5CDFFEF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to right of "keep right" sign</w:t>
            </w:r>
          </w:p>
        </w:tc>
        <w:tc>
          <w:tcPr>
            <w:tcW w:w="1364" w:type="dxa"/>
            <w:tcBorders>
              <w:top w:val="nil"/>
              <w:left w:val="nil"/>
              <w:bottom w:val="nil"/>
              <w:right w:val="nil"/>
            </w:tcBorders>
          </w:tcPr>
          <w:p w14:paraId="18463B4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8C90333" w14:textId="77777777" w:rsidTr="00911011">
        <w:trPr>
          <w:cantSplit/>
        </w:trPr>
        <w:tc>
          <w:tcPr>
            <w:tcW w:w="1049" w:type="dxa"/>
            <w:tcBorders>
              <w:top w:val="nil"/>
              <w:left w:val="nil"/>
              <w:bottom w:val="nil"/>
              <w:right w:val="nil"/>
            </w:tcBorders>
          </w:tcPr>
          <w:p w14:paraId="5F86D6A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100</w:t>
            </w:r>
          </w:p>
        </w:tc>
        <w:tc>
          <w:tcPr>
            <w:tcW w:w="6372" w:type="dxa"/>
            <w:tcBorders>
              <w:top w:val="nil"/>
              <w:left w:val="nil"/>
              <w:bottom w:val="nil"/>
              <w:right w:val="nil"/>
            </w:tcBorders>
          </w:tcPr>
          <w:p w14:paraId="52E57ED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"no entry" sign</w:t>
            </w:r>
          </w:p>
        </w:tc>
        <w:tc>
          <w:tcPr>
            <w:tcW w:w="1364" w:type="dxa"/>
            <w:tcBorders>
              <w:top w:val="nil"/>
              <w:left w:val="nil"/>
              <w:bottom w:val="nil"/>
              <w:right w:val="nil"/>
            </w:tcBorders>
          </w:tcPr>
          <w:p w14:paraId="493EC99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6749A1AE" w14:textId="77777777" w:rsidTr="00911011">
        <w:trPr>
          <w:cantSplit/>
        </w:trPr>
        <w:tc>
          <w:tcPr>
            <w:tcW w:w="1049" w:type="dxa"/>
            <w:tcBorders>
              <w:top w:val="nil"/>
              <w:left w:val="nil"/>
              <w:bottom w:val="nil"/>
              <w:right w:val="nil"/>
            </w:tcBorders>
          </w:tcPr>
          <w:p w14:paraId="228C5E5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101A(1)</w:t>
            </w:r>
          </w:p>
        </w:tc>
        <w:tc>
          <w:tcPr>
            <w:tcW w:w="6372" w:type="dxa"/>
            <w:tcBorders>
              <w:top w:val="nil"/>
              <w:left w:val="nil"/>
              <w:bottom w:val="nil"/>
              <w:right w:val="nil"/>
            </w:tcBorders>
          </w:tcPr>
          <w:p w14:paraId="7E0D27B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on safety ramp or arrester bed</w:t>
            </w:r>
          </w:p>
        </w:tc>
        <w:tc>
          <w:tcPr>
            <w:tcW w:w="1364" w:type="dxa"/>
            <w:tcBorders>
              <w:top w:val="nil"/>
              <w:left w:val="nil"/>
              <w:bottom w:val="nil"/>
              <w:right w:val="nil"/>
            </w:tcBorders>
          </w:tcPr>
          <w:p w14:paraId="59BA9DEE"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E3F79EE" w14:textId="77777777" w:rsidTr="00911011">
        <w:trPr>
          <w:cantSplit/>
        </w:trPr>
        <w:tc>
          <w:tcPr>
            <w:tcW w:w="1049" w:type="dxa"/>
            <w:tcBorders>
              <w:top w:val="nil"/>
              <w:left w:val="nil"/>
              <w:bottom w:val="nil"/>
              <w:right w:val="nil"/>
            </w:tcBorders>
          </w:tcPr>
          <w:p w14:paraId="0ECC717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102(1)</w:t>
            </w:r>
          </w:p>
        </w:tc>
        <w:tc>
          <w:tcPr>
            <w:tcW w:w="6372" w:type="dxa"/>
            <w:tcBorders>
              <w:top w:val="nil"/>
              <w:left w:val="nil"/>
              <w:bottom w:val="nil"/>
              <w:right w:val="nil"/>
            </w:tcBorders>
          </w:tcPr>
          <w:p w14:paraId="5429D99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"clearance" or "low clearance" sign</w:t>
            </w:r>
          </w:p>
        </w:tc>
        <w:tc>
          <w:tcPr>
            <w:tcW w:w="1364" w:type="dxa"/>
            <w:tcBorders>
              <w:top w:val="nil"/>
              <w:left w:val="nil"/>
              <w:bottom w:val="nil"/>
              <w:right w:val="nil"/>
            </w:tcBorders>
          </w:tcPr>
          <w:p w14:paraId="648D5D41"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7FEC2DC" w14:textId="77777777" w:rsidTr="00911011">
        <w:trPr>
          <w:cantSplit/>
        </w:trPr>
        <w:tc>
          <w:tcPr>
            <w:tcW w:w="1049" w:type="dxa"/>
            <w:tcBorders>
              <w:top w:val="nil"/>
              <w:left w:val="nil"/>
              <w:bottom w:val="nil"/>
              <w:right w:val="nil"/>
            </w:tcBorders>
          </w:tcPr>
          <w:p w14:paraId="043567D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103(1)</w:t>
            </w:r>
          </w:p>
        </w:tc>
        <w:tc>
          <w:tcPr>
            <w:tcW w:w="6372" w:type="dxa"/>
            <w:tcBorders>
              <w:top w:val="nil"/>
              <w:left w:val="nil"/>
              <w:bottom w:val="nil"/>
              <w:right w:val="nil"/>
            </w:tcBorders>
          </w:tcPr>
          <w:p w14:paraId="0FDD8EC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"bridge load limit (gross mass)" or "gross load limit" sign—vehicle exceeding gross mass indicated by sign</w:t>
            </w:r>
          </w:p>
        </w:tc>
        <w:tc>
          <w:tcPr>
            <w:tcW w:w="1364" w:type="dxa"/>
            <w:tcBorders>
              <w:top w:val="nil"/>
              <w:left w:val="nil"/>
              <w:bottom w:val="nil"/>
              <w:right w:val="nil"/>
            </w:tcBorders>
          </w:tcPr>
          <w:p w14:paraId="41BB42CE"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CFD80A3" w14:textId="77777777" w:rsidTr="00911011">
        <w:trPr>
          <w:cantSplit/>
        </w:trPr>
        <w:tc>
          <w:tcPr>
            <w:tcW w:w="1049" w:type="dxa"/>
            <w:tcBorders>
              <w:top w:val="nil"/>
              <w:left w:val="nil"/>
              <w:bottom w:val="nil"/>
              <w:right w:val="nil"/>
            </w:tcBorders>
          </w:tcPr>
          <w:p w14:paraId="13864C9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103(2)</w:t>
            </w:r>
          </w:p>
        </w:tc>
        <w:tc>
          <w:tcPr>
            <w:tcW w:w="6372" w:type="dxa"/>
            <w:tcBorders>
              <w:top w:val="nil"/>
              <w:left w:val="nil"/>
              <w:bottom w:val="nil"/>
              <w:right w:val="nil"/>
            </w:tcBorders>
          </w:tcPr>
          <w:p w14:paraId="2234E81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"bridge load limit (mass per axle group)" sign—vehicle axle group carrying mass exceeding mass indicated by sign</w:t>
            </w:r>
          </w:p>
        </w:tc>
        <w:tc>
          <w:tcPr>
            <w:tcW w:w="1364" w:type="dxa"/>
            <w:tcBorders>
              <w:top w:val="nil"/>
              <w:left w:val="nil"/>
              <w:bottom w:val="nil"/>
              <w:right w:val="nil"/>
            </w:tcBorders>
          </w:tcPr>
          <w:p w14:paraId="62B88CC6"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3B81FF8F" w14:textId="77777777" w:rsidTr="00911011">
        <w:trPr>
          <w:cantSplit/>
        </w:trPr>
        <w:tc>
          <w:tcPr>
            <w:tcW w:w="1049" w:type="dxa"/>
            <w:tcBorders>
              <w:top w:val="nil"/>
              <w:left w:val="nil"/>
              <w:bottom w:val="nil"/>
              <w:right w:val="nil"/>
            </w:tcBorders>
          </w:tcPr>
          <w:p w14:paraId="043CDEF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104(1)</w:t>
            </w:r>
          </w:p>
        </w:tc>
        <w:tc>
          <w:tcPr>
            <w:tcW w:w="6372" w:type="dxa"/>
            <w:tcBorders>
              <w:top w:val="nil"/>
              <w:left w:val="nil"/>
              <w:bottom w:val="nil"/>
              <w:right w:val="nil"/>
            </w:tcBorders>
          </w:tcPr>
          <w:p w14:paraId="2E422C8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past "no trucks" sign—vehicle GVM exceeding permitted mass</w:t>
            </w:r>
          </w:p>
        </w:tc>
        <w:tc>
          <w:tcPr>
            <w:tcW w:w="1364" w:type="dxa"/>
            <w:tcBorders>
              <w:top w:val="nil"/>
              <w:left w:val="nil"/>
              <w:bottom w:val="nil"/>
              <w:right w:val="nil"/>
            </w:tcBorders>
          </w:tcPr>
          <w:p w14:paraId="3BB21FFD"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1E24E06" w14:textId="77777777" w:rsidTr="00911011">
        <w:trPr>
          <w:cantSplit/>
        </w:trPr>
        <w:tc>
          <w:tcPr>
            <w:tcW w:w="1049" w:type="dxa"/>
            <w:tcBorders>
              <w:top w:val="nil"/>
              <w:left w:val="nil"/>
              <w:bottom w:val="nil"/>
              <w:right w:val="nil"/>
            </w:tcBorders>
          </w:tcPr>
          <w:p w14:paraId="0535D1D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104(2)</w:t>
            </w:r>
          </w:p>
        </w:tc>
        <w:tc>
          <w:tcPr>
            <w:tcW w:w="6372" w:type="dxa"/>
            <w:tcBorders>
              <w:top w:val="nil"/>
              <w:left w:val="nil"/>
              <w:bottom w:val="nil"/>
              <w:right w:val="nil"/>
            </w:tcBorders>
          </w:tcPr>
          <w:p w14:paraId="7CBFE41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truck past "no trucks" sign—vehicle or combination exceeding permitted length</w:t>
            </w:r>
          </w:p>
        </w:tc>
        <w:tc>
          <w:tcPr>
            <w:tcW w:w="1364" w:type="dxa"/>
            <w:tcBorders>
              <w:top w:val="nil"/>
              <w:left w:val="nil"/>
              <w:bottom w:val="nil"/>
              <w:right w:val="nil"/>
            </w:tcBorders>
          </w:tcPr>
          <w:p w14:paraId="689F49E2"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66CD696" w14:textId="77777777" w:rsidTr="00911011">
        <w:trPr>
          <w:cantSplit/>
        </w:trPr>
        <w:tc>
          <w:tcPr>
            <w:tcW w:w="1049" w:type="dxa"/>
            <w:tcBorders>
              <w:top w:val="nil"/>
              <w:left w:val="nil"/>
              <w:bottom w:val="nil"/>
              <w:right w:val="nil"/>
            </w:tcBorders>
          </w:tcPr>
          <w:p w14:paraId="21D81DB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104(3)</w:t>
            </w:r>
          </w:p>
        </w:tc>
        <w:tc>
          <w:tcPr>
            <w:tcW w:w="6372" w:type="dxa"/>
            <w:tcBorders>
              <w:top w:val="nil"/>
              <w:left w:val="nil"/>
              <w:bottom w:val="nil"/>
              <w:right w:val="nil"/>
            </w:tcBorders>
          </w:tcPr>
          <w:p w14:paraId="7AF9A22A"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truck past "no trucks" sign where no mass or length indicated</w:t>
            </w:r>
          </w:p>
        </w:tc>
        <w:tc>
          <w:tcPr>
            <w:tcW w:w="1364" w:type="dxa"/>
            <w:tcBorders>
              <w:top w:val="nil"/>
              <w:left w:val="nil"/>
              <w:bottom w:val="nil"/>
              <w:right w:val="nil"/>
            </w:tcBorders>
          </w:tcPr>
          <w:p w14:paraId="55CF228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24419E5" w14:textId="77777777" w:rsidTr="00911011">
        <w:trPr>
          <w:cantSplit/>
        </w:trPr>
        <w:tc>
          <w:tcPr>
            <w:tcW w:w="1049" w:type="dxa"/>
            <w:tcBorders>
              <w:top w:val="nil"/>
              <w:left w:val="nil"/>
              <w:bottom w:val="nil"/>
              <w:right w:val="nil"/>
            </w:tcBorders>
          </w:tcPr>
          <w:p w14:paraId="1870F2CA"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105</w:t>
            </w:r>
          </w:p>
        </w:tc>
        <w:tc>
          <w:tcPr>
            <w:tcW w:w="6372" w:type="dxa"/>
            <w:tcBorders>
              <w:top w:val="nil"/>
              <w:left w:val="nil"/>
              <w:bottom w:val="nil"/>
              <w:right w:val="nil"/>
            </w:tcBorders>
          </w:tcPr>
          <w:p w14:paraId="401EEEF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enter area indicated by "trucks must enter" sign</w:t>
            </w:r>
          </w:p>
        </w:tc>
        <w:tc>
          <w:tcPr>
            <w:tcW w:w="1364" w:type="dxa"/>
            <w:tcBorders>
              <w:top w:val="nil"/>
              <w:left w:val="nil"/>
              <w:bottom w:val="nil"/>
              <w:right w:val="nil"/>
            </w:tcBorders>
          </w:tcPr>
          <w:p w14:paraId="7DC38EA4"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9E3D8F6" w14:textId="77777777" w:rsidTr="00911011">
        <w:trPr>
          <w:cantSplit/>
        </w:trPr>
        <w:tc>
          <w:tcPr>
            <w:tcW w:w="1049" w:type="dxa"/>
            <w:tcBorders>
              <w:top w:val="nil"/>
              <w:left w:val="nil"/>
              <w:bottom w:val="nil"/>
              <w:right w:val="nil"/>
            </w:tcBorders>
          </w:tcPr>
          <w:p w14:paraId="19A24AD3"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106(1)</w:t>
            </w:r>
          </w:p>
        </w:tc>
        <w:tc>
          <w:tcPr>
            <w:tcW w:w="6372" w:type="dxa"/>
            <w:tcBorders>
              <w:top w:val="nil"/>
              <w:left w:val="nil"/>
              <w:bottom w:val="nil"/>
              <w:right w:val="nil"/>
            </w:tcBorders>
          </w:tcPr>
          <w:p w14:paraId="021D31F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bus past "no buses" sign—bus exceeding mass indicated by sign</w:t>
            </w:r>
          </w:p>
        </w:tc>
        <w:tc>
          <w:tcPr>
            <w:tcW w:w="1364" w:type="dxa"/>
            <w:tcBorders>
              <w:top w:val="nil"/>
              <w:left w:val="nil"/>
              <w:bottom w:val="nil"/>
              <w:right w:val="nil"/>
            </w:tcBorders>
          </w:tcPr>
          <w:p w14:paraId="35124B6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F57593C" w14:textId="77777777" w:rsidTr="00911011">
        <w:trPr>
          <w:cantSplit/>
        </w:trPr>
        <w:tc>
          <w:tcPr>
            <w:tcW w:w="1049" w:type="dxa"/>
            <w:tcBorders>
              <w:top w:val="nil"/>
              <w:left w:val="nil"/>
              <w:bottom w:val="nil"/>
              <w:right w:val="nil"/>
            </w:tcBorders>
          </w:tcPr>
          <w:p w14:paraId="5507095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106(2)</w:t>
            </w:r>
          </w:p>
        </w:tc>
        <w:tc>
          <w:tcPr>
            <w:tcW w:w="6372" w:type="dxa"/>
            <w:tcBorders>
              <w:top w:val="nil"/>
              <w:left w:val="nil"/>
              <w:bottom w:val="nil"/>
              <w:right w:val="nil"/>
            </w:tcBorders>
          </w:tcPr>
          <w:p w14:paraId="09FF373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bus past "no buses" sign—bus exceeding length indicated by sign</w:t>
            </w:r>
          </w:p>
        </w:tc>
        <w:tc>
          <w:tcPr>
            <w:tcW w:w="1364" w:type="dxa"/>
            <w:tcBorders>
              <w:top w:val="nil"/>
              <w:left w:val="nil"/>
              <w:bottom w:val="nil"/>
              <w:right w:val="nil"/>
            </w:tcBorders>
          </w:tcPr>
          <w:p w14:paraId="1EF6DBB4"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6D391D5D" w14:textId="77777777" w:rsidTr="00911011">
        <w:trPr>
          <w:cantSplit/>
        </w:trPr>
        <w:tc>
          <w:tcPr>
            <w:tcW w:w="1049" w:type="dxa"/>
            <w:tcBorders>
              <w:top w:val="nil"/>
              <w:left w:val="nil"/>
              <w:bottom w:val="nil"/>
              <w:right w:val="nil"/>
            </w:tcBorders>
          </w:tcPr>
          <w:p w14:paraId="550752A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106(3)</w:t>
            </w:r>
          </w:p>
        </w:tc>
        <w:tc>
          <w:tcPr>
            <w:tcW w:w="6372" w:type="dxa"/>
            <w:tcBorders>
              <w:top w:val="nil"/>
              <w:left w:val="nil"/>
              <w:bottom w:val="nil"/>
              <w:right w:val="nil"/>
            </w:tcBorders>
          </w:tcPr>
          <w:p w14:paraId="14F9997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bus past "no buses sign" where no mass or length indicated</w:t>
            </w:r>
          </w:p>
        </w:tc>
        <w:tc>
          <w:tcPr>
            <w:tcW w:w="1364" w:type="dxa"/>
            <w:tcBorders>
              <w:top w:val="nil"/>
              <w:left w:val="nil"/>
              <w:bottom w:val="nil"/>
              <w:right w:val="nil"/>
            </w:tcBorders>
          </w:tcPr>
          <w:p w14:paraId="4681662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5021C1A" w14:textId="77777777" w:rsidTr="00911011">
        <w:trPr>
          <w:cantSplit/>
        </w:trPr>
        <w:tc>
          <w:tcPr>
            <w:tcW w:w="1049" w:type="dxa"/>
            <w:tcBorders>
              <w:top w:val="nil"/>
              <w:left w:val="nil"/>
              <w:bottom w:val="nil"/>
              <w:right w:val="nil"/>
            </w:tcBorders>
          </w:tcPr>
          <w:p w14:paraId="43287D42"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107</w:t>
            </w:r>
          </w:p>
        </w:tc>
        <w:tc>
          <w:tcPr>
            <w:tcW w:w="6372" w:type="dxa"/>
            <w:tcBorders>
              <w:top w:val="nil"/>
              <w:left w:val="nil"/>
              <w:bottom w:val="nil"/>
              <w:right w:val="nil"/>
            </w:tcBorders>
          </w:tcPr>
          <w:p w14:paraId="035A2C3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enter area indicated by "buses must enter" sign</w:t>
            </w:r>
          </w:p>
        </w:tc>
        <w:tc>
          <w:tcPr>
            <w:tcW w:w="1364" w:type="dxa"/>
            <w:tcBorders>
              <w:top w:val="nil"/>
              <w:left w:val="nil"/>
              <w:bottom w:val="nil"/>
              <w:right w:val="nil"/>
            </w:tcBorders>
          </w:tcPr>
          <w:p w14:paraId="355EE84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395ADC8" w14:textId="77777777" w:rsidTr="00911011">
        <w:trPr>
          <w:cantSplit/>
        </w:trPr>
        <w:tc>
          <w:tcPr>
            <w:tcW w:w="1049" w:type="dxa"/>
            <w:tcBorders>
              <w:top w:val="nil"/>
              <w:left w:val="nil"/>
              <w:bottom w:val="nil"/>
              <w:right w:val="nil"/>
            </w:tcBorders>
          </w:tcPr>
          <w:p w14:paraId="0CFCD44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108(1)</w:t>
            </w:r>
          </w:p>
        </w:tc>
        <w:tc>
          <w:tcPr>
            <w:tcW w:w="6372" w:type="dxa"/>
            <w:tcBorders>
              <w:top w:val="nil"/>
              <w:left w:val="nil"/>
              <w:bottom w:val="nil"/>
              <w:right w:val="nil"/>
            </w:tcBorders>
          </w:tcPr>
          <w:p w14:paraId="5A68A8E5"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truck or bus in low gear on length of road where "trucks and buses low gear" sign applies</w:t>
            </w:r>
          </w:p>
        </w:tc>
        <w:tc>
          <w:tcPr>
            <w:tcW w:w="1364" w:type="dxa"/>
            <w:tcBorders>
              <w:top w:val="nil"/>
              <w:left w:val="nil"/>
              <w:bottom w:val="nil"/>
              <w:right w:val="nil"/>
            </w:tcBorders>
          </w:tcPr>
          <w:p w14:paraId="7C2431C1"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C4AF234" w14:textId="77777777" w:rsidTr="00911011">
        <w:trPr>
          <w:cantSplit/>
        </w:trPr>
        <w:tc>
          <w:tcPr>
            <w:tcW w:w="1049" w:type="dxa"/>
            <w:tcBorders>
              <w:top w:val="nil"/>
              <w:left w:val="nil"/>
              <w:bottom w:val="nil"/>
              <w:right w:val="nil"/>
            </w:tcBorders>
          </w:tcPr>
          <w:p w14:paraId="70387E1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111(1)</w:t>
            </w:r>
          </w:p>
        </w:tc>
        <w:tc>
          <w:tcPr>
            <w:tcW w:w="6372" w:type="dxa"/>
            <w:tcBorders>
              <w:top w:val="nil"/>
              <w:left w:val="nil"/>
              <w:bottom w:val="nil"/>
              <w:right w:val="nil"/>
            </w:tcBorders>
          </w:tcPr>
          <w:p w14:paraId="424A072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enter roundabout from multi</w:t>
            </w:r>
            <w:r w:rsidRPr="002A3021">
              <w:rPr>
                <w:rFonts w:eastAsia="Times New Roman"/>
                <w:i/>
                <w:iCs/>
                <w:color w:val="000000"/>
                <w:sz w:val="20"/>
                <w:szCs w:val="20"/>
                <w:lang w:eastAsia="en-AU"/>
                <w14:ligatures w14:val="standardContextual"/>
              </w:rPr>
              <w:noBreakHyphen/>
              <w:t>lane road or road with 2 or more lines of traffic travelling in same direction correctly</w:t>
            </w:r>
          </w:p>
        </w:tc>
        <w:tc>
          <w:tcPr>
            <w:tcW w:w="1364" w:type="dxa"/>
            <w:tcBorders>
              <w:top w:val="nil"/>
              <w:left w:val="nil"/>
              <w:bottom w:val="nil"/>
              <w:right w:val="nil"/>
            </w:tcBorders>
          </w:tcPr>
          <w:p w14:paraId="2D024CD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2E7186C" w14:textId="77777777" w:rsidTr="00911011">
        <w:trPr>
          <w:cantSplit/>
        </w:trPr>
        <w:tc>
          <w:tcPr>
            <w:tcW w:w="1049" w:type="dxa"/>
            <w:tcBorders>
              <w:top w:val="nil"/>
              <w:left w:val="nil"/>
              <w:bottom w:val="nil"/>
              <w:right w:val="nil"/>
            </w:tcBorders>
          </w:tcPr>
          <w:p w14:paraId="723A98C4"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116</w:t>
            </w:r>
          </w:p>
        </w:tc>
        <w:tc>
          <w:tcPr>
            <w:tcW w:w="6372" w:type="dxa"/>
            <w:tcBorders>
              <w:top w:val="nil"/>
              <w:left w:val="nil"/>
              <w:bottom w:val="nil"/>
              <w:right w:val="nil"/>
            </w:tcBorders>
          </w:tcPr>
          <w:p w14:paraId="4D039C4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obey traffic lane arrows when driving in or leaving roundabout</w:t>
            </w:r>
          </w:p>
        </w:tc>
        <w:tc>
          <w:tcPr>
            <w:tcW w:w="1364" w:type="dxa"/>
            <w:tcBorders>
              <w:top w:val="nil"/>
              <w:left w:val="nil"/>
              <w:bottom w:val="nil"/>
              <w:right w:val="nil"/>
            </w:tcBorders>
          </w:tcPr>
          <w:p w14:paraId="1E8F1A0D"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3C48555" w14:textId="77777777" w:rsidTr="00911011">
        <w:trPr>
          <w:cantSplit/>
        </w:trPr>
        <w:tc>
          <w:tcPr>
            <w:tcW w:w="1049" w:type="dxa"/>
            <w:tcBorders>
              <w:top w:val="nil"/>
              <w:left w:val="nil"/>
              <w:bottom w:val="nil"/>
              <w:right w:val="nil"/>
            </w:tcBorders>
          </w:tcPr>
          <w:p w14:paraId="26A0CDD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118(2)</w:t>
            </w:r>
          </w:p>
        </w:tc>
        <w:tc>
          <w:tcPr>
            <w:tcW w:w="6372" w:type="dxa"/>
            <w:tcBorders>
              <w:top w:val="nil"/>
              <w:left w:val="nil"/>
              <w:bottom w:val="nil"/>
              <w:right w:val="nil"/>
            </w:tcBorders>
          </w:tcPr>
          <w:p w14:paraId="020471A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left change of direction signal after leaving roundabout</w:t>
            </w:r>
          </w:p>
        </w:tc>
        <w:tc>
          <w:tcPr>
            <w:tcW w:w="1364" w:type="dxa"/>
            <w:tcBorders>
              <w:top w:val="nil"/>
              <w:left w:val="nil"/>
              <w:bottom w:val="nil"/>
              <w:right w:val="nil"/>
            </w:tcBorders>
          </w:tcPr>
          <w:p w14:paraId="7F895D12"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D7647A" w:rsidRPr="002A3021" w14:paraId="7D36A44B" w14:textId="77777777" w:rsidTr="00911011">
        <w:trPr>
          <w:cantSplit/>
        </w:trPr>
        <w:tc>
          <w:tcPr>
            <w:tcW w:w="1049" w:type="dxa"/>
            <w:tcBorders>
              <w:top w:val="nil"/>
              <w:left w:val="nil"/>
              <w:bottom w:val="nil"/>
              <w:right w:val="nil"/>
            </w:tcBorders>
          </w:tcPr>
          <w:p w14:paraId="353C0025"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119</w:t>
            </w:r>
          </w:p>
        </w:tc>
        <w:tc>
          <w:tcPr>
            <w:tcW w:w="6372" w:type="dxa"/>
            <w:tcBorders>
              <w:top w:val="nil"/>
              <w:left w:val="nil"/>
              <w:bottom w:val="nil"/>
              <w:right w:val="nil"/>
            </w:tcBorders>
          </w:tcPr>
          <w:p w14:paraId="59DE655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by rider of bicycle or animal to vehicle leaving roundabout</w:t>
            </w:r>
          </w:p>
        </w:tc>
        <w:tc>
          <w:tcPr>
            <w:tcW w:w="1364" w:type="dxa"/>
            <w:tcBorders>
              <w:top w:val="nil"/>
              <w:left w:val="nil"/>
              <w:bottom w:val="nil"/>
              <w:right w:val="nil"/>
            </w:tcBorders>
          </w:tcPr>
          <w:p w14:paraId="43E32CB3"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C989653" w14:textId="77777777" w:rsidTr="00911011">
        <w:trPr>
          <w:cantSplit/>
        </w:trPr>
        <w:tc>
          <w:tcPr>
            <w:tcW w:w="1049" w:type="dxa"/>
            <w:tcBorders>
              <w:top w:val="nil"/>
              <w:left w:val="nil"/>
              <w:bottom w:val="nil"/>
              <w:right w:val="nil"/>
            </w:tcBorders>
          </w:tcPr>
          <w:p w14:paraId="3449C63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124</w:t>
            </w:r>
          </w:p>
        </w:tc>
        <w:tc>
          <w:tcPr>
            <w:tcW w:w="6372" w:type="dxa"/>
            <w:tcBorders>
              <w:top w:val="nil"/>
              <w:left w:val="nil"/>
              <w:bottom w:val="nil"/>
              <w:right w:val="nil"/>
            </w:tcBorders>
          </w:tcPr>
          <w:p w14:paraId="0D45CDE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leave level crossing as soon as safe to do so</w:t>
            </w:r>
          </w:p>
        </w:tc>
        <w:tc>
          <w:tcPr>
            <w:tcW w:w="1364" w:type="dxa"/>
            <w:tcBorders>
              <w:top w:val="nil"/>
              <w:left w:val="nil"/>
              <w:bottom w:val="nil"/>
              <w:right w:val="nil"/>
            </w:tcBorders>
          </w:tcPr>
          <w:p w14:paraId="49F9BB70"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0064688" w14:textId="77777777" w:rsidTr="00911011">
        <w:trPr>
          <w:cantSplit/>
        </w:trPr>
        <w:tc>
          <w:tcPr>
            <w:tcW w:w="1049" w:type="dxa"/>
            <w:tcBorders>
              <w:top w:val="nil"/>
              <w:left w:val="nil"/>
              <w:bottom w:val="nil"/>
              <w:right w:val="nil"/>
            </w:tcBorders>
          </w:tcPr>
          <w:p w14:paraId="54CBB17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128</w:t>
            </w:r>
          </w:p>
        </w:tc>
        <w:tc>
          <w:tcPr>
            <w:tcW w:w="6372" w:type="dxa"/>
            <w:tcBorders>
              <w:top w:val="nil"/>
              <w:left w:val="nil"/>
              <w:bottom w:val="nil"/>
              <w:right w:val="nil"/>
            </w:tcBorders>
          </w:tcPr>
          <w:p w14:paraId="2562F3E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Entering blocked intersection</w:t>
            </w:r>
          </w:p>
        </w:tc>
        <w:tc>
          <w:tcPr>
            <w:tcW w:w="1364" w:type="dxa"/>
            <w:tcBorders>
              <w:top w:val="nil"/>
              <w:left w:val="nil"/>
              <w:bottom w:val="nil"/>
              <w:right w:val="nil"/>
            </w:tcBorders>
          </w:tcPr>
          <w:p w14:paraId="60329836"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CF0A564" w14:textId="77777777" w:rsidTr="00911011">
        <w:trPr>
          <w:cantSplit/>
        </w:trPr>
        <w:tc>
          <w:tcPr>
            <w:tcW w:w="1049" w:type="dxa"/>
            <w:tcBorders>
              <w:top w:val="nil"/>
              <w:left w:val="nil"/>
              <w:bottom w:val="nil"/>
              <w:right w:val="nil"/>
            </w:tcBorders>
          </w:tcPr>
          <w:p w14:paraId="5BCC8CF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128A(1)</w:t>
            </w:r>
          </w:p>
        </w:tc>
        <w:tc>
          <w:tcPr>
            <w:tcW w:w="6372" w:type="dxa"/>
            <w:tcBorders>
              <w:top w:val="nil"/>
              <w:left w:val="nil"/>
              <w:bottom w:val="nil"/>
              <w:right w:val="nil"/>
            </w:tcBorders>
          </w:tcPr>
          <w:p w14:paraId="5149F85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Entering blocked crossing</w:t>
            </w:r>
          </w:p>
        </w:tc>
        <w:tc>
          <w:tcPr>
            <w:tcW w:w="1364" w:type="dxa"/>
            <w:tcBorders>
              <w:top w:val="nil"/>
              <w:left w:val="nil"/>
              <w:bottom w:val="nil"/>
              <w:right w:val="nil"/>
            </w:tcBorders>
          </w:tcPr>
          <w:p w14:paraId="1DC80190"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365ED891" w14:textId="77777777" w:rsidTr="00911011">
        <w:trPr>
          <w:cantSplit/>
        </w:trPr>
        <w:tc>
          <w:tcPr>
            <w:tcW w:w="1049" w:type="dxa"/>
            <w:tcBorders>
              <w:top w:val="nil"/>
              <w:left w:val="nil"/>
              <w:bottom w:val="nil"/>
              <w:right w:val="nil"/>
            </w:tcBorders>
          </w:tcPr>
          <w:p w14:paraId="5705AA05"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132(2A)</w:t>
            </w:r>
          </w:p>
        </w:tc>
        <w:tc>
          <w:tcPr>
            <w:tcW w:w="6372" w:type="dxa"/>
            <w:tcBorders>
              <w:top w:val="nil"/>
              <w:left w:val="nil"/>
              <w:bottom w:val="nil"/>
              <w:right w:val="nil"/>
            </w:tcBorders>
          </w:tcPr>
          <w:p w14:paraId="0F58609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Making U</w:t>
            </w:r>
            <w:r w:rsidRPr="002A3021">
              <w:rPr>
                <w:rFonts w:eastAsia="Times New Roman"/>
                <w:i/>
                <w:iCs/>
                <w:color w:val="000000"/>
                <w:sz w:val="20"/>
                <w:szCs w:val="20"/>
                <w:lang w:eastAsia="en-AU"/>
                <w14:ligatures w14:val="standardContextual"/>
              </w:rPr>
              <w:noBreakHyphen/>
              <w:t>turn across certain dividing lines</w:t>
            </w:r>
          </w:p>
        </w:tc>
        <w:tc>
          <w:tcPr>
            <w:tcW w:w="1364" w:type="dxa"/>
            <w:tcBorders>
              <w:top w:val="nil"/>
              <w:left w:val="nil"/>
              <w:bottom w:val="nil"/>
              <w:right w:val="nil"/>
            </w:tcBorders>
          </w:tcPr>
          <w:p w14:paraId="4C7EC52B"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2F90E5CB" w14:textId="77777777" w:rsidTr="00911011">
        <w:trPr>
          <w:cantSplit/>
        </w:trPr>
        <w:tc>
          <w:tcPr>
            <w:tcW w:w="1049" w:type="dxa"/>
            <w:tcBorders>
              <w:top w:val="nil"/>
              <w:left w:val="nil"/>
              <w:bottom w:val="nil"/>
              <w:right w:val="nil"/>
            </w:tcBorders>
          </w:tcPr>
          <w:p w14:paraId="6FA6F343"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w:t>
            </w:r>
          </w:p>
        </w:tc>
        <w:tc>
          <w:tcPr>
            <w:tcW w:w="6372" w:type="dxa"/>
            <w:tcBorders>
              <w:top w:val="nil"/>
              <w:left w:val="nil"/>
              <w:bottom w:val="nil"/>
              <w:right w:val="nil"/>
            </w:tcBorders>
          </w:tcPr>
          <w:p w14:paraId="72CF4134"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wrong direction on one</w:t>
            </w:r>
            <w:r w:rsidRPr="002A3021">
              <w:rPr>
                <w:rFonts w:eastAsia="Times New Roman"/>
                <w:i/>
                <w:iCs/>
                <w:color w:val="000000"/>
                <w:sz w:val="20"/>
                <w:szCs w:val="20"/>
                <w:lang w:eastAsia="en-AU"/>
                <w14:ligatures w14:val="standardContextual"/>
              </w:rPr>
              <w:noBreakHyphen/>
              <w:t>way service road</w:t>
            </w:r>
          </w:p>
        </w:tc>
        <w:tc>
          <w:tcPr>
            <w:tcW w:w="1364" w:type="dxa"/>
            <w:tcBorders>
              <w:top w:val="nil"/>
              <w:left w:val="nil"/>
              <w:bottom w:val="nil"/>
              <w:right w:val="nil"/>
            </w:tcBorders>
          </w:tcPr>
          <w:p w14:paraId="14056F70"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D7647A" w:rsidRPr="002A3021" w14:paraId="74E5676C" w14:textId="77777777" w:rsidTr="00911011">
        <w:trPr>
          <w:cantSplit/>
        </w:trPr>
        <w:tc>
          <w:tcPr>
            <w:tcW w:w="1049" w:type="dxa"/>
            <w:tcBorders>
              <w:top w:val="nil"/>
              <w:left w:val="nil"/>
              <w:bottom w:val="nil"/>
              <w:right w:val="nil"/>
            </w:tcBorders>
          </w:tcPr>
          <w:p w14:paraId="64CC68D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141(2)</w:t>
            </w:r>
          </w:p>
        </w:tc>
        <w:tc>
          <w:tcPr>
            <w:tcW w:w="6372" w:type="dxa"/>
            <w:tcBorders>
              <w:top w:val="nil"/>
              <w:left w:val="nil"/>
              <w:bottom w:val="nil"/>
              <w:right w:val="nil"/>
            </w:tcBorders>
          </w:tcPr>
          <w:p w14:paraId="10E021D5"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overtaking to left of vehicle turning left</w:t>
            </w:r>
          </w:p>
        </w:tc>
        <w:tc>
          <w:tcPr>
            <w:tcW w:w="1364" w:type="dxa"/>
            <w:tcBorders>
              <w:top w:val="nil"/>
              <w:left w:val="nil"/>
              <w:bottom w:val="nil"/>
              <w:right w:val="nil"/>
            </w:tcBorders>
          </w:tcPr>
          <w:p w14:paraId="017EB4A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D7647A" w:rsidRPr="002A3021" w14:paraId="367547F2" w14:textId="77777777" w:rsidTr="00911011">
        <w:trPr>
          <w:cantSplit/>
        </w:trPr>
        <w:tc>
          <w:tcPr>
            <w:tcW w:w="1049" w:type="dxa"/>
            <w:tcBorders>
              <w:top w:val="nil"/>
              <w:left w:val="nil"/>
              <w:bottom w:val="nil"/>
              <w:right w:val="nil"/>
            </w:tcBorders>
          </w:tcPr>
          <w:p w14:paraId="1FBD84A3"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145</w:t>
            </w:r>
          </w:p>
        </w:tc>
        <w:tc>
          <w:tcPr>
            <w:tcW w:w="6372" w:type="dxa"/>
            <w:tcBorders>
              <w:top w:val="nil"/>
              <w:left w:val="nil"/>
              <w:bottom w:val="nil"/>
              <w:right w:val="nil"/>
            </w:tcBorders>
          </w:tcPr>
          <w:p w14:paraId="44961D8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Increasing speed while being overtaken</w:t>
            </w:r>
          </w:p>
        </w:tc>
        <w:tc>
          <w:tcPr>
            <w:tcW w:w="1364" w:type="dxa"/>
            <w:tcBorders>
              <w:top w:val="nil"/>
              <w:left w:val="nil"/>
              <w:bottom w:val="nil"/>
              <w:right w:val="nil"/>
            </w:tcBorders>
          </w:tcPr>
          <w:p w14:paraId="4DF7CCB6"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D7647A" w:rsidRPr="002A3021" w14:paraId="56D06FC1" w14:textId="77777777" w:rsidTr="00911011">
        <w:trPr>
          <w:cantSplit/>
        </w:trPr>
        <w:tc>
          <w:tcPr>
            <w:tcW w:w="1049" w:type="dxa"/>
            <w:tcBorders>
              <w:top w:val="nil"/>
              <w:left w:val="nil"/>
              <w:bottom w:val="nil"/>
              <w:right w:val="nil"/>
            </w:tcBorders>
          </w:tcPr>
          <w:p w14:paraId="4C55E2F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146(1)</w:t>
            </w:r>
          </w:p>
        </w:tc>
        <w:tc>
          <w:tcPr>
            <w:tcW w:w="6372" w:type="dxa"/>
            <w:tcBorders>
              <w:top w:val="nil"/>
              <w:left w:val="nil"/>
              <w:bottom w:val="nil"/>
              <w:right w:val="nil"/>
            </w:tcBorders>
          </w:tcPr>
          <w:p w14:paraId="15F1AFB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within single marked lane</w:t>
            </w:r>
          </w:p>
        </w:tc>
        <w:tc>
          <w:tcPr>
            <w:tcW w:w="1364" w:type="dxa"/>
            <w:tcBorders>
              <w:top w:val="nil"/>
              <w:left w:val="nil"/>
              <w:bottom w:val="nil"/>
              <w:right w:val="nil"/>
            </w:tcBorders>
          </w:tcPr>
          <w:p w14:paraId="73EFEFD3"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8E5215C" w14:textId="77777777" w:rsidTr="00911011">
        <w:trPr>
          <w:cantSplit/>
        </w:trPr>
        <w:tc>
          <w:tcPr>
            <w:tcW w:w="1049" w:type="dxa"/>
            <w:tcBorders>
              <w:top w:val="nil"/>
              <w:left w:val="nil"/>
              <w:bottom w:val="nil"/>
              <w:right w:val="nil"/>
            </w:tcBorders>
          </w:tcPr>
          <w:p w14:paraId="155C33E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146(2)</w:t>
            </w:r>
          </w:p>
        </w:tc>
        <w:tc>
          <w:tcPr>
            <w:tcW w:w="6372" w:type="dxa"/>
            <w:tcBorders>
              <w:top w:val="nil"/>
              <w:left w:val="nil"/>
              <w:bottom w:val="nil"/>
              <w:right w:val="nil"/>
            </w:tcBorders>
          </w:tcPr>
          <w:p w14:paraId="0D40EBC2"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drive within single line of traffic</w:t>
            </w:r>
          </w:p>
        </w:tc>
        <w:tc>
          <w:tcPr>
            <w:tcW w:w="1364" w:type="dxa"/>
            <w:tcBorders>
              <w:top w:val="nil"/>
              <w:left w:val="nil"/>
              <w:bottom w:val="nil"/>
              <w:right w:val="nil"/>
            </w:tcBorders>
          </w:tcPr>
          <w:p w14:paraId="0EA1311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2A1CA2C2" w14:textId="77777777" w:rsidR="00D7647A" w:rsidRDefault="00D7647A">
      <w:r>
        <w:br w:type="page"/>
      </w:r>
    </w:p>
    <w:tbl>
      <w:tblPr>
        <w:tblW w:w="0" w:type="auto"/>
        <w:tblLayout w:type="fixed"/>
        <w:tblCellMar>
          <w:left w:w="60" w:type="dxa"/>
          <w:right w:w="60" w:type="dxa"/>
        </w:tblCellMar>
        <w:tblLook w:val="0000" w:firstRow="0" w:lastRow="0" w:firstColumn="0" w:lastColumn="0" w:noHBand="0" w:noVBand="0"/>
      </w:tblPr>
      <w:tblGrid>
        <w:gridCol w:w="1049"/>
        <w:gridCol w:w="6372"/>
        <w:gridCol w:w="1364"/>
      </w:tblGrid>
      <w:tr w:rsidR="00D7647A" w:rsidRPr="002A3021" w14:paraId="223CB1D1" w14:textId="77777777" w:rsidTr="00D7647A">
        <w:trPr>
          <w:cantSplit/>
        </w:trPr>
        <w:tc>
          <w:tcPr>
            <w:tcW w:w="1049" w:type="dxa"/>
            <w:tcBorders>
              <w:top w:val="nil"/>
              <w:left w:val="nil"/>
              <w:bottom w:val="single" w:sz="4" w:space="0" w:color="auto"/>
              <w:right w:val="nil"/>
            </w:tcBorders>
          </w:tcPr>
          <w:p w14:paraId="693DB6BD" w14:textId="52106F16"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72" w:type="dxa"/>
            <w:tcBorders>
              <w:top w:val="nil"/>
              <w:left w:val="nil"/>
              <w:bottom w:val="single" w:sz="4" w:space="0" w:color="auto"/>
              <w:right w:val="nil"/>
            </w:tcBorders>
          </w:tcPr>
          <w:p w14:paraId="7F985536" w14:textId="5B827F46"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7" w:history="1">
              <w:r w:rsidRPr="002A3021">
                <w:rPr>
                  <w:rFonts w:eastAsia="Times New Roman"/>
                  <w:b/>
                  <w:bCs/>
                  <w:i/>
                  <w:iCs/>
                  <w:color w:val="000000"/>
                  <w:sz w:val="20"/>
                  <w:szCs w:val="20"/>
                  <w:lang w:eastAsia="en-AU"/>
                  <w14:ligatures w14:val="standardContextual"/>
                </w:rPr>
                <w:t>Australian Road Rules</w:t>
              </w:r>
            </w:hyperlink>
          </w:p>
        </w:tc>
        <w:tc>
          <w:tcPr>
            <w:tcW w:w="1364" w:type="dxa"/>
            <w:tcBorders>
              <w:top w:val="nil"/>
              <w:left w:val="nil"/>
              <w:bottom w:val="single" w:sz="4" w:space="0" w:color="auto"/>
              <w:right w:val="nil"/>
            </w:tcBorders>
          </w:tcPr>
          <w:p w14:paraId="1209EFAE" w14:textId="385989EE"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D7647A" w:rsidRPr="002A3021" w14:paraId="0315C9D5" w14:textId="77777777" w:rsidTr="00D7647A">
        <w:trPr>
          <w:cantSplit/>
        </w:trPr>
        <w:tc>
          <w:tcPr>
            <w:tcW w:w="1049" w:type="dxa"/>
            <w:tcBorders>
              <w:top w:val="single" w:sz="4" w:space="0" w:color="auto"/>
              <w:left w:val="nil"/>
              <w:bottom w:val="nil"/>
              <w:right w:val="nil"/>
            </w:tcBorders>
          </w:tcPr>
          <w:p w14:paraId="256178FD" w14:textId="4B05497D"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148A</w:t>
            </w:r>
          </w:p>
        </w:tc>
        <w:tc>
          <w:tcPr>
            <w:tcW w:w="6372" w:type="dxa"/>
            <w:tcBorders>
              <w:top w:val="single" w:sz="4" w:space="0" w:color="auto"/>
              <w:left w:val="nil"/>
              <w:bottom w:val="nil"/>
              <w:right w:val="nil"/>
            </w:tcBorders>
          </w:tcPr>
          <w:p w14:paraId="276B5AED" w14:textId="24E12D0F" w:rsidR="00D7647A" w:rsidRPr="002A3021" w:rsidRDefault="00D7647A" w:rsidP="00D7647A">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give way when diverging left or right within marked lane</w:t>
            </w:r>
          </w:p>
        </w:tc>
        <w:tc>
          <w:tcPr>
            <w:tcW w:w="1364" w:type="dxa"/>
            <w:tcBorders>
              <w:top w:val="single" w:sz="4" w:space="0" w:color="auto"/>
              <w:left w:val="nil"/>
              <w:bottom w:val="nil"/>
              <w:right w:val="nil"/>
            </w:tcBorders>
          </w:tcPr>
          <w:p w14:paraId="5C8C07D8" w14:textId="6D8A5A75"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9F27C33" w14:textId="77777777" w:rsidTr="00911011">
        <w:trPr>
          <w:cantSplit/>
        </w:trPr>
        <w:tc>
          <w:tcPr>
            <w:tcW w:w="1049" w:type="dxa"/>
            <w:tcBorders>
              <w:top w:val="nil"/>
              <w:left w:val="nil"/>
              <w:bottom w:val="nil"/>
              <w:right w:val="nil"/>
            </w:tcBorders>
          </w:tcPr>
          <w:p w14:paraId="0D7E5CF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151(1)</w:t>
            </w:r>
          </w:p>
        </w:tc>
        <w:tc>
          <w:tcPr>
            <w:tcW w:w="6372" w:type="dxa"/>
            <w:tcBorders>
              <w:top w:val="nil"/>
              <w:left w:val="nil"/>
              <w:bottom w:val="nil"/>
              <w:right w:val="nil"/>
            </w:tcBorders>
          </w:tcPr>
          <w:p w14:paraId="43C158D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Riding motor bike or bicycle alongside more than 1 other rider on non multi</w:t>
            </w:r>
            <w:r w:rsidRPr="002A3021">
              <w:rPr>
                <w:rFonts w:eastAsia="Times New Roman"/>
                <w:i/>
                <w:iCs/>
                <w:color w:val="000000"/>
                <w:sz w:val="20"/>
                <w:szCs w:val="20"/>
                <w:lang w:eastAsia="en-AU"/>
                <w14:ligatures w14:val="standardContextual"/>
              </w:rPr>
              <w:noBreakHyphen/>
              <w:t>lane road</w:t>
            </w:r>
          </w:p>
        </w:tc>
        <w:tc>
          <w:tcPr>
            <w:tcW w:w="1364" w:type="dxa"/>
            <w:tcBorders>
              <w:top w:val="nil"/>
              <w:left w:val="nil"/>
              <w:bottom w:val="nil"/>
              <w:right w:val="nil"/>
            </w:tcBorders>
          </w:tcPr>
          <w:p w14:paraId="6B7A9D53"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E294736" w14:textId="77777777" w:rsidTr="00911011">
        <w:trPr>
          <w:cantSplit/>
        </w:trPr>
        <w:tc>
          <w:tcPr>
            <w:tcW w:w="1049" w:type="dxa"/>
            <w:tcBorders>
              <w:top w:val="nil"/>
              <w:left w:val="nil"/>
              <w:bottom w:val="nil"/>
              <w:right w:val="nil"/>
            </w:tcBorders>
          </w:tcPr>
          <w:p w14:paraId="4693A4E4"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151(2)</w:t>
            </w:r>
          </w:p>
        </w:tc>
        <w:tc>
          <w:tcPr>
            <w:tcW w:w="6372" w:type="dxa"/>
            <w:tcBorders>
              <w:top w:val="nil"/>
              <w:left w:val="nil"/>
              <w:bottom w:val="nil"/>
              <w:right w:val="nil"/>
            </w:tcBorders>
          </w:tcPr>
          <w:p w14:paraId="29299C0A"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Riding motor bike or bicycle alongside more than 1 other rider in marked lane</w:t>
            </w:r>
          </w:p>
        </w:tc>
        <w:tc>
          <w:tcPr>
            <w:tcW w:w="1364" w:type="dxa"/>
            <w:tcBorders>
              <w:top w:val="nil"/>
              <w:left w:val="nil"/>
              <w:bottom w:val="nil"/>
              <w:right w:val="nil"/>
            </w:tcBorders>
          </w:tcPr>
          <w:p w14:paraId="3C5403F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22B111CA" w14:textId="77777777" w:rsidTr="00911011">
        <w:trPr>
          <w:cantSplit/>
        </w:trPr>
        <w:tc>
          <w:tcPr>
            <w:tcW w:w="1049" w:type="dxa"/>
            <w:tcBorders>
              <w:top w:val="nil"/>
              <w:left w:val="nil"/>
              <w:bottom w:val="nil"/>
              <w:right w:val="nil"/>
            </w:tcBorders>
          </w:tcPr>
          <w:p w14:paraId="109DE81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151(4)</w:t>
            </w:r>
          </w:p>
        </w:tc>
        <w:tc>
          <w:tcPr>
            <w:tcW w:w="6372" w:type="dxa"/>
            <w:tcBorders>
              <w:top w:val="nil"/>
              <w:left w:val="nil"/>
              <w:bottom w:val="nil"/>
              <w:right w:val="nil"/>
            </w:tcBorders>
          </w:tcPr>
          <w:p w14:paraId="14DC9AF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Riding motor bike or bicycle more than 1.5 m from another rider</w:t>
            </w:r>
          </w:p>
        </w:tc>
        <w:tc>
          <w:tcPr>
            <w:tcW w:w="1364" w:type="dxa"/>
            <w:tcBorders>
              <w:top w:val="nil"/>
              <w:left w:val="nil"/>
              <w:bottom w:val="nil"/>
              <w:right w:val="nil"/>
            </w:tcBorders>
          </w:tcPr>
          <w:p w14:paraId="6E3281F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F92AF59" w14:textId="77777777" w:rsidTr="00911011">
        <w:trPr>
          <w:cantSplit/>
        </w:trPr>
        <w:tc>
          <w:tcPr>
            <w:tcW w:w="1049" w:type="dxa"/>
            <w:tcBorders>
              <w:top w:val="nil"/>
              <w:left w:val="nil"/>
              <w:bottom w:val="nil"/>
              <w:right w:val="nil"/>
            </w:tcBorders>
          </w:tcPr>
          <w:p w14:paraId="7E042E3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151A(2)</w:t>
            </w:r>
          </w:p>
        </w:tc>
        <w:tc>
          <w:tcPr>
            <w:tcW w:w="6372" w:type="dxa"/>
            <w:tcBorders>
              <w:top w:val="nil"/>
              <w:left w:val="nil"/>
              <w:bottom w:val="nil"/>
              <w:right w:val="nil"/>
            </w:tcBorders>
          </w:tcPr>
          <w:p w14:paraId="016F2C1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Rider of motor bike engaging in unlawful lane filtering</w:t>
            </w:r>
          </w:p>
        </w:tc>
        <w:tc>
          <w:tcPr>
            <w:tcW w:w="1364" w:type="dxa"/>
            <w:tcBorders>
              <w:top w:val="nil"/>
              <w:left w:val="nil"/>
              <w:bottom w:val="nil"/>
              <w:right w:val="nil"/>
            </w:tcBorders>
          </w:tcPr>
          <w:p w14:paraId="20FC0684"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694A0F9D" w14:textId="77777777" w:rsidTr="00911011">
        <w:trPr>
          <w:cantSplit/>
        </w:trPr>
        <w:tc>
          <w:tcPr>
            <w:tcW w:w="1049" w:type="dxa"/>
            <w:tcBorders>
              <w:top w:val="nil"/>
              <w:left w:val="nil"/>
              <w:bottom w:val="nil"/>
              <w:right w:val="nil"/>
            </w:tcBorders>
          </w:tcPr>
          <w:p w14:paraId="395DD3E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155A(1)</w:t>
            </w:r>
          </w:p>
        </w:tc>
        <w:tc>
          <w:tcPr>
            <w:tcW w:w="6372" w:type="dxa"/>
            <w:tcBorders>
              <w:top w:val="nil"/>
              <w:left w:val="nil"/>
              <w:bottom w:val="nil"/>
              <w:right w:val="nil"/>
            </w:tcBorders>
          </w:tcPr>
          <w:p w14:paraId="5F97B3D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in tramway</w:t>
            </w:r>
          </w:p>
        </w:tc>
        <w:tc>
          <w:tcPr>
            <w:tcW w:w="1364" w:type="dxa"/>
            <w:tcBorders>
              <w:top w:val="nil"/>
              <w:left w:val="nil"/>
              <w:bottom w:val="nil"/>
              <w:right w:val="nil"/>
            </w:tcBorders>
          </w:tcPr>
          <w:p w14:paraId="59DC08C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20AA5C90" w14:textId="77777777" w:rsidTr="00911011">
        <w:trPr>
          <w:cantSplit/>
        </w:trPr>
        <w:tc>
          <w:tcPr>
            <w:tcW w:w="1049" w:type="dxa"/>
            <w:tcBorders>
              <w:top w:val="nil"/>
              <w:left w:val="nil"/>
              <w:bottom w:val="nil"/>
              <w:right w:val="nil"/>
            </w:tcBorders>
          </w:tcPr>
          <w:p w14:paraId="5945D8E5"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247A(1)</w:t>
            </w:r>
          </w:p>
        </w:tc>
        <w:tc>
          <w:tcPr>
            <w:tcW w:w="6372" w:type="dxa"/>
            <w:tcBorders>
              <w:top w:val="nil"/>
              <w:left w:val="nil"/>
              <w:bottom w:val="nil"/>
              <w:right w:val="nil"/>
            </w:tcBorders>
          </w:tcPr>
          <w:p w14:paraId="679EA16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failing to enter bicycle storage area correctly at intersection with red traffic light or arrow</w:t>
            </w:r>
          </w:p>
        </w:tc>
        <w:tc>
          <w:tcPr>
            <w:tcW w:w="1364" w:type="dxa"/>
            <w:tcBorders>
              <w:top w:val="nil"/>
              <w:left w:val="nil"/>
              <w:bottom w:val="nil"/>
              <w:right w:val="nil"/>
            </w:tcBorders>
          </w:tcPr>
          <w:p w14:paraId="4BA1FE6C"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D7647A" w:rsidRPr="002A3021" w14:paraId="2E26F0A1" w14:textId="77777777" w:rsidTr="00911011">
        <w:trPr>
          <w:cantSplit/>
        </w:trPr>
        <w:tc>
          <w:tcPr>
            <w:tcW w:w="1049" w:type="dxa"/>
            <w:tcBorders>
              <w:top w:val="nil"/>
              <w:left w:val="nil"/>
              <w:bottom w:val="nil"/>
              <w:right w:val="nil"/>
            </w:tcBorders>
          </w:tcPr>
          <w:p w14:paraId="42ADC64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247B(1)</w:t>
            </w:r>
          </w:p>
        </w:tc>
        <w:tc>
          <w:tcPr>
            <w:tcW w:w="6372" w:type="dxa"/>
            <w:tcBorders>
              <w:top w:val="nil"/>
              <w:left w:val="nil"/>
              <w:bottom w:val="nil"/>
              <w:right w:val="nil"/>
            </w:tcBorders>
          </w:tcPr>
          <w:p w14:paraId="1F9D1E1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failing to give way when entering bicycle storage area</w:t>
            </w:r>
          </w:p>
        </w:tc>
        <w:tc>
          <w:tcPr>
            <w:tcW w:w="1364" w:type="dxa"/>
            <w:tcBorders>
              <w:top w:val="nil"/>
              <w:left w:val="nil"/>
              <w:bottom w:val="nil"/>
              <w:right w:val="nil"/>
            </w:tcBorders>
          </w:tcPr>
          <w:p w14:paraId="6999037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7CB1AFD" w14:textId="77777777" w:rsidTr="00911011">
        <w:trPr>
          <w:cantSplit/>
        </w:trPr>
        <w:tc>
          <w:tcPr>
            <w:tcW w:w="1049" w:type="dxa"/>
            <w:tcBorders>
              <w:top w:val="nil"/>
              <w:left w:val="nil"/>
              <w:bottom w:val="nil"/>
              <w:right w:val="nil"/>
            </w:tcBorders>
          </w:tcPr>
          <w:p w14:paraId="26EA28C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247B(2)</w:t>
            </w:r>
          </w:p>
        </w:tc>
        <w:tc>
          <w:tcPr>
            <w:tcW w:w="6372" w:type="dxa"/>
            <w:tcBorders>
              <w:top w:val="nil"/>
              <w:left w:val="nil"/>
              <w:bottom w:val="nil"/>
              <w:right w:val="nil"/>
            </w:tcBorders>
          </w:tcPr>
          <w:p w14:paraId="002A4CE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in bicycle storage area on multi</w:t>
            </w:r>
            <w:r w:rsidRPr="002A3021">
              <w:rPr>
                <w:rFonts w:eastAsia="Times New Roman"/>
                <w:i/>
                <w:iCs/>
                <w:color w:val="000000"/>
                <w:sz w:val="20"/>
                <w:szCs w:val="20"/>
                <w:lang w:eastAsia="en-AU"/>
                <w14:ligatures w14:val="standardContextual"/>
              </w:rPr>
              <w:noBreakHyphen/>
              <w:t>lane road failing to give way to motor vehicles in certain lanes when traffic lights are green or yellow</w:t>
            </w:r>
          </w:p>
        </w:tc>
        <w:tc>
          <w:tcPr>
            <w:tcW w:w="1364" w:type="dxa"/>
            <w:tcBorders>
              <w:top w:val="nil"/>
              <w:left w:val="nil"/>
              <w:bottom w:val="nil"/>
              <w:right w:val="nil"/>
            </w:tcBorders>
          </w:tcPr>
          <w:p w14:paraId="71D51D1F"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074DA0C" w14:textId="77777777" w:rsidTr="00911011">
        <w:trPr>
          <w:cantSplit/>
        </w:trPr>
        <w:tc>
          <w:tcPr>
            <w:tcW w:w="1049" w:type="dxa"/>
            <w:tcBorders>
              <w:top w:val="nil"/>
              <w:left w:val="nil"/>
              <w:bottom w:val="nil"/>
              <w:right w:val="nil"/>
            </w:tcBorders>
          </w:tcPr>
          <w:p w14:paraId="65D70CF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260(1)</w:t>
            </w:r>
          </w:p>
        </w:tc>
        <w:tc>
          <w:tcPr>
            <w:tcW w:w="6372" w:type="dxa"/>
            <w:tcBorders>
              <w:top w:val="nil"/>
              <w:left w:val="nil"/>
              <w:bottom w:val="nil"/>
              <w:right w:val="nil"/>
            </w:tcBorders>
          </w:tcPr>
          <w:p w14:paraId="061A1EC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crossing contrary to red bicycle crossing light</w:t>
            </w:r>
          </w:p>
        </w:tc>
        <w:tc>
          <w:tcPr>
            <w:tcW w:w="1364" w:type="dxa"/>
            <w:tcBorders>
              <w:top w:val="nil"/>
              <w:left w:val="nil"/>
              <w:bottom w:val="nil"/>
              <w:right w:val="nil"/>
            </w:tcBorders>
          </w:tcPr>
          <w:p w14:paraId="331B7C1B"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3CDE5FFD" w14:textId="77777777" w:rsidTr="00911011">
        <w:trPr>
          <w:cantSplit/>
        </w:trPr>
        <w:tc>
          <w:tcPr>
            <w:tcW w:w="1049" w:type="dxa"/>
            <w:tcBorders>
              <w:top w:val="nil"/>
              <w:left w:val="nil"/>
              <w:bottom w:val="nil"/>
              <w:right w:val="nil"/>
            </w:tcBorders>
          </w:tcPr>
          <w:p w14:paraId="5DDDC7B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261(1)</w:t>
            </w:r>
          </w:p>
        </w:tc>
        <w:tc>
          <w:tcPr>
            <w:tcW w:w="6372" w:type="dxa"/>
            <w:tcBorders>
              <w:top w:val="nil"/>
              <w:left w:val="nil"/>
              <w:bottom w:val="nil"/>
              <w:right w:val="nil"/>
            </w:tcBorders>
          </w:tcPr>
          <w:p w14:paraId="20438AA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crossing contrary to yellow bicycle crossing light</w:t>
            </w:r>
          </w:p>
        </w:tc>
        <w:tc>
          <w:tcPr>
            <w:tcW w:w="1364" w:type="dxa"/>
            <w:tcBorders>
              <w:top w:val="nil"/>
              <w:left w:val="nil"/>
              <w:bottom w:val="nil"/>
              <w:right w:val="nil"/>
            </w:tcBorders>
          </w:tcPr>
          <w:p w14:paraId="5A2AF3F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5E20B82" w14:textId="77777777" w:rsidTr="00911011">
        <w:trPr>
          <w:cantSplit/>
        </w:trPr>
        <w:tc>
          <w:tcPr>
            <w:tcW w:w="1049" w:type="dxa"/>
            <w:tcBorders>
              <w:top w:val="nil"/>
              <w:left w:val="nil"/>
              <w:bottom w:val="nil"/>
              <w:right w:val="nil"/>
            </w:tcBorders>
          </w:tcPr>
          <w:p w14:paraId="3A15402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262(1)</w:t>
            </w:r>
          </w:p>
        </w:tc>
        <w:tc>
          <w:tcPr>
            <w:tcW w:w="6372" w:type="dxa"/>
            <w:tcBorders>
              <w:top w:val="nil"/>
              <w:left w:val="nil"/>
              <w:bottom w:val="nil"/>
              <w:right w:val="nil"/>
            </w:tcBorders>
          </w:tcPr>
          <w:p w14:paraId="5C4B10C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Bicycle rider crossing at an intersection or other place with bicycle crossing lights and traffic lights—failing to cross in accordance with rule</w:t>
            </w:r>
          </w:p>
        </w:tc>
        <w:tc>
          <w:tcPr>
            <w:tcW w:w="1364" w:type="dxa"/>
            <w:tcBorders>
              <w:top w:val="nil"/>
              <w:left w:val="nil"/>
              <w:bottom w:val="nil"/>
              <w:right w:val="nil"/>
            </w:tcBorders>
          </w:tcPr>
          <w:p w14:paraId="46D0733F"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120C9ED" w14:textId="77777777" w:rsidTr="00911011">
        <w:trPr>
          <w:cantSplit/>
        </w:trPr>
        <w:tc>
          <w:tcPr>
            <w:tcW w:w="1049" w:type="dxa"/>
            <w:tcBorders>
              <w:top w:val="nil"/>
              <w:left w:val="nil"/>
              <w:bottom w:val="nil"/>
              <w:right w:val="nil"/>
            </w:tcBorders>
          </w:tcPr>
          <w:p w14:paraId="0BE048F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265(1)</w:t>
            </w:r>
          </w:p>
        </w:tc>
        <w:tc>
          <w:tcPr>
            <w:tcW w:w="6372" w:type="dxa"/>
            <w:tcBorders>
              <w:top w:val="nil"/>
              <w:left w:val="nil"/>
              <w:bottom w:val="nil"/>
              <w:right w:val="nil"/>
            </w:tcBorders>
          </w:tcPr>
          <w:p w14:paraId="365C74F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wear approved seatbelt, and be seated, in accordance with rule—passenger 16 years old, or older</w:t>
            </w:r>
          </w:p>
        </w:tc>
        <w:tc>
          <w:tcPr>
            <w:tcW w:w="1364" w:type="dxa"/>
            <w:tcBorders>
              <w:top w:val="nil"/>
              <w:left w:val="nil"/>
              <w:bottom w:val="nil"/>
              <w:right w:val="nil"/>
            </w:tcBorders>
          </w:tcPr>
          <w:p w14:paraId="1400E36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6B702564" w14:textId="77777777" w:rsidTr="00911011">
        <w:trPr>
          <w:cantSplit/>
        </w:trPr>
        <w:tc>
          <w:tcPr>
            <w:tcW w:w="1049" w:type="dxa"/>
            <w:tcBorders>
              <w:top w:val="nil"/>
              <w:left w:val="nil"/>
              <w:bottom w:val="nil"/>
              <w:right w:val="nil"/>
            </w:tcBorders>
          </w:tcPr>
          <w:p w14:paraId="61EF44F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265(3)</w:t>
            </w:r>
          </w:p>
        </w:tc>
        <w:tc>
          <w:tcPr>
            <w:tcW w:w="6372" w:type="dxa"/>
            <w:tcBorders>
              <w:top w:val="nil"/>
              <w:left w:val="nil"/>
              <w:bottom w:val="nil"/>
              <w:right w:val="nil"/>
            </w:tcBorders>
          </w:tcPr>
          <w:p w14:paraId="3335969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ensure passengers 16 years old or older are wearing approved seatbelts, and are seated, in accordance with rule—</w:t>
            </w:r>
          </w:p>
        </w:tc>
        <w:tc>
          <w:tcPr>
            <w:tcW w:w="1364" w:type="dxa"/>
            <w:tcBorders>
              <w:top w:val="nil"/>
              <w:left w:val="nil"/>
              <w:bottom w:val="nil"/>
              <w:right w:val="nil"/>
            </w:tcBorders>
          </w:tcPr>
          <w:p w14:paraId="29DF0283"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D7647A" w:rsidRPr="002A3021" w14:paraId="26BB268A" w14:textId="77777777" w:rsidTr="00911011">
        <w:trPr>
          <w:cantSplit/>
        </w:trPr>
        <w:tc>
          <w:tcPr>
            <w:tcW w:w="1049" w:type="dxa"/>
            <w:tcBorders>
              <w:top w:val="nil"/>
              <w:left w:val="nil"/>
              <w:bottom w:val="nil"/>
              <w:right w:val="nil"/>
            </w:tcBorders>
          </w:tcPr>
          <w:p w14:paraId="48576A4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5C9631A3" w14:textId="77777777" w:rsidR="00D7647A" w:rsidRPr="002A3021" w:rsidRDefault="00D7647A" w:rsidP="00D7647A">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failure in relation to 1 such passenger</w:t>
            </w:r>
          </w:p>
        </w:tc>
        <w:tc>
          <w:tcPr>
            <w:tcW w:w="1364" w:type="dxa"/>
            <w:tcBorders>
              <w:top w:val="nil"/>
              <w:left w:val="nil"/>
              <w:bottom w:val="nil"/>
              <w:right w:val="nil"/>
            </w:tcBorders>
          </w:tcPr>
          <w:p w14:paraId="08FB2B5C"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3449F5BE" w14:textId="77777777" w:rsidTr="00911011">
        <w:trPr>
          <w:cantSplit/>
        </w:trPr>
        <w:tc>
          <w:tcPr>
            <w:tcW w:w="1049" w:type="dxa"/>
            <w:tcBorders>
              <w:top w:val="nil"/>
              <w:left w:val="nil"/>
              <w:bottom w:val="nil"/>
              <w:right w:val="nil"/>
            </w:tcBorders>
          </w:tcPr>
          <w:p w14:paraId="74C245D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5BFEFEEF" w14:textId="77777777" w:rsidR="00D7647A" w:rsidRPr="002A3021" w:rsidRDefault="00D7647A" w:rsidP="00D7647A">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failure in relation to more than 1 such passenger</w:t>
            </w:r>
          </w:p>
        </w:tc>
        <w:tc>
          <w:tcPr>
            <w:tcW w:w="1364" w:type="dxa"/>
            <w:tcBorders>
              <w:top w:val="nil"/>
              <w:left w:val="nil"/>
              <w:bottom w:val="nil"/>
              <w:right w:val="nil"/>
            </w:tcBorders>
          </w:tcPr>
          <w:p w14:paraId="6086F3F5"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D7647A" w:rsidRPr="002A3021" w14:paraId="02251A46" w14:textId="77777777" w:rsidTr="00911011">
        <w:trPr>
          <w:cantSplit/>
        </w:trPr>
        <w:tc>
          <w:tcPr>
            <w:tcW w:w="1049" w:type="dxa"/>
            <w:tcBorders>
              <w:top w:val="nil"/>
              <w:left w:val="nil"/>
              <w:bottom w:val="nil"/>
              <w:right w:val="nil"/>
            </w:tcBorders>
          </w:tcPr>
          <w:p w14:paraId="1465378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266(1)</w:t>
            </w:r>
          </w:p>
        </w:tc>
        <w:tc>
          <w:tcPr>
            <w:tcW w:w="6372" w:type="dxa"/>
            <w:tcBorders>
              <w:top w:val="nil"/>
              <w:left w:val="nil"/>
              <w:bottom w:val="nil"/>
              <w:right w:val="nil"/>
            </w:tcBorders>
          </w:tcPr>
          <w:p w14:paraId="0A1087D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ensure passengers under 16 years old are restrained and seated in accordance with rule</w:t>
            </w:r>
            <w:r w:rsidRPr="002A3021">
              <w:rPr>
                <w:rFonts w:eastAsia="Times New Roman"/>
                <w:color w:val="000000"/>
                <w:sz w:val="20"/>
                <w:szCs w:val="20"/>
                <w:lang w:eastAsia="en-AU"/>
                <w14:ligatures w14:val="standardContextual"/>
              </w:rPr>
              <w:t>—</w:t>
            </w:r>
          </w:p>
        </w:tc>
        <w:tc>
          <w:tcPr>
            <w:tcW w:w="1364" w:type="dxa"/>
            <w:tcBorders>
              <w:top w:val="nil"/>
              <w:left w:val="nil"/>
              <w:bottom w:val="nil"/>
              <w:right w:val="nil"/>
            </w:tcBorders>
          </w:tcPr>
          <w:p w14:paraId="373833B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D7647A" w:rsidRPr="002A3021" w14:paraId="4CEE64E6" w14:textId="77777777" w:rsidTr="00911011">
        <w:trPr>
          <w:cantSplit/>
        </w:trPr>
        <w:tc>
          <w:tcPr>
            <w:tcW w:w="1049" w:type="dxa"/>
            <w:tcBorders>
              <w:top w:val="nil"/>
              <w:left w:val="nil"/>
              <w:bottom w:val="nil"/>
              <w:right w:val="nil"/>
            </w:tcBorders>
          </w:tcPr>
          <w:p w14:paraId="646DAFA4"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5EF819F8" w14:textId="77777777" w:rsidR="00D7647A" w:rsidRPr="002A3021" w:rsidRDefault="00D7647A" w:rsidP="00D7647A">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driver who is a person referred to in section 98BI(1)(a)(i) or (ii) of the </w:t>
            </w:r>
            <w:hyperlink r:id="rId98" w:history="1">
              <w:r w:rsidRPr="002A3021">
                <w:rPr>
                  <w:rFonts w:eastAsia="Times New Roman"/>
                  <w:i/>
                  <w:iCs/>
                  <w:color w:val="000000"/>
                  <w:sz w:val="20"/>
                  <w:szCs w:val="20"/>
                  <w:lang w:eastAsia="en-AU"/>
                  <w14:ligatures w14:val="standardContextual"/>
                </w:rPr>
                <w:t>Motor Vehicles Act 1959</w:t>
              </w:r>
            </w:hyperlink>
          </w:p>
        </w:tc>
        <w:tc>
          <w:tcPr>
            <w:tcW w:w="1364" w:type="dxa"/>
            <w:tcBorders>
              <w:top w:val="nil"/>
              <w:left w:val="nil"/>
              <w:bottom w:val="nil"/>
              <w:right w:val="nil"/>
            </w:tcBorders>
          </w:tcPr>
          <w:p w14:paraId="6F092571"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see clause 2</w:t>
            </w:r>
          </w:p>
        </w:tc>
      </w:tr>
      <w:tr w:rsidR="00D7647A" w:rsidRPr="002A3021" w14:paraId="368B83D8" w14:textId="77777777" w:rsidTr="00911011">
        <w:trPr>
          <w:cantSplit/>
        </w:trPr>
        <w:tc>
          <w:tcPr>
            <w:tcW w:w="1049" w:type="dxa"/>
            <w:tcBorders>
              <w:top w:val="nil"/>
              <w:left w:val="nil"/>
              <w:bottom w:val="nil"/>
              <w:right w:val="nil"/>
            </w:tcBorders>
          </w:tcPr>
          <w:p w14:paraId="70A1A75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049DA201" w14:textId="77777777" w:rsidR="00D7647A" w:rsidRPr="002A3021" w:rsidRDefault="00D7647A" w:rsidP="00D7647A">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all other drivers—</w:t>
            </w:r>
          </w:p>
        </w:tc>
        <w:tc>
          <w:tcPr>
            <w:tcW w:w="1364" w:type="dxa"/>
            <w:tcBorders>
              <w:top w:val="nil"/>
              <w:left w:val="nil"/>
              <w:bottom w:val="nil"/>
              <w:right w:val="nil"/>
            </w:tcBorders>
          </w:tcPr>
          <w:p w14:paraId="2E5CBB55"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D7647A" w:rsidRPr="002A3021" w14:paraId="785479B0" w14:textId="77777777" w:rsidTr="00911011">
        <w:trPr>
          <w:cantSplit/>
        </w:trPr>
        <w:tc>
          <w:tcPr>
            <w:tcW w:w="1049" w:type="dxa"/>
            <w:tcBorders>
              <w:top w:val="nil"/>
              <w:left w:val="nil"/>
              <w:bottom w:val="nil"/>
              <w:right w:val="nil"/>
            </w:tcBorders>
          </w:tcPr>
          <w:p w14:paraId="214DD8C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42810B13" w14:textId="77777777" w:rsidR="00D7647A" w:rsidRPr="002A3021" w:rsidRDefault="00D7647A" w:rsidP="00D7647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(a)</w:t>
            </w:r>
            <w:r w:rsidRPr="002A3021">
              <w:rPr>
                <w:rFonts w:eastAsia="Times New Roman"/>
                <w:color w:val="000000"/>
                <w:sz w:val="20"/>
                <w:szCs w:val="20"/>
                <w:lang w:eastAsia="en-AU"/>
                <w14:ligatures w14:val="standardContextual"/>
              </w:rPr>
              <w:tab/>
              <w:t>failure in relation to 1 such passenger</w:t>
            </w:r>
          </w:p>
        </w:tc>
        <w:tc>
          <w:tcPr>
            <w:tcW w:w="1364" w:type="dxa"/>
            <w:tcBorders>
              <w:top w:val="nil"/>
              <w:left w:val="nil"/>
              <w:bottom w:val="nil"/>
              <w:right w:val="nil"/>
            </w:tcBorders>
          </w:tcPr>
          <w:p w14:paraId="6B92C31F"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D61B6A5" w14:textId="77777777" w:rsidTr="00911011">
        <w:trPr>
          <w:cantSplit/>
        </w:trPr>
        <w:tc>
          <w:tcPr>
            <w:tcW w:w="1049" w:type="dxa"/>
            <w:tcBorders>
              <w:top w:val="nil"/>
              <w:left w:val="nil"/>
              <w:bottom w:val="nil"/>
              <w:right w:val="nil"/>
            </w:tcBorders>
          </w:tcPr>
          <w:p w14:paraId="5BCD57D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2" w:type="dxa"/>
            <w:tcBorders>
              <w:top w:val="nil"/>
              <w:left w:val="nil"/>
              <w:bottom w:val="nil"/>
              <w:right w:val="nil"/>
            </w:tcBorders>
          </w:tcPr>
          <w:p w14:paraId="6FAF932B" w14:textId="77777777" w:rsidR="00D7647A" w:rsidRPr="002A3021" w:rsidRDefault="00D7647A" w:rsidP="00D7647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b/>
              <w:t>(b)</w:t>
            </w:r>
            <w:r w:rsidRPr="002A3021">
              <w:rPr>
                <w:rFonts w:eastAsia="Times New Roman"/>
                <w:color w:val="000000"/>
                <w:sz w:val="20"/>
                <w:szCs w:val="20"/>
                <w:lang w:eastAsia="en-AU"/>
                <w14:ligatures w14:val="standardContextual"/>
              </w:rPr>
              <w:tab/>
              <w:t>failure in relation to more than 1 such passenger</w:t>
            </w:r>
          </w:p>
        </w:tc>
        <w:tc>
          <w:tcPr>
            <w:tcW w:w="1364" w:type="dxa"/>
            <w:tcBorders>
              <w:top w:val="nil"/>
              <w:left w:val="nil"/>
              <w:bottom w:val="nil"/>
              <w:right w:val="nil"/>
            </w:tcBorders>
          </w:tcPr>
          <w:p w14:paraId="3DADBE13"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D7647A" w:rsidRPr="002A3021" w14:paraId="2B99057C" w14:textId="77777777" w:rsidTr="00911011">
        <w:trPr>
          <w:cantSplit/>
        </w:trPr>
        <w:tc>
          <w:tcPr>
            <w:tcW w:w="1049" w:type="dxa"/>
            <w:tcBorders>
              <w:top w:val="nil"/>
              <w:left w:val="nil"/>
              <w:bottom w:val="nil"/>
              <w:right w:val="nil"/>
            </w:tcBorders>
          </w:tcPr>
          <w:p w14:paraId="38A8A65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268(1)</w:t>
            </w:r>
          </w:p>
        </w:tc>
        <w:tc>
          <w:tcPr>
            <w:tcW w:w="6372" w:type="dxa"/>
            <w:tcBorders>
              <w:top w:val="nil"/>
              <w:left w:val="nil"/>
              <w:bottom w:val="nil"/>
              <w:right w:val="nil"/>
            </w:tcBorders>
          </w:tcPr>
          <w:p w14:paraId="39014B1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Travelling in or on part of motor vehicle not designed primarily for carriage of passengers or goods</w:t>
            </w:r>
          </w:p>
        </w:tc>
        <w:tc>
          <w:tcPr>
            <w:tcW w:w="1364" w:type="dxa"/>
            <w:tcBorders>
              <w:top w:val="nil"/>
              <w:left w:val="nil"/>
              <w:bottom w:val="nil"/>
              <w:right w:val="nil"/>
            </w:tcBorders>
          </w:tcPr>
          <w:p w14:paraId="01AB81A3"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CB61E02" w14:textId="77777777" w:rsidTr="00911011">
        <w:trPr>
          <w:cantSplit/>
        </w:trPr>
        <w:tc>
          <w:tcPr>
            <w:tcW w:w="1049" w:type="dxa"/>
            <w:tcBorders>
              <w:top w:val="nil"/>
              <w:left w:val="nil"/>
              <w:bottom w:val="nil"/>
              <w:right w:val="nil"/>
            </w:tcBorders>
          </w:tcPr>
          <w:p w14:paraId="2874338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268(2)</w:t>
            </w:r>
          </w:p>
        </w:tc>
        <w:tc>
          <w:tcPr>
            <w:tcW w:w="6372" w:type="dxa"/>
            <w:tcBorders>
              <w:top w:val="nil"/>
              <w:left w:val="nil"/>
              <w:bottom w:val="nil"/>
              <w:right w:val="nil"/>
            </w:tcBorders>
          </w:tcPr>
          <w:p w14:paraId="0CE9857B"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Travelling in or on part of motor vehicle designed primarily for carriage of goods unless enclosed and seatbelt fitted</w:t>
            </w:r>
          </w:p>
        </w:tc>
        <w:tc>
          <w:tcPr>
            <w:tcW w:w="1364" w:type="dxa"/>
            <w:tcBorders>
              <w:top w:val="nil"/>
              <w:left w:val="nil"/>
              <w:bottom w:val="nil"/>
              <w:right w:val="nil"/>
            </w:tcBorders>
          </w:tcPr>
          <w:p w14:paraId="75B28570"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711138B" w14:textId="77777777" w:rsidTr="00911011">
        <w:trPr>
          <w:cantSplit/>
        </w:trPr>
        <w:tc>
          <w:tcPr>
            <w:tcW w:w="1049" w:type="dxa"/>
            <w:tcBorders>
              <w:top w:val="nil"/>
              <w:left w:val="nil"/>
              <w:bottom w:val="nil"/>
              <w:right w:val="nil"/>
            </w:tcBorders>
          </w:tcPr>
          <w:p w14:paraId="51AA2A8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268(3)</w:t>
            </w:r>
          </w:p>
        </w:tc>
        <w:tc>
          <w:tcPr>
            <w:tcW w:w="6372" w:type="dxa"/>
            <w:tcBorders>
              <w:top w:val="nil"/>
              <w:left w:val="nil"/>
              <w:bottom w:val="nil"/>
              <w:right w:val="nil"/>
            </w:tcBorders>
          </w:tcPr>
          <w:p w14:paraId="082EB49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Travelling in or on motor vehicle with part of body outside window or door</w:t>
            </w:r>
          </w:p>
        </w:tc>
        <w:tc>
          <w:tcPr>
            <w:tcW w:w="1364" w:type="dxa"/>
            <w:tcBorders>
              <w:top w:val="nil"/>
              <w:left w:val="nil"/>
              <w:bottom w:val="nil"/>
              <w:right w:val="nil"/>
            </w:tcBorders>
          </w:tcPr>
          <w:p w14:paraId="02D3EBFE"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F3321FB" w14:textId="77777777" w:rsidTr="00911011">
        <w:trPr>
          <w:cantSplit/>
        </w:trPr>
        <w:tc>
          <w:tcPr>
            <w:tcW w:w="1049" w:type="dxa"/>
            <w:tcBorders>
              <w:top w:val="nil"/>
              <w:left w:val="nil"/>
              <w:bottom w:val="nil"/>
              <w:right w:val="nil"/>
            </w:tcBorders>
          </w:tcPr>
          <w:p w14:paraId="05276BA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268(4)</w:t>
            </w:r>
          </w:p>
        </w:tc>
        <w:tc>
          <w:tcPr>
            <w:tcW w:w="6372" w:type="dxa"/>
            <w:tcBorders>
              <w:top w:val="nil"/>
              <w:left w:val="nil"/>
              <w:bottom w:val="nil"/>
              <w:right w:val="nil"/>
            </w:tcBorders>
          </w:tcPr>
          <w:p w14:paraId="545AB4D2"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with part of passenger's body outside window or door</w:t>
            </w:r>
          </w:p>
        </w:tc>
        <w:tc>
          <w:tcPr>
            <w:tcW w:w="1364" w:type="dxa"/>
            <w:tcBorders>
              <w:top w:val="nil"/>
              <w:left w:val="nil"/>
              <w:bottom w:val="nil"/>
              <w:right w:val="nil"/>
            </w:tcBorders>
          </w:tcPr>
          <w:p w14:paraId="36D7C87D"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21BD5A3" w14:textId="77777777" w:rsidTr="00911011">
        <w:trPr>
          <w:cantSplit/>
        </w:trPr>
        <w:tc>
          <w:tcPr>
            <w:tcW w:w="1049" w:type="dxa"/>
            <w:tcBorders>
              <w:top w:val="nil"/>
              <w:left w:val="nil"/>
              <w:bottom w:val="nil"/>
              <w:right w:val="nil"/>
            </w:tcBorders>
          </w:tcPr>
          <w:p w14:paraId="37AB40F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268(4A)</w:t>
            </w:r>
          </w:p>
        </w:tc>
        <w:tc>
          <w:tcPr>
            <w:tcW w:w="6372" w:type="dxa"/>
            <w:tcBorders>
              <w:top w:val="nil"/>
              <w:left w:val="nil"/>
              <w:bottom w:val="nil"/>
              <w:right w:val="nil"/>
            </w:tcBorders>
          </w:tcPr>
          <w:p w14:paraId="3FE953E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with passenger in or on part of vehicle not designed primarily for carriage of passengers or goods</w:t>
            </w:r>
          </w:p>
        </w:tc>
        <w:tc>
          <w:tcPr>
            <w:tcW w:w="1364" w:type="dxa"/>
            <w:tcBorders>
              <w:top w:val="nil"/>
              <w:left w:val="nil"/>
              <w:bottom w:val="nil"/>
              <w:right w:val="nil"/>
            </w:tcBorders>
          </w:tcPr>
          <w:p w14:paraId="7545640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26DA1A47" w14:textId="77777777" w:rsidTr="00911011">
        <w:trPr>
          <w:cantSplit/>
        </w:trPr>
        <w:tc>
          <w:tcPr>
            <w:tcW w:w="1049" w:type="dxa"/>
            <w:tcBorders>
              <w:top w:val="nil"/>
              <w:left w:val="nil"/>
              <w:bottom w:val="nil"/>
              <w:right w:val="nil"/>
            </w:tcBorders>
          </w:tcPr>
          <w:p w14:paraId="00DF8764"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268(4B)</w:t>
            </w:r>
          </w:p>
        </w:tc>
        <w:tc>
          <w:tcPr>
            <w:tcW w:w="6372" w:type="dxa"/>
            <w:tcBorders>
              <w:top w:val="nil"/>
              <w:left w:val="nil"/>
              <w:bottom w:val="nil"/>
              <w:right w:val="nil"/>
            </w:tcBorders>
          </w:tcPr>
          <w:p w14:paraId="1A59AB2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with passenger in or on part of vehicle designed primarily for carriage of goods unless enclosed and seatbelt fitted</w:t>
            </w:r>
          </w:p>
        </w:tc>
        <w:tc>
          <w:tcPr>
            <w:tcW w:w="1364" w:type="dxa"/>
            <w:tcBorders>
              <w:top w:val="nil"/>
              <w:left w:val="nil"/>
              <w:bottom w:val="nil"/>
              <w:right w:val="nil"/>
            </w:tcBorders>
          </w:tcPr>
          <w:p w14:paraId="7D07948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5F36C1FE" w14:textId="77777777" w:rsidR="00D7647A" w:rsidRDefault="00D7647A">
      <w:r>
        <w:br w:type="page"/>
      </w:r>
    </w:p>
    <w:tbl>
      <w:tblPr>
        <w:tblW w:w="0" w:type="auto"/>
        <w:tblLayout w:type="fixed"/>
        <w:tblCellMar>
          <w:left w:w="60" w:type="dxa"/>
          <w:right w:w="60" w:type="dxa"/>
        </w:tblCellMar>
        <w:tblLook w:val="0000" w:firstRow="0" w:lastRow="0" w:firstColumn="0" w:lastColumn="0" w:noHBand="0" w:noVBand="0"/>
      </w:tblPr>
      <w:tblGrid>
        <w:gridCol w:w="1049"/>
        <w:gridCol w:w="6372"/>
        <w:gridCol w:w="1364"/>
      </w:tblGrid>
      <w:tr w:rsidR="00D7647A" w:rsidRPr="002A3021" w14:paraId="38A6ECC0" w14:textId="77777777" w:rsidTr="00D7647A">
        <w:trPr>
          <w:cantSplit/>
        </w:trPr>
        <w:tc>
          <w:tcPr>
            <w:tcW w:w="1049" w:type="dxa"/>
            <w:tcBorders>
              <w:top w:val="nil"/>
              <w:left w:val="nil"/>
              <w:bottom w:val="single" w:sz="4" w:space="0" w:color="auto"/>
              <w:right w:val="nil"/>
            </w:tcBorders>
          </w:tcPr>
          <w:p w14:paraId="182EDF00" w14:textId="132C14CC"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Rule</w:t>
            </w:r>
          </w:p>
        </w:tc>
        <w:tc>
          <w:tcPr>
            <w:tcW w:w="6372" w:type="dxa"/>
            <w:tcBorders>
              <w:top w:val="nil"/>
              <w:left w:val="nil"/>
              <w:bottom w:val="single" w:sz="4" w:space="0" w:color="auto"/>
              <w:right w:val="nil"/>
            </w:tcBorders>
          </w:tcPr>
          <w:p w14:paraId="592DC83C" w14:textId="1D2687F0"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99" w:history="1">
              <w:r w:rsidRPr="002A3021">
                <w:rPr>
                  <w:rFonts w:eastAsia="Times New Roman"/>
                  <w:b/>
                  <w:bCs/>
                  <w:i/>
                  <w:iCs/>
                  <w:color w:val="000000"/>
                  <w:sz w:val="20"/>
                  <w:szCs w:val="20"/>
                  <w:lang w:eastAsia="en-AU"/>
                  <w14:ligatures w14:val="standardContextual"/>
                </w:rPr>
                <w:t>Australian Road Rules</w:t>
              </w:r>
            </w:hyperlink>
          </w:p>
        </w:tc>
        <w:tc>
          <w:tcPr>
            <w:tcW w:w="1364" w:type="dxa"/>
            <w:tcBorders>
              <w:top w:val="nil"/>
              <w:left w:val="nil"/>
              <w:bottom w:val="single" w:sz="4" w:space="0" w:color="auto"/>
              <w:right w:val="nil"/>
            </w:tcBorders>
          </w:tcPr>
          <w:p w14:paraId="4C677957" w14:textId="6A39D402"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D7647A" w:rsidRPr="002A3021" w14:paraId="695153F6" w14:textId="77777777" w:rsidTr="00D7647A">
        <w:trPr>
          <w:cantSplit/>
        </w:trPr>
        <w:tc>
          <w:tcPr>
            <w:tcW w:w="1049" w:type="dxa"/>
            <w:tcBorders>
              <w:top w:val="single" w:sz="4" w:space="0" w:color="auto"/>
              <w:left w:val="nil"/>
              <w:bottom w:val="nil"/>
              <w:right w:val="nil"/>
            </w:tcBorders>
          </w:tcPr>
          <w:p w14:paraId="2D681425" w14:textId="39FA9C5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269(3)</w:t>
            </w:r>
          </w:p>
        </w:tc>
        <w:tc>
          <w:tcPr>
            <w:tcW w:w="6372" w:type="dxa"/>
            <w:tcBorders>
              <w:top w:val="single" w:sz="4" w:space="0" w:color="auto"/>
              <w:left w:val="nil"/>
              <w:bottom w:val="nil"/>
              <w:right w:val="nil"/>
            </w:tcBorders>
          </w:tcPr>
          <w:p w14:paraId="0CD99FFE" w14:textId="5E4C8F11" w:rsidR="00D7647A" w:rsidRPr="002A3021" w:rsidRDefault="00D7647A" w:rsidP="00D7647A">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Creating hazard by opening door of vehicle, leaving door open etc</w:t>
            </w:r>
          </w:p>
        </w:tc>
        <w:tc>
          <w:tcPr>
            <w:tcW w:w="1364" w:type="dxa"/>
            <w:tcBorders>
              <w:top w:val="single" w:sz="4" w:space="0" w:color="auto"/>
              <w:left w:val="nil"/>
              <w:bottom w:val="nil"/>
              <w:right w:val="nil"/>
            </w:tcBorders>
          </w:tcPr>
          <w:p w14:paraId="13DB90DE" w14:textId="3A197ABC"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D24DED6" w14:textId="77777777" w:rsidTr="00911011">
        <w:trPr>
          <w:cantSplit/>
        </w:trPr>
        <w:tc>
          <w:tcPr>
            <w:tcW w:w="1049" w:type="dxa"/>
            <w:tcBorders>
              <w:top w:val="nil"/>
              <w:left w:val="nil"/>
              <w:bottom w:val="nil"/>
              <w:right w:val="nil"/>
            </w:tcBorders>
          </w:tcPr>
          <w:p w14:paraId="76D55C0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270(2)</w:t>
            </w:r>
          </w:p>
        </w:tc>
        <w:tc>
          <w:tcPr>
            <w:tcW w:w="6372" w:type="dxa"/>
            <w:tcBorders>
              <w:top w:val="nil"/>
              <w:left w:val="nil"/>
              <w:bottom w:val="nil"/>
              <w:right w:val="nil"/>
            </w:tcBorders>
          </w:tcPr>
          <w:p w14:paraId="7238C0C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Passenger on motor bike failing to wear helmet</w:t>
            </w:r>
          </w:p>
        </w:tc>
        <w:tc>
          <w:tcPr>
            <w:tcW w:w="1364" w:type="dxa"/>
            <w:tcBorders>
              <w:top w:val="nil"/>
              <w:left w:val="nil"/>
              <w:bottom w:val="nil"/>
              <w:right w:val="nil"/>
            </w:tcBorders>
          </w:tcPr>
          <w:p w14:paraId="06476CC8"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10C0027C" w14:textId="77777777" w:rsidTr="00911011">
        <w:trPr>
          <w:cantSplit/>
        </w:trPr>
        <w:tc>
          <w:tcPr>
            <w:tcW w:w="1049" w:type="dxa"/>
            <w:tcBorders>
              <w:top w:val="nil"/>
              <w:left w:val="nil"/>
              <w:bottom w:val="nil"/>
              <w:right w:val="nil"/>
            </w:tcBorders>
          </w:tcPr>
          <w:p w14:paraId="0A85C21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274</w:t>
            </w:r>
          </w:p>
        </w:tc>
        <w:tc>
          <w:tcPr>
            <w:tcW w:w="6372" w:type="dxa"/>
            <w:tcBorders>
              <w:top w:val="nil"/>
              <w:left w:val="nil"/>
              <w:bottom w:val="nil"/>
              <w:right w:val="nil"/>
            </w:tcBorders>
          </w:tcPr>
          <w:p w14:paraId="48729F4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red T light—tram driver</w:t>
            </w:r>
          </w:p>
        </w:tc>
        <w:tc>
          <w:tcPr>
            <w:tcW w:w="1364" w:type="dxa"/>
            <w:tcBorders>
              <w:top w:val="nil"/>
              <w:left w:val="nil"/>
              <w:bottom w:val="nil"/>
              <w:right w:val="nil"/>
            </w:tcBorders>
          </w:tcPr>
          <w:p w14:paraId="70553ADC"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465F364" w14:textId="77777777" w:rsidTr="00911011">
        <w:trPr>
          <w:cantSplit/>
        </w:trPr>
        <w:tc>
          <w:tcPr>
            <w:tcW w:w="1049" w:type="dxa"/>
            <w:tcBorders>
              <w:top w:val="nil"/>
              <w:left w:val="nil"/>
              <w:bottom w:val="nil"/>
              <w:right w:val="nil"/>
            </w:tcBorders>
          </w:tcPr>
          <w:p w14:paraId="312C0C90"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275</w:t>
            </w:r>
          </w:p>
        </w:tc>
        <w:tc>
          <w:tcPr>
            <w:tcW w:w="6372" w:type="dxa"/>
            <w:tcBorders>
              <w:top w:val="nil"/>
              <w:left w:val="nil"/>
              <w:bottom w:val="nil"/>
              <w:right w:val="nil"/>
            </w:tcBorders>
          </w:tcPr>
          <w:p w14:paraId="01EACF0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stop for yellow T light—tram driver</w:t>
            </w:r>
          </w:p>
        </w:tc>
        <w:tc>
          <w:tcPr>
            <w:tcW w:w="1364" w:type="dxa"/>
            <w:tcBorders>
              <w:top w:val="nil"/>
              <w:left w:val="nil"/>
              <w:bottom w:val="nil"/>
              <w:right w:val="nil"/>
            </w:tcBorders>
          </w:tcPr>
          <w:p w14:paraId="2814E36F"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6F0C6E57" w14:textId="77777777" w:rsidTr="00911011">
        <w:trPr>
          <w:cantSplit/>
        </w:trPr>
        <w:tc>
          <w:tcPr>
            <w:tcW w:w="1049" w:type="dxa"/>
            <w:tcBorders>
              <w:top w:val="nil"/>
              <w:left w:val="nil"/>
              <w:bottom w:val="nil"/>
              <w:right w:val="nil"/>
            </w:tcBorders>
          </w:tcPr>
          <w:p w14:paraId="16371A8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277</w:t>
            </w:r>
          </w:p>
        </w:tc>
        <w:tc>
          <w:tcPr>
            <w:tcW w:w="6372" w:type="dxa"/>
            <w:tcBorders>
              <w:top w:val="nil"/>
              <w:left w:val="nil"/>
              <w:bottom w:val="nil"/>
              <w:right w:val="nil"/>
            </w:tcBorders>
          </w:tcPr>
          <w:p w14:paraId="5B0230D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after stopping for red or yellow T light—tram driver</w:t>
            </w:r>
          </w:p>
        </w:tc>
        <w:tc>
          <w:tcPr>
            <w:tcW w:w="1364" w:type="dxa"/>
            <w:tcBorders>
              <w:top w:val="nil"/>
              <w:left w:val="nil"/>
              <w:bottom w:val="nil"/>
              <w:right w:val="nil"/>
            </w:tcBorders>
          </w:tcPr>
          <w:p w14:paraId="7E17B875"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563ECB8" w14:textId="77777777" w:rsidTr="00911011">
        <w:trPr>
          <w:cantSplit/>
        </w:trPr>
        <w:tc>
          <w:tcPr>
            <w:tcW w:w="1049" w:type="dxa"/>
            <w:tcBorders>
              <w:top w:val="nil"/>
              <w:left w:val="nil"/>
              <w:bottom w:val="nil"/>
              <w:right w:val="nil"/>
            </w:tcBorders>
          </w:tcPr>
          <w:p w14:paraId="4AF1F9F7"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279(2)</w:t>
            </w:r>
          </w:p>
        </w:tc>
        <w:tc>
          <w:tcPr>
            <w:tcW w:w="6372" w:type="dxa"/>
            <w:tcBorders>
              <w:top w:val="nil"/>
              <w:left w:val="nil"/>
              <w:bottom w:val="nil"/>
              <w:right w:val="nil"/>
            </w:tcBorders>
          </w:tcPr>
          <w:p w14:paraId="400F4409"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when white T light or white traffic arrow no longer showing—tram driver proceeding before entering intersection</w:t>
            </w:r>
          </w:p>
        </w:tc>
        <w:tc>
          <w:tcPr>
            <w:tcW w:w="1364" w:type="dxa"/>
            <w:tcBorders>
              <w:top w:val="nil"/>
              <w:left w:val="nil"/>
              <w:bottom w:val="nil"/>
              <w:right w:val="nil"/>
            </w:tcBorders>
          </w:tcPr>
          <w:p w14:paraId="24B1D5CD"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88BFA68" w14:textId="77777777" w:rsidTr="00911011">
        <w:trPr>
          <w:cantSplit/>
        </w:trPr>
        <w:tc>
          <w:tcPr>
            <w:tcW w:w="1049" w:type="dxa"/>
            <w:tcBorders>
              <w:top w:val="nil"/>
              <w:left w:val="nil"/>
              <w:bottom w:val="nil"/>
              <w:right w:val="nil"/>
            </w:tcBorders>
          </w:tcPr>
          <w:p w14:paraId="757D211D"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279(3)</w:t>
            </w:r>
          </w:p>
        </w:tc>
        <w:tc>
          <w:tcPr>
            <w:tcW w:w="6372" w:type="dxa"/>
            <w:tcBorders>
              <w:top w:val="nil"/>
              <w:left w:val="nil"/>
              <w:bottom w:val="nil"/>
              <w:right w:val="nil"/>
            </w:tcBorders>
          </w:tcPr>
          <w:p w14:paraId="5C6C404E"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Proceeding when white T light or white traffic arrow no longer showing—tram driver failing to leave intersection</w:t>
            </w:r>
          </w:p>
        </w:tc>
        <w:tc>
          <w:tcPr>
            <w:tcW w:w="1364" w:type="dxa"/>
            <w:tcBorders>
              <w:top w:val="nil"/>
              <w:left w:val="nil"/>
              <w:bottom w:val="nil"/>
              <w:right w:val="nil"/>
            </w:tcBorders>
          </w:tcPr>
          <w:p w14:paraId="3FEBEA65"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26798E70" w14:textId="77777777" w:rsidTr="00911011">
        <w:trPr>
          <w:cantSplit/>
        </w:trPr>
        <w:tc>
          <w:tcPr>
            <w:tcW w:w="1049" w:type="dxa"/>
            <w:tcBorders>
              <w:top w:val="nil"/>
              <w:left w:val="nil"/>
              <w:bottom w:val="nil"/>
              <w:right w:val="nil"/>
            </w:tcBorders>
          </w:tcPr>
          <w:p w14:paraId="0D126032"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287(1)</w:t>
            </w:r>
          </w:p>
        </w:tc>
        <w:tc>
          <w:tcPr>
            <w:tcW w:w="6372" w:type="dxa"/>
            <w:tcBorders>
              <w:top w:val="nil"/>
              <w:left w:val="nil"/>
              <w:bottom w:val="nil"/>
              <w:right w:val="nil"/>
            </w:tcBorders>
          </w:tcPr>
          <w:p w14:paraId="15010DAC"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Driver involved in crash failing to give required particulars</w:t>
            </w:r>
          </w:p>
        </w:tc>
        <w:tc>
          <w:tcPr>
            <w:tcW w:w="1364" w:type="dxa"/>
            <w:tcBorders>
              <w:top w:val="nil"/>
              <w:left w:val="nil"/>
              <w:bottom w:val="nil"/>
              <w:right w:val="nil"/>
            </w:tcBorders>
          </w:tcPr>
          <w:p w14:paraId="6476391A"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762B3912" w14:textId="77777777" w:rsidTr="00911011">
        <w:trPr>
          <w:cantSplit/>
        </w:trPr>
        <w:tc>
          <w:tcPr>
            <w:tcW w:w="1049" w:type="dxa"/>
            <w:tcBorders>
              <w:top w:val="nil"/>
              <w:left w:val="nil"/>
              <w:bottom w:val="nil"/>
              <w:right w:val="nil"/>
            </w:tcBorders>
          </w:tcPr>
          <w:p w14:paraId="205A190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288(1)</w:t>
            </w:r>
          </w:p>
        </w:tc>
        <w:tc>
          <w:tcPr>
            <w:tcW w:w="6372" w:type="dxa"/>
            <w:tcBorders>
              <w:top w:val="nil"/>
              <w:left w:val="nil"/>
              <w:bottom w:val="nil"/>
              <w:right w:val="nil"/>
            </w:tcBorders>
          </w:tcPr>
          <w:p w14:paraId="3B801B08"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on path</w:t>
            </w:r>
          </w:p>
        </w:tc>
        <w:tc>
          <w:tcPr>
            <w:tcW w:w="1364" w:type="dxa"/>
            <w:tcBorders>
              <w:top w:val="nil"/>
              <w:left w:val="nil"/>
              <w:bottom w:val="nil"/>
              <w:right w:val="nil"/>
            </w:tcBorders>
          </w:tcPr>
          <w:p w14:paraId="3C99DFCB"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03DA0F9E" w14:textId="77777777" w:rsidTr="00911011">
        <w:trPr>
          <w:cantSplit/>
        </w:trPr>
        <w:tc>
          <w:tcPr>
            <w:tcW w:w="1049" w:type="dxa"/>
            <w:tcBorders>
              <w:top w:val="nil"/>
              <w:left w:val="nil"/>
              <w:bottom w:val="nil"/>
              <w:right w:val="nil"/>
            </w:tcBorders>
          </w:tcPr>
          <w:p w14:paraId="73396EE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289(1)</w:t>
            </w:r>
          </w:p>
        </w:tc>
        <w:tc>
          <w:tcPr>
            <w:tcW w:w="6372" w:type="dxa"/>
            <w:tcBorders>
              <w:top w:val="nil"/>
              <w:left w:val="nil"/>
              <w:bottom w:val="nil"/>
              <w:right w:val="nil"/>
            </w:tcBorders>
          </w:tcPr>
          <w:p w14:paraId="7D61A95A"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on nature strip</w:t>
            </w:r>
          </w:p>
        </w:tc>
        <w:tc>
          <w:tcPr>
            <w:tcW w:w="1364" w:type="dxa"/>
            <w:tcBorders>
              <w:top w:val="nil"/>
              <w:left w:val="nil"/>
              <w:bottom w:val="nil"/>
              <w:right w:val="nil"/>
            </w:tcBorders>
          </w:tcPr>
          <w:p w14:paraId="26AADC81"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41A6050A" w14:textId="77777777" w:rsidTr="00911011">
        <w:trPr>
          <w:cantSplit/>
        </w:trPr>
        <w:tc>
          <w:tcPr>
            <w:tcW w:w="1049" w:type="dxa"/>
            <w:tcBorders>
              <w:top w:val="nil"/>
              <w:left w:val="nil"/>
              <w:bottom w:val="nil"/>
              <w:right w:val="nil"/>
            </w:tcBorders>
          </w:tcPr>
          <w:p w14:paraId="5F95D033"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292(1)</w:t>
            </w:r>
          </w:p>
        </w:tc>
        <w:tc>
          <w:tcPr>
            <w:tcW w:w="6372" w:type="dxa"/>
            <w:tcBorders>
              <w:top w:val="nil"/>
              <w:left w:val="nil"/>
              <w:bottom w:val="nil"/>
              <w:right w:val="nil"/>
            </w:tcBorders>
          </w:tcPr>
          <w:p w14:paraId="11613063"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towing vehicle carrying insecure or overhanging load</w:t>
            </w:r>
          </w:p>
        </w:tc>
        <w:tc>
          <w:tcPr>
            <w:tcW w:w="1364" w:type="dxa"/>
            <w:tcBorders>
              <w:top w:val="nil"/>
              <w:left w:val="nil"/>
              <w:bottom w:val="nil"/>
              <w:right w:val="nil"/>
            </w:tcBorders>
          </w:tcPr>
          <w:p w14:paraId="588A031B"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F9C958C" w14:textId="77777777" w:rsidTr="00911011">
        <w:trPr>
          <w:cantSplit/>
        </w:trPr>
        <w:tc>
          <w:tcPr>
            <w:tcW w:w="1049" w:type="dxa"/>
            <w:tcBorders>
              <w:top w:val="nil"/>
              <w:left w:val="nil"/>
              <w:bottom w:val="nil"/>
              <w:right w:val="nil"/>
            </w:tcBorders>
          </w:tcPr>
          <w:p w14:paraId="191C2F7F"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292A(1)</w:t>
            </w:r>
          </w:p>
        </w:tc>
        <w:tc>
          <w:tcPr>
            <w:tcW w:w="6372" w:type="dxa"/>
            <w:tcBorders>
              <w:top w:val="nil"/>
              <w:left w:val="nil"/>
              <w:bottom w:val="nil"/>
              <w:right w:val="nil"/>
            </w:tcBorders>
          </w:tcPr>
          <w:p w14:paraId="6956CCF6"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towing vehicle carrying load without required load restraint system</w:t>
            </w:r>
          </w:p>
        </w:tc>
        <w:tc>
          <w:tcPr>
            <w:tcW w:w="1364" w:type="dxa"/>
            <w:tcBorders>
              <w:top w:val="nil"/>
              <w:left w:val="nil"/>
              <w:bottom w:val="nil"/>
              <w:right w:val="nil"/>
            </w:tcBorders>
          </w:tcPr>
          <w:p w14:paraId="4201F18D"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D7647A" w:rsidRPr="002A3021" w14:paraId="5CF5422E" w14:textId="77777777" w:rsidTr="00911011">
        <w:trPr>
          <w:cantSplit/>
        </w:trPr>
        <w:tc>
          <w:tcPr>
            <w:tcW w:w="1049" w:type="dxa"/>
            <w:tcBorders>
              <w:top w:val="nil"/>
              <w:left w:val="nil"/>
              <w:bottom w:val="nil"/>
              <w:right w:val="nil"/>
            </w:tcBorders>
          </w:tcPr>
          <w:p w14:paraId="15220835"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298</w:t>
            </w:r>
          </w:p>
        </w:tc>
        <w:tc>
          <w:tcPr>
            <w:tcW w:w="6372" w:type="dxa"/>
            <w:tcBorders>
              <w:top w:val="nil"/>
              <w:left w:val="nil"/>
              <w:bottom w:val="nil"/>
              <w:right w:val="nil"/>
            </w:tcBorders>
          </w:tcPr>
          <w:p w14:paraId="55A1A5C1" w14:textId="77777777" w:rsidR="00D7647A" w:rsidRPr="002A3021" w:rsidRDefault="00D7647A" w:rsidP="00D7647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towing trailer with person in trailer</w:t>
            </w:r>
          </w:p>
        </w:tc>
        <w:tc>
          <w:tcPr>
            <w:tcW w:w="1364" w:type="dxa"/>
            <w:tcBorders>
              <w:top w:val="nil"/>
              <w:left w:val="nil"/>
              <w:bottom w:val="nil"/>
              <w:right w:val="nil"/>
            </w:tcBorders>
          </w:tcPr>
          <w:p w14:paraId="3560C869" w14:textId="77777777" w:rsidR="00D7647A" w:rsidRPr="002A3021" w:rsidRDefault="00D7647A" w:rsidP="00D7647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47F8B6F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1" w:name="Elkera_Print_TOC194"/>
      <w:bookmarkStart w:id="402" w:name="Elkera_Print_BK194"/>
      <w:r w:rsidRPr="002A3021">
        <w:rPr>
          <w:rFonts w:eastAsia="Times New Roman"/>
          <w:b/>
          <w:bCs/>
          <w:color w:val="000000"/>
          <w:sz w:val="26"/>
          <w:szCs w:val="26"/>
          <w:lang w:eastAsia="en-AU"/>
          <w14:ligatures w14:val="standardContextual"/>
        </w:rPr>
        <w:t xml:space="preserve">6—Offences against </w:t>
      </w:r>
      <w:r w:rsidRPr="002A3021">
        <w:rPr>
          <w:rFonts w:eastAsia="Times New Roman"/>
          <w:b/>
          <w:bCs/>
          <w:i/>
          <w:iCs/>
          <w:color w:val="000000"/>
          <w:sz w:val="26"/>
          <w:szCs w:val="26"/>
          <w:lang w:eastAsia="en-AU"/>
          <w14:ligatures w14:val="standardContextual"/>
        </w:rPr>
        <w:t>Road Traffic (Road Rules—Ancillary and Miscellaneous Provisions) Regulations 2014</w:t>
      </w:r>
      <w:bookmarkEnd w:id="401"/>
      <w:bookmarkEnd w:id="402"/>
    </w:p>
    <w:p w14:paraId="2B906D9D"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066"/>
        <w:gridCol w:w="6376"/>
        <w:gridCol w:w="1343"/>
      </w:tblGrid>
      <w:tr w:rsidR="002A3021" w:rsidRPr="002A3021" w14:paraId="7298DE81" w14:textId="77777777" w:rsidTr="00911011">
        <w:trPr>
          <w:cantSplit/>
          <w:tblHeader/>
        </w:trPr>
        <w:tc>
          <w:tcPr>
            <w:tcW w:w="1066" w:type="dxa"/>
            <w:tcBorders>
              <w:top w:val="nil"/>
              <w:left w:val="nil"/>
              <w:bottom w:val="single" w:sz="4" w:space="0" w:color="auto"/>
              <w:right w:val="nil"/>
            </w:tcBorders>
          </w:tcPr>
          <w:p w14:paraId="5EC9DCE0"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Regulation</w:t>
            </w:r>
          </w:p>
        </w:tc>
        <w:tc>
          <w:tcPr>
            <w:tcW w:w="6376" w:type="dxa"/>
            <w:tcBorders>
              <w:top w:val="nil"/>
              <w:left w:val="nil"/>
              <w:bottom w:val="single" w:sz="4" w:space="0" w:color="auto"/>
              <w:right w:val="nil"/>
            </w:tcBorders>
          </w:tcPr>
          <w:p w14:paraId="012B6A1A"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0" w:history="1">
              <w:r w:rsidRPr="002A3021">
                <w:rPr>
                  <w:rFonts w:eastAsia="Times New Roman"/>
                  <w:b/>
                  <w:bCs/>
                  <w:i/>
                  <w:iCs/>
                  <w:color w:val="000000"/>
                  <w:sz w:val="20"/>
                  <w:szCs w:val="20"/>
                  <w:lang w:eastAsia="en-AU"/>
                  <w14:ligatures w14:val="standardContextual"/>
                </w:rPr>
                <w:t>Road Traffic (Road Rules—Ancillary and Miscellaneous Provisions) Regulations 2014</w:t>
              </w:r>
            </w:hyperlink>
          </w:p>
        </w:tc>
        <w:tc>
          <w:tcPr>
            <w:tcW w:w="1343" w:type="dxa"/>
            <w:tcBorders>
              <w:top w:val="nil"/>
              <w:left w:val="nil"/>
              <w:bottom w:val="single" w:sz="4" w:space="0" w:color="auto"/>
              <w:right w:val="nil"/>
            </w:tcBorders>
          </w:tcPr>
          <w:p w14:paraId="79920A0F"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39693CBB" w14:textId="77777777" w:rsidTr="00911011">
        <w:trPr>
          <w:cantSplit/>
        </w:trPr>
        <w:tc>
          <w:tcPr>
            <w:tcW w:w="1066" w:type="dxa"/>
            <w:tcBorders>
              <w:top w:val="single" w:sz="4" w:space="0" w:color="auto"/>
              <w:left w:val="nil"/>
              <w:bottom w:val="nil"/>
              <w:right w:val="nil"/>
            </w:tcBorders>
          </w:tcPr>
          <w:p w14:paraId="6D9CE662"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w:t>
            </w:r>
          </w:p>
        </w:tc>
        <w:tc>
          <w:tcPr>
            <w:tcW w:w="6376" w:type="dxa"/>
            <w:tcBorders>
              <w:top w:val="single" w:sz="4" w:space="0" w:color="auto"/>
              <w:left w:val="nil"/>
              <w:bottom w:val="nil"/>
              <w:right w:val="nil"/>
            </w:tcBorders>
          </w:tcPr>
          <w:p w14:paraId="373F309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while driving road train</w:t>
            </w:r>
          </w:p>
        </w:tc>
        <w:tc>
          <w:tcPr>
            <w:tcW w:w="1343" w:type="dxa"/>
            <w:tcBorders>
              <w:top w:val="single" w:sz="4" w:space="0" w:color="auto"/>
              <w:left w:val="nil"/>
              <w:bottom w:val="nil"/>
              <w:right w:val="nil"/>
            </w:tcBorders>
          </w:tcPr>
          <w:p w14:paraId="0E38F059"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15F9915" w14:textId="77777777" w:rsidTr="00911011">
        <w:trPr>
          <w:cantSplit/>
        </w:trPr>
        <w:tc>
          <w:tcPr>
            <w:tcW w:w="1066" w:type="dxa"/>
            <w:tcBorders>
              <w:top w:val="nil"/>
              <w:left w:val="nil"/>
              <w:bottom w:val="nil"/>
              <w:right w:val="nil"/>
            </w:tcBorders>
          </w:tcPr>
          <w:p w14:paraId="154BA6D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124BE52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prescribed speed limit (road trains)—</w:t>
            </w:r>
          </w:p>
        </w:tc>
        <w:tc>
          <w:tcPr>
            <w:tcW w:w="1343" w:type="dxa"/>
            <w:tcBorders>
              <w:top w:val="nil"/>
              <w:left w:val="nil"/>
              <w:bottom w:val="nil"/>
              <w:right w:val="nil"/>
            </w:tcBorders>
          </w:tcPr>
          <w:p w14:paraId="04A24C8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321CC9BA" w14:textId="77777777" w:rsidTr="00911011">
        <w:trPr>
          <w:cantSplit/>
        </w:trPr>
        <w:tc>
          <w:tcPr>
            <w:tcW w:w="1066" w:type="dxa"/>
            <w:tcBorders>
              <w:top w:val="nil"/>
              <w:left w:val="nil"/>
              <w:bottom w:val="nil"/>
              <w:right w:val="nil"/>
            </w:tcBorders>
          </w:tcPr>
          <w:p w14:paraId="2B80AEF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02C6237D"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43" w:type="dxa"/>
            <w:tcBorders>
              <w:top w:val="nil"/>
              <w:left w:val="nil"/>
              <w:bottom w:val="nil"/>
              <w:right w:val="nil"/>
            </w:tcBorders>
          </w:tcPr>
          <w:p w14:paraId="064C246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0ADDF37E" w14:textId="77777777" w:rsidTr="00911011">
        <w:trPr>
          <w:cantSplit/>
        </w:trPr>
        <w:tc>
          <w:tcPr>
            <w:tcW w:w="1066" w:type="dxa"/>
            <w:tcBorders>
              <w:top w:val="nil"/>
              <w:left w:val="nil"/>
              <w:bottom w:val="nil"/>
              <w:right w:val="nil"/>
            </w:tcBorders>
          </w:tcPr>
          <w:p w14:paraId="1573B44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12D8294E"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43" w:type="dxa"/>
            <w:tcBorders>
              <w:top w:val="nil"/>
              <w:left w:val="nil"/>
              <w:bottom w:val="nil"/>
              <w:right w:val="nil"/>
            </w:tcBorders>
          </w:tcPr>
          <w:p w14:paraId="09B549D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1A6F14BE" w14:textId="77777777" w:rsidTr="00911011">
        <w:trPr>
          <w:cantSplit/>
        </w:trPr>
        <w:tc>
          <w:tcPr>
            <w:tcW w:w="1066" w:type="dxa"/>
            <w:tcBorders>
              <w:top w:val="nil"/>
              <w:left w:val="nil"/>
              <w:bottom w:val="nil"/>
              <w:right w:val="nil"/>
            </w:tcBorders>
          </w:tcPr>
          <w:p w14:paraId="7FD2DDB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57906266"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43" w:type="dxa"/>
            <w:tcBorders>
              <w:top w:val="nil"/>
              <w:left w:val="nil"/>
              <w:bottom w:val="nil"/>
              <w:right w:val="nil"/>
            </w:tcBorders>
          </w:tcPr>
          <w:p w14:paraId="591BCC0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A3021" w:rsidRPr="002A3021" w14:paraId="6418CC1C" w14:textId="77777777" w:rsidTr="00911011">
        <w:trPr>
          <w:cantSplit/>
        </w:trPr>
        <w:tc>
          <w:tcPr>
            <w:tcW w:w="1066" w:type="dxa"/>
            <w:tcBorders>
              <w:top w:val="nil"/>
              <w:left w:val="nil"/>
              <w:bottom w:val="nil"/>
              <w:right w:val="nil"/>
            </w:tcBorders>
          </w:tcPr>
          <w:p w14:paraId="327B7B9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46411D08"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43" w:type="dxa"/>
            <w:tcBorders>
              <w:top w:val="nil"/>
              <w:left w:val="nil"/>
              <w:bottom w:val="nil"/>
              <w:right w:val="nil"/>
            </w:tcBorders>
          </w:tcPr>
          <w:p w14:paraId="4B039931"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2A3021" w:rsidRPr="002A3021" w14:paraId="3AD7E087" w14:textId="77777777" w:rsidTr="00911011">
        <w:trPr>
          <w:cantSplit/>
        </w:trPr>
        <w:tc>
          <w:tcPr>
            <w:tcW w:w="1066" w:type="dxa"/>
            <w:tcBorders>
              <w:top w:val="nil"/>
              <w:left w:val="nil"/>
              <w:bottom w:val="nil"/>
              <w:right w:val="nil"/>
            </w:tcBorders>
          </w:tcPr>
          <w:p w14:paraId="265B29D0"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8(2)</w:t>
            </w:r>
          </w:p>
        </w:tc>
        <w:tc>
          <w:tcPr>
            <w:tcW w:w="6376" w:type="dxa"/>
            <w:tcBorders>
              <w:top w:val="nil"/>
              <w:left w:val="nil"/>
              <w:bottom w:val="nil"/>
              <w:right w:val="nil"/>
            </w:tcBorders>
          </w:tcPr>
          <w:p w14:paraId="125FC9A9"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while driving road train</w:t>
            </w:r>
          </w:p>
        </w:tc>
        <w:tc>
          <w:tcPr>
            <w:tcW w:w="1343" w:type="dxa"/>
            <w:tcBorders>
              <w:top w:val="nil"/>
              <w:left w:val="nil"/>
              <w:bottom w:val="nil"/>
              <w:right w:val="nil"/>
            </w:tcBorders>
          </w:tcPr>
          <w:p w14:paraId="7FC81B9A"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26BB98CF" w14:textId="77777777" w:rsidTr="00911011">
        <w:trPr>
          <w:cantSplit/>
        </w:trPr>
        <w:tc>
          <w:tcPr>
            <w:tcW w:w="1066" w:type="dxa"/>
            <w:tcBorders>
              <w:top w:val="nil"/>
              <w:left w:val="nil"/>
              <w:bottom w:val="nil"/>
              <w:right w:val="nil"/>
            </w:tcBorders>
          </w:tcPr>
          <w:p w14:paraId="06CD5F0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0FC2798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40 kph speed limit—</w:t>
            </w:r>
          </w:p>
        </w:tc>
        <w:tc>
          <w:tcPr>
            <w:tcW w:w="1343" w:type="dxa"/>
            <w:tcBorders>
              <w:top w:val="nil"/>
              <w:left w:val="nil"/>
              <w:bottom w:val="nil"/>
              <w:right w:val="nil"/>
            </w:tcBorders>
          </w:tcPr>
          <w:p w14:paraId="32BD643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54FB4466" w14:textId="77777777" w:rsidTr="00911011">
        <w:trPr>
          <w:cantSplit/>
        </w:trPr>
        <w:tc>
          <w:tcPr>
            <w:tcW w:w="1066" w:type="dxa"/>
            <w:tcBorders>
              <w:top w:val="nil"/>
              <w:left w:val="nil"/>
              <w:bottom w:val="nil"/>
              <w:right w:val="nil"/>
            </w:tcBorders>
          </w:tcPr>
          <w:p w14:paraId="05E2017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4A5ED18D"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43" w:type="dxa"/>
            <w:tcBorders>
              <w:top w:val="nil"/>
              <w:left w:val="nil"/>
              <w:bottom w:val="nil"/>
              <w:right w:val="nil"/>
            </w:tcBorders>
          </w:tcPr>
          <w:p w14:paraId="3299E53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47F59D5F" w14:textId="77777777" w:rsidTr="00911011">
        <w:trPr>
          <w:cantSplit/>
        </w:trPr>
        <w:tc>
          <w:tcPr>
            <w:tcW w:w="1066" w:type="dxa"/>
            <w:tcBorders>
              <w:top w:val="nil"/>
              <w:left w:val="nil"/>
              <w:bottom w:val="nil"/>
              <w:right w:val="nil"/>
            </w:tcBorders>
          </w:tcPr>
          <w:p w14:paraId="467BD99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18575C36"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43" w:type="dxa"/>
            <w:tcBorders>
              <w:top w:val="nil"/>
              <w:left w:val="nil"/>
              <w:bottom w:val="nil"/>
              <w:right w:val="nil"/>
            </w:tcBorders>
          </w:tcPr>
          <w:p w14:paraId="6A793BB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071DCA80" w14:textId="77777777" w:rsidTr="00911011">
        <w:trPr>
          <w:cantSplit/>
        </w:trPr>
        <w:tc>
          <w:tcPr>
            <w:tcW w:w="1066" w:type="dxa"/>
            <w:tcBorders>
              <w:top w:val="nil"/>
              <w:left w:val="nil"/>
              <w:bottom w:val="nil"/>
              <w:right w:val="nil"/>
            </w:tcBorders>
          </w:tcPr>
          <w:p w14:paraId="34A32BF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72D97BA3"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43" w:type="dxa"/>
            <w:tcBorders>
              <w:top w:val="nil"/>
              <w:left w:val="nil"/>
              <w:bottom w:val="nil"/>
              <w:right w:val="nil"/>
            </w:tcBorders>
          </w:tcPr>
          <w:p w14:paraId="1C691A2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2A3021" w:rsidRPr="002A3021" w14:paraId="61E8D863" w14:textId="77777777" w:rsidTr="00911011">
        <w:trPr>
          <w:cantSplit/>
        </w:trPr>
        <w:tc>
          <w:tcPr>
            <w:tcW w:w="1066" w:type="dxa"/>
            <w:tcBorders>
              <w:top w:val="nil"/>
              <w:left w:val="nil"/>
              <w:bottom w:val="nil"/>
              <w:right w:val="nil"/>
            </w:tcBorders>
          </w:tcPr>
          <w:p w14:paraId="1CEE530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7DF4657F"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43" w:type="dxa"/>
            <w:tcBorders>
              <w:top w:val="nil"/>
              <w:left w:val="nil"/>
              <w:bottom w:val="nil"/>
              <w:right w:val="nil"/>
            </w:tcBorders>
          </w:tcPr>
          <w:p w14:paraId="23E6A23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2A3021" w:rsidRPr="002A3021" w14:paraId="44065B33" w14:textId="77777777" w:rsidTr="00911011">
        <w:trPr>
          <w:cantSplit/>
        </w:trPr>
        <w:tc>
          <w:tcPr>
            <w:tcW w:w="1066" w:type="dxa"/>
            <w:tcBorders>
              <w:top w:val="nil"/>
              <w:left w:val="nil"/>
              <w:bottom w:val="nil"/>
              <w:right w:val="nil"/>
            </w:tcBorders>
          </w:tcPr>
          <w:p w14:paraId="3CC23CB6"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8A(1)</w:t>
            </w:r>
          </w:p>
        </w:tc>
        <w:tc>
          <w:tcPr>
            <w:tcW w:w="6376" w:type="dxa"/>
            <w:tcBorders>
              <w:top w:val="nil"/>
              <w:left w:val="nil"/>
              <w:bottom w:val="nil"/>
              <w:right w:val="nil"/>
            </w:tcBorders>
          </w:tcPr>
          <w:p w14:paraId="029FD76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Speeding while driving on beach</w:t>
            </w:r>
          </w:p>
        </w:tc>
        <w:tc>
          <w:tcPr>
            <w:tcW w:w="1343" w:type="dxa"/>
            <w:tcBorders>
              <w:top w:val="nil"/>
              <w:left w:val="nil"/>
              <w:bottom w:val="nil"/>
              <w:right w:val="nil"/>
            </w:tcBorders>
          </w:tcPr>
          <w:p w14:paraId="49184B1C"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67BFA72C" w14:textId="77777777" w:rsidTr="00911011">
        <w:trPr>
          <w:cantSplit/>
        </w:trPr>
        <w:tc>
          <w:tcPr>
            <w:tcW w:w="1066" w:type="dxa"/>
            <w:tcBorders>
              <w:top w:val="nil"/>
              <w:left w:val="nil"/>
              <w:bottom w:val="nil"/>
              <w:right w:val="nil"/>
            </w:tcBorders>
          </w:tcPr>
          <w:p w14:paraId="42E57ED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793F79E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Exceeding a prescribed speed limit (beaches)—</w:t>
            </w:r>
          </w:p>
        </w:tc>
        <w:tc>
          <w:tcPr>
            <w:tcW w:w="1343" w:type="dxa"/>
            <w:tcBorders>
              <w:top w:val="nil"/>
              <w:left w:val="nil"/>
              <w:bottom w:val="nil"/>
              <w:right w:val="nil"/>
            </w:tcBorders>
          </w:tcPr>
          <w:p w14:paraId="1334B2E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0F249468" w14:textId="77777777" w:rsidTr="00911011">
        <w:trPr>
          <w:cantSplit/>
        </w:trPr>
        <w:tc>
          <w:tcPr>
            <w:tcW w:w="1066" w:type="dxa"/>
            <w:tcBorders>
              <w:top w:val="nil"/>
              <w:left w:val="nil"/>
              <w:bottom w:val="nil"/>
              <w:right w:val="nil"/>
            </w:tcBorders>
          </w:tcPr>
          <w:p w14:paraId="3E7D34B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645C9311"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less than 10 kph</w:t>
            </w:r>
          </w:p>
        </w:tc>
        <w:tc>
          <w:tcPr>
            <w:tcW w:w="1343" w:type="dxa"/>
            <w:tcBorders>
              <w:top w:val="nil"/>
              <w:left w:val="nil"/>
              <w:bottom w:val="nil"/>
              <w:right w:val="nil"/>
            </w:tcBorders>
          </w:tcPr>
          <w:p w14:paraId="4E82E8AA"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5321222F" w14:textId="77777777" w:rsidTr="00911011">
        <w:trPr>
          <w:cantSplit/>
        </w:trPr>
        <w:tc>
          <w:tcPr>
            <w:tcW w:w="1066" w:type="dxa"/>
            <w:tcBorders>
              <w:top w:val="nil"/>
              <w:left w:val="nil"/>
              <w:bottom w:val="nil"/>
              <w:right w:val="nil"/>
            </w:tcBorders>
          </w:tcPr>
          <w:p w14:paraId="095E1AA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7A31F77F"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10 kph or more but less than 20 kph</w:t>
            </w:r>
          </w:p>
        </w:tc>
        <w:tc>
          <w:tcPr>
            <w:tcW w:w="1343" w:type="dxa"/>
            <w:tcBorders>
              <w:top w:val="nil"/>
              <w:left w:val="nil"/>
              <w:bottom w:val="nil"/>
              <w:right w:val="nil"/>
            </w:tcBorders>
          </w:tcPr>
          <w:p w14:paraId="69F0BA1F"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58EEBFFE" w14:textId="77777777" w:rsidR="00E25A7D" w:rsidRDefault="00E25A7D">
      <w:r>
        <w:br w:type="page"/>
      </w:r>
    </w:p>
    <w:tbl>
      <w:tblPr>
        <w:tblW w:w="0" w:type="auto"/>
        <w:tblLayout w:type="fixed"/>
        <w:tblCellMar>
          <w:left w:w="60" w:type="dxa"/>
          <w:right w:w="60" w:type="dxa"/>
        </w:tblCellMar>
        <w:tblLook w:val="0000" w:firstRow="0" w:lastRow="0" w:firstColumn="0" w:lastColumn="0" w:noHBand="0" w:noVBand="0"/>
      </w:tblPr>
      <w:tblGrid>
        <w:gridCol w:w="1066"/>
        <w:gridCol w:w="6376"/>
        <w:gridCol w:w="1343"/>
      </w:tblGrid>
      <w:tr w:rsidR="00E25A7D" w:rsidRPr="002A3021" w14:paraId="53B48B0E" w14:textId="77777777" w:rsidTr="00E25A7D">
        <w:trPr>
          <w:cantSplit/>
        </w:trPr>
        <w:tc>
          <w:tcPr>
            <w:tcW w:w="1066" w:type="dxa"/>
            <w:tcBorders>
              <w:top w:val="nil"/>
              <w:left w:val="nil"/>
              <w:bottom w:val="single" w:sz="4" w:space="0" w:color="auto"/>
              <w:right w:val="nil"/>
            </w:tcBorders>
          </w:tcPr>
          <w:p w14:paraId="392946A2" w14:textId="1F9171D4"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Regulation</w:t>
            </w:r>
          </w:p>
        </w:tc>
        <w:tc>
          <w:tcPr>
            <w:tcW w:w="6376" w:type="dxa"/>
            <w:tcBorders>
              <w:top w:val="nil"/>
              <w:left w:val="nil"/>
              <w:bottom w:val="single" w:sz="4" w:space="0" w:color="auto"/>
              <w:right w:val="nil"/>
            </w:tcBorders>
          </w:tcPr>
          <w:p w14:paraId="7F877B5B" w14:textId="29C8A08B" w:rsidR="00E25A7D" w:rsidRPr="002A3021" w:rsidRDefault="00E25A7D" w:rsidP="00E25A7D">
            <w:pPr>
              <w:keepLines/>
              <w:autoSpaceDE w:val="0"/>
              <w:autoSpaceDN w:val="0"/>
              <w:adjustRightInd w:val="0"/>
              <w:spacing w:before="120" w:after="0" w:line="240" w:lineRule="auto"/>
              <w:ind w:left="12"/>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1" w:history="1">
              <w:r w:rsidRPr="002A3021">
                <w:rPr>
                  <w:rFonts w:eastAsia="Times New Roman"/>
                  <w:b/>
                  <w:bCs/>
                  <w:i/>
                  <w:iCs/>
                  <w:color w:val="000000"/>
                  <w:sz w:val="20"/>
                  <w:szCs w:val="20"/>
                  <w:lang w:eastAsia="en-AU"/>
                  <w14:ligatures w14:val="standardContextual"/>
                </w:rPr>
                <w:t>Road Traffic (Road Rules—Ancillary and Miscellaneous Provisions) Regulations 2014</w:t>
              </w:r>
            </w:hyperlink>
          </w:p>
        </w:tc>
        <w:tc>
          <w:tcPr>
            <w:tcW w:w="1343" w:type="dxa"/>
            <w:tcBorders>
              <w:top w:val="nil"/>
              <w:left w:val="nil"/>
              <w:bottom w:val="single" w:sz="4" w:space="0" w:color="auto"/>
              <w:right w:val="nil"/>
            </w:tcBorders>
          </w:tcPr>
          <w:p w14:paraId="0B944F58" w14:textId="10C3B5C3" w:rsidR="00E25A7D" w:rsidRPr="002A3021" w:rsidRDefault="00E25A7D" w:rsidP="00E25A7D">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E25A7D" w:rsidRPr="002A3021" w14:paraId="2756560A" w14:textId="77777777" w:rsidTr="00E25A7D">
        <w:trPr>
          <w:cantSplit/>
        </w:trPr>
        <w:tc>
          <w:tcPr>
            <w:tcW w:w="1066" w:type="dxa"/>
            <w:tcBorders>
              <w:top w:val="single" w:sz="4" w:space="0" w:color="auto"/>
              <w:left w:val="nil"/>
              <w:bottom w:val="nil"/>
              <w:right w:val="nil"/>
            </w:tcBorders>
          </w:tcPr>
          <w:p w14:paraId="2A5C07F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single" w:sz="4" w:space="0" w:color="auto"/>
              <w:left w:val="nil"/>
              <w:bottom w:val="nil"/>
              <w:right w:val="nil"/>
            </w:tcBorders>
          </w:tcPr>
          <w:p w14:paraId="27AB3F64" w14:textId="0A799579" w:rsidR="00E25A7D" w:rsidRPr="002A3021" w:rsidRDefault="00E25A7D" w:rsidP="00E25A7D">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20 kph or more but less than 30 kph</w:t>
            </w:r>
          </w:p>
        </w:tc>
        <w:tc>
          <w:tcPr>
            <w:tcW w:w="1343" w:type="dxa"/>
            <w:tcBorders>
              <w:top w:val="single" w:sz="4" w:space="0" w:color="auto"/>
              <w:left w:val="nil"/>
              <w:bottom w:val="nil"/>
              <w:right w:val="nil"/>
            </w:tcBorders>
          </w:tcPr>
          <w:p w14:paraId="6FABA7EE" w14:textId="7567F083" w:rsidR="00E25A7D" w:rsidRPr="002A3021" w:rsidRDefault="00E25A7D" w:rsidP="00E25A7D">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w:t>
            </w:r>
          </w:p>
        </w:tc>
      </w:tr>
      <w:tr w:rsidR="00E25A7D" w:rsidRPr="002A3021" w14:paraId="670B1FAE" w14:textId="77777777" w:rsidTr="00911011">
        <w:trPr>
          <w:cantSplit/>
        </w:trPr>
        <w:tc>
          <w:tcPr>
            <w:tcW w:w="1066" w:type="dxa"/>
            <w:tcBorders>
              <w:top w:val="nil"/>
              <w:left w:val="nil"/>
              <w:bottom w:val="nil"/>
              <w:right w:val="nil"/>
            </w:tcBorders>
          </w:tcPr>
          <w:p w14:paraId="504778B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376" w:type="dxa"/>
            <w:tcBorders>
              <w:top w:val="nil"/>
              <w:left w:val="nil"/>
              <w:bottom w:val="nil"/>
              <w:right w:val="nil"/>
            </w:tcBorders>
          </w:tcPr>
          <w:p w14:paraId="60EFF700" w14:textId="77777777" w:rsidR="00E25A7D" w:rsidRPr="002A3021" w:rsidRDefault="00E25A7D" w:rsidP="00E25A7D">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by 30 kph or more</w:t>
            </w:r>
          </w:p>
        </w:tc>
        <w:tc>
          <w:tcPr>
            <w:tcW w:w="1343" w:type="dxa"/>
            <w:tcBorders>
              <w:top w:val="nil"/>
              <w:left w:val="nil"/>
              <w:bottom w:val="nil"/>
              <w:right w:val="nil"/>
            </w:tcBorders>
          </w:tcPr>
          <w:p w14:paraId="70E39D01" w14:textId="77777777" w:rsidR="00E25A7D" w:rsidRPr="002A3021" w:rsidRDefault="00E25A7D" w:rsidP="00E25A7D">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w:t>
            </w:r>
          </w:p>
        </w:tc>
      </w:tr>
      <w:tr w:rsidR="00E25A7D" w:rsidRPr="002A3021" w14:paraId="19537121" w14:textId="77777777" w:rsidTr="00911011">
        <w:trPr>
          <w:cantSplit/>
        </w:trPr>
        <w:tc>
          <w:tcPr>
            <w:tcW w:w="1066" w:type="dxa"/>
            <w:tcBorders>
              <w:top w:val="nil"/>
              <w:left w:val="nil"/>
              <w:bottom w:val="nil"/>
              <w:right w:val="nil"/>
            </w:tcBorders>
          </w:tcPr>
          <w:p w14:paraId="30CB3AD7"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11A(1)</w:t>
            </w:r>
          </w:p>
        </w:tc>
        <w:tc>
          <w:tcPr>
            <w:tcW w:w="6376" w:type="dxa"/>
            <w:tcBorders>
              <w:top w:val="nil"/>
              <w:left w:val="nil"/>
              <w:bottom w:val="nil"/>
              <w:right w:val="nil"/>
            </w:tcBorders>
          </w:tcPr>
          <w:p w14:paraId="7F9D21C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Driver of motor vehicle failing to pass rider of bicycle at a sufficient distance from the bicycle</w:t>
            </w:r>
          </w:p>
        </w:tc>
        <w:tc>
          <w:tcPr>
            <w:tcW w:w="1343" w:type="dxa"/>
            <w:tcBorders>
              <w:top w:val="nil"/>
              <w:left w:val="nil"/>
              <w:bottom w:val="nil"/>
              <w:right w:val="nil"/>
            </w:tcBorders>
          </w:tcPr>
          <w:p w14:paraId="4A257056" w14:textId="77777777" w:rsidR="00E25A7D" w:rsidRPr="002A3021" w:rsidRDefault="00E25A7D" w:rsidP="00E25A7D">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E25A7D" w:rsidRPr="002A3021" w14:paraId="69613DC4" w14:textId="77777777" w:rsidTr="00911011">
        <w:trPr>
          <w:cantSplit/>
        </w:trPr>
        <w:tc>
          <w:tcPr>
            <w:tcW w:w="1066" w:type="dxa"/>
            <w:tcBorders>
              <w:top w:val="nil"/>
              <w:left w:val="nil"/>
              <w:bottom w:val="nil"/>
              <w:right w:val="nil"/>
            </w:tcBorders>
          </w:tcPr>
          <w:p w14:paraId="3127C952"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c>
          <w:tcPr>
            <w:tcW w:w="6376" w:type="dxa"/>
            <w:tcBorders>
              <w:top w:val="nil"/>
              <w:left w:val="nil"/>
              <w:bottom w:val="nil"/>
              <w:right w:val="nil"/>
            </w:tcBorders>
          </w:tcPr>
          <w:p w14:paraId="5E63097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Learner or P1 driver using mobile phone while driving vehicle</w:t>
            </w:r>
          </w:p>
        </w:tc>
        <w:tc>
          <w:tcPr>
            <w:tcW w:w="1343" w:type="dxa"/>
            <w:tcBorders>
              <w:top w:val="nil"/>
              <w:left w:val="nil"/>
              <w:bottom w:val="nil"/>
              <w:right w:val="nil"/>
            </w:tcBorders>
          </w:tcPr>
          <w:p w14:paraId="186EAFF6" w14:textId="77777777" w:rsidR="00E25A7D" w:rsidRPr="002A3021" w:rsidRDefault="00E25A7D" w:rsidP="00E25A7D">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528B7A65"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3" w:name="Elkera_Print_TOC195"/>
      <w:bookmarkStart w:id="404" w:name="Elkera_Print_BK195"/>
      <w:r w:rsidRPr="002A3021">
        <w:rPr>
          <w:rFonts w:eastAsia="Times New Roman"/>
          <w:b/>
          <w:bCs/>
          <w:color w:val="000000"/>
          <w:sz w:val="26"/>
          <w:szCs w:val="26"/>
          <w:lang w:eastAsia="en-AU"/>
          <w14:ligatures w14:val="standardContextual"/>
        </w:rPr>
        <w:t xml:space="preserve">7—Offences against </w:t>
      </w:r>
      <w:r w:rsidRPr="002A3021">
        <w:rPr>
          <w:rFonts w:eastAsia="Times New Roman"/>
          <w:b/>
          <w:bCs/>
          <w:i/>
          <w:iCs/>
          <w:color w:val="000000"/>
          <w:sz w:val="26"/>
          <w:szCs w:val="26"/>
          <w:lang w:eastAsia="en-AU"/>
          <w14:ligatures w14:val="standardContextual"/>
        </w:rPr>
        <w:t>Motor Vehicles Act 1959</w:t>
      </w:r>
      <w:bookmarkEnd w:id="403"/>
      <w:bookmarkEnd w:id="404"/>
    </w:p>
    <w:p w14:paraId="4BE347A3"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305"/>
        <w:gridCol w:w="6123"/>
        <w:gridCol w:w="1357"/>
      </w:tblGrid>
      <w:tr w:rsidR="002A3021" w:rsidRPr="002A3021" w14:paraId="7CB2BDC7" w14:textId="77777777" w:rsidTr="00911011">
        <w:trPr>
          <w:cantSplit/>
          <w:tblHeader/>
        </w:trPr>
        <w:tc>
          <w:tcPr>
            <w:tcW w:w="1305" w:type="dxa"/>
            <w:tcBorders>
              <w:top w:val="nil"/>
              <w:left w:val="nil"/>
              <w:bottom w:val="single" w:sz="4" w:space="0" w:color="auto"/>
              <w:right w:val="nil"/>
            </w:tcBorders>
          </w:tcPr>
          <w:p w14:paraId="694014F9"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Section</w:t>
            </w:r>
          </w:p>
        </w:tc>
        <w:tc>
          <w:tcPr>
            <w:tcW w:w="6123" w:type="dxa"/>
            <w:tcBorders>
              <w:top w:val="nil"/>
              <w:left w:val="nil"/>
              <w:bottom w:val="single" w:sz="4" w:space="0" w:color="auto"/>
              <w:right w:val="nil"/>
            </w:tcBorders>
          </w:tcPr>
          <w:p w14:paraId="5A718FB6"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2" w:history="1">
              <w:r w:rsidRPr="002A3021">
                <w:rPr>
                  <w:rFonts w:eastAsia="Times New Roman"/>
                  <w:b/>
                  <w:bCs/>
                  <w:i/>
                  <w:iCs/>
                  <w:color w:val="000000"/>
                  <w:sz w:val="20"/>
                  <w:szCs w:val="20"/>
                  <w:lang w:eastAsia="en-AU"/>
                  <w14:ligatures w14:val="standardContextual"/>
                </w:rPr>
                <w:t>Motor Vehicles Act 1959</w:t>
              </w:r>
            </w:hyperlink>
          </w:p>
        </w:tc>
        <w:tc>
          <w:tcPr>
            <w:tcW w:w="1357" w:type="dxa"/>
            <w:tcBorders>
              <w:top w:val="nil"/>
              <w:left w:val="nil"/>
              <w:bottom w:val="single" w:sz="4" w:space="0" w:color="auto"/>
              <w:right w:val="nil"/>
            </w:tcBorders>
          </w:tcPr>
          <w:p w14:paraId="51A3319A"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52B70635" w14:textId="77777777" w:rsidTr="00911011">
        <w:trPr>
          <w:cantSplit/>
        </w:trPr>
        <w:tc>
          <w:tcPr>
            <w:tcW w:w="1305" w:type="dxa"/>
            <w:tcBorders>
              <w:top w:val="single" w:sz="4" w:space="0" w:color="auto"/>
              <w:left w:val="nil"/>
              <w:bottom w:val="nil"/>
              <w:right w:val="nil"/>
            </w:tcBorders>
          </w:tcPr>
          <w:p w14:paraId="70277D8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75A(15)(a)</w:t>
            </w:r>
          </w:p>
        </w:tc>
        <w:tc>
          <w:tcPr>
            <w:tcW w:w="6123" w:type="dxa"/>
            <w:tcBorders>
              <w:top w:val="single" w:sz="4" w:space="0" w:color="auto"/>
              <w:left w:val="nil"/>
              <w:bottom w:val="nil"/>
              <w:right w:val="nil"/>
            </w:tcBorders>
          </w:tcPr>
          <w:p w14:paraId="3607257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bike on road while no L plate affixed to bike in accordance with regulations</w:t>
            </w:r>
            <w:r w:rsidRPr="002A3021">
              <w:rPr>
                <w:rFonts w:eastAsia="Times New Roman"/>
                <w:color w:val="000000"/>
                <w:sz w:val="20"/>
                <w:szCs w:val="20"/>
                <w:lang w:eastAsia="en-AU"/>
                <w14:ligatures w14:val="standardContextual"/>
              </w:rPr>
              <w:t xml:space="preserve"> </w:t>
            </w:r>
          </w:p>
        </w:tc>
        <w:tc>
          <w:tcPr>
            <w:tcW w:w="1357" w:type="dxa"/>
            <w:tcBorders>
              <w:top w:val="single" w:sz="4" w:space="0" w:color="auto"/>
              <w:left w:val="nil"/>
              <w:bottom w:val="nil"/>
              <w:right w:val="nil"/>
            </w:tcBorders>
          </w:tcPr>
          <w:p w14:paraId="4B35317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7C007FF6" w14:textId="77777777" w:rsidTr="00911011">
        <w:trPr>
          <w:cantSplit/>
        </w:trPr>
        <w:tc>
          <w:tcPr>
            <w:tcW w:w="1305" w:type="dxa"/>
            <w:tcBorders>
              <w:top w:val="nil"/>
              <w:left w:val="nil"/>
              <w:bottom w:val="nil"/>
              <w:right w:val="nil"/>
            </w:tcBorders>
          </w:tcPr>
          <w:p w14:paraId="5275FBA4"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75A(15)(b)</w:t>
            </w:r>
          </w:p>
        </w:tc>
        <w:tc>
          <w:tcPr>
            <w:tcW w:w="6123" w:type="dxa"/>
            <w:tcBorders>
              <w:top w:val="nil"/>
              <w:left w:val="nil"/>
              <w:bottom w:val="nil"/>
              <w:right w:val="nil"/>
            </w:tcBorders>
          </w:tcPr>
          <w:p w14:paraId="13439AFF"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vehicle (other than motor bike) on road while L plates not affixed to vehicle in accordance with regulations</w:t>
            </w:r>
          </w:p>
        </w:tc>
        <w:tc>
          <w:tcPr>
            <w:tcW w:w="1357" w:type="dxa"/>
            <w:tcBorders>
              <w:top w:val="nil"/>
              <w:left w:val="nil"/>
              <w:bottom w:val="nil"/>
              <w:right w:val="nil"/>
            </w:tcBorders>
          </w:tcPr>
          <w:p w14:paraId="239DE901"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4FD765A6" w14:textId="77777777" w:rsidTr="00911011">
        <w:trPr>
          <w:cantSplit/>
        </w:trPr>
        <w:tc>
          <w:tcPr>
            <w:tcW w:w="1305" w:type="dxa"/>
            <w:tcBorders>
              <w:top w:val="nil"/>
              <w:left w:val="nil"/>
              <w:bottom w:val="nil"/>
              <w:right w:val="nil"/>
            </w:tcBorders>
            <w:vAlign w:val="center"/>
          </w:tcPr>
          <w:p w14:paraId="3A39EDD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123" w:type="dxa"/>
            <w:tcBorders>
              <w:top w:val="nil"/>
              <w:left w:val="nil"/>
              <w:bottom w:val="nil"/>
              <w:right w:val="nil"/>
            </w:tcBorders>
            <w:vAlign w:val="center"/>
          </w:tcPr>
          <w:p w14:paraId="5B66131E"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no L plates affixed to vehicle in accordance with regulations</w:t>
            </w:r>
          </w:p>
        </w:tc>
        <w:tc>
          <w:tcPr>
            <w:tcW w:w="1357" w:type="dxa"/>
            <w:tcBorders>
              <w:top w:val="nil"/>
              <w:left w:val="nil"/>
              <w:bottom w:val="nil"/>
              <w:right w:val="nil"/>
            </w:tcBorders>
          </w:tcPr>
          <w:p w14:paraId="75F840B5"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62F178F6" w14:textId="77777777" w:rsidTr="00911011">
        <w:trPr>
          <w:cantSplit/>
        </w:trPr>
        <w:tc>
          <w:tcPr>
            <w:tcW w:w="1305" w:type="dxa"/>
            <w:tcBorders>
              <w:top w:val="nil"/>
              <w:left w:val="nil"/>
              <w:bottom w:val="nil"/>
              <w:right w:val="nil"/>
            </w:tcBorders>
          </w:tcPr>
          <w:p w14:paraId="156381E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75A(20)</w:t>
            </w:r>
          </w:p>
        </w:tc>
        <w:tc>
          <w:tcPr>
            <w:tcW w:w="6123" w:type="dxa"/>
            <w:tcBorders>
              <w:top w:val="nil"/>
              <w:left w:val="nil"/>
              <w:bottom w:val="nil"/>
              <w:right w:val="nil"/>
            </w:tcBorders>
            <w:vAlign w:val="center"/>
          </w:tcPr>
          <w:p w14:paraId="257C14C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prescribed learner's permit driving motor bike between midnight and 5.00 a.m.</w:t>
            </w:r>
          </w:p>
        </w:tc>
        <w:tc>
          <w:tcPr>
            <w:tcW w:w="1357" w:type="dxa"/>
            <w:tcBorders>
              <w:top w:val="nil"/>
              <w:left w:val="nil"/>
              <w:bottom w:val="nil"/>
              <w:right w:val="nil"/>
            </w:tcBorders>
          </w:tcPr>
          <w:p w14:paraId="2436BCB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6B45BB10" w14:textId="77777777" w:rsidTr="00911011">
        <w:trPr>
          <w:cantSplit/>
        </w:trPr>
        <w:tc>
          <w:tcPr>
            <w:tcW w:w="1305" w:type="dxa"/>
            <w:tcBorders>
              <w:top w:val="nil"/>
              <w:left w:val="nil"/>
              <w:bottom w:val="nil"/>
              <w:right w:val="nil"/>
            </w:tcBorders>
          </w:tcPr>
          <w:p w14:paraId="64BA6B14"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75A(24)</w:t>
            </w:r>
          </w:p>
        </w:tc>
        <w:tc>
          <w:tcPr>
            <w:tcW w:w="6123" w:type="dxa"/>
            <w:tcBorders>
              <w:top w:val="nil"/>
              <w:left w:val="nil"/>
              <w:bottom w:val="nil"/>
              <w:right w:val="nil"/>
            </w:tcBorders>
            <w:vAlign w:val="center"/>
          </w:tcPr>
          <w:p w14:paraId="5EAAC5D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bike on road carrying person on motor bike</w:t>
            </w:r>
          </w:p>
        </w:tc>
        <w:tc>
          <w:tcPr>
            <w:tcW w:w="1357" w:type="dxa"/>
            <w:tcBorders>
              <w:top w:val="nil"/>
              <w:left w:val="nil"/>
              <w:bottom w:val="nil"/>
              <w:right w:val="nil"/>
            </w:tcBorders>
          </w:tcPr>
          <w:p w14:paraId="5873BDD0"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343A98FC" w14:textId="77777777" w:rsidTr="00911011">
        <w:trPr>
          <w:cantSplit/>
        </w:trPr>
        <w:tc>
          <w:tcPr>
            <w:tcW w:w="1305" w:type="dxa"/>
            <w:tcBorders>
              <w:top w:val="nil"/>
              <w:left w:val="nil"/>
              <w:bottom w:val="nil"/>
              <w:right w:val="nil"/>
            </w:tcBorders>
          </w:tcPr>
          <w:p w14:paraId="6D26413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75A(25)</w:t>
            </w:r>
          </w:p>
        </w:tc>
        <w:tc>
          <w:tcPr>
            <w:tcW w:w="6123" w:type="dxa"/>
            <w:tcBorders>
              <w:top w:val="nil"/>
              <w:left w:val="nil"/>
              <w:bottom w:val="nil"/>
              <w:right w:val="nil"/>
            </w:tcBorders>
            <w:vAlign w:val="center"/>
          </w:tcPr>
          <w:p w14:paraId="6FA16E57"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bike on road towing vehicle by use of motor bike</w:t>
            </w:r>
          </w:p>
        </w:tc>
        <w:tc>
          <w:tcPr>
            <w:tcW w:w="1357" w:type="dxa"/>
            <w:tcBorders>
              <w:top w:val="nil"/>
              <w:left w:val="nil"/>
              <w:bottom w:val="nil"/>
              <w:right w:val="nil"/>
            </w:tcBorders>
          </w:tcPr>
          <w:p w14:paraId="1F12EDD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2A42E977" w14:textId="77777777" w:rsidTr="00911011">
        <w:trPr>
          <w:cantSplit/>
        </w:trPr>
        <w:tc>
          <w:tcPr>
            <w:tcW w:w="1305" w:type="dxa"/>
            <w:tcBorders>
              <w:top w:val="nil"/>
              <w:left w:val="nil"/>
              <w:bottom w:val="nil"/>
              <w:right w:val="nil"/>
            </w:tcBorders>
          </w:tcPr>
          <w:p w14:paraId="470BD38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75B(1)</w:t>
            </w:r>
          </w:p>
        </w:tc>
        <w:tc>
          <w:tcPr>
            <w:tcW w:w="6123" w:type="dxa"/>
            <w:tcBorders>
              <w:top w:val="nil"/>
              <w:left w:val="nil"/>
              <w:bottom w:val="nil"/>
              <w:right w:val="nil"/>
            </w:tcBorders>
            <w:vAlign w:val="center"/>
          </w:tcPr>
          <w:p w14:paraId="2BBE2BD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a restricted motor bike learner's permit driving motor bike on road (other than in prescribed circumstances)</w:t>
            </w:r>
          </w:p>
        </w:tc>
        <w:tc>
          <w:tcPr>
            <w:tcW w:w="1357" w:type="dxa"/>
            <w:tcBorders>
              <w:top w:val="nil"/>
              <w:left w:val="nil"/>
              <w:bottom w:val="nil"/>
              <w:right w:val="nil"/>
            </w:tcBorders>
          </w:tcPr>
          <w:p w14:paraId="39A5D757"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0CBA5874" w14:textId="77777777" w:rsidTr="00911011">
        <w:trPr>
          <w:cantSplit/>
        </w:trPr>
        <w:tc>
          <w:tcPr>
            <w:tcW w:w="1305" w:type="dxa"/>
            <w:tcBorders>
              <w:top w:val="nil"/>
              <w:left w:val="nil"/>
              <w:bottom w:val="nil"/>
              <w:right w:val="nil"/>
            </w:tcBorders>
          </w:tcPr>
          <w:p w14:paraId="6403514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81A(13)</w:t>
            </w:r>
          </w:p>
        </w:tc>
        <w:tc>
          <w:tcPr>
            <w:tcW w:w="6123" w:type="dxa"/>
            <w:tcBorders>
              <w:top w:val="nil"/>
              <w:left w:val="nil"/>
              <w:bottom w:val="nil"/>
              <w:right w:val="nil"/>
            </w:tcBorders>
            <w:vAlign w:val="center"/>
          </w:tcPr>
          <w:p w14:paraId="6E52ACF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or P2 licence under the age of 25 years driving high powered vehicle</w:t>
            </w:r>
          </w:p>
        </w:tc>
        <w:tc>
          <w:tcPr>
            <w:tcW w:w="1357" w:type="dxa"/>
            <w:tcBorders>
              <w:top w:val="nil"/>
              <w:left w:val="nil"/>
              <w:bottom w:val="nil"/>
              <w:right w:val="nil"/>
            </w:tcBorders>
          </w:tcPr>
          <w:p w14:paraId="74C38B0D"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2A2FF2EF" w14:textId="77777777" w:rsidTr="00911011">
        <w:trPr>
          <w:cantSplit/>
        </w:trPr>
        <w:tc>
          <w:tcPr>
            <w:tcW w:w="1305" w:type="dxa"/>
            <w:tcBorders>
              <w:top w:val="nil"/>
              <w:left w:val="nil"/>
              <w:bottom w:val="nil"/>
              <w:right w:val="nil"/>
            </w:tcBorders>
          </w:tcPr>
          <w:p w14:paraId="63E00ED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81A(15)(a)</w:t>
            </w:r>
          </w:p>
        </w:tc>
        <w:tc>
          <w:tcPr>
            <w:tcW w:w="6123" w:type="dxa"/>
            <w:tcBorders>
              <w:top w:val="nil"/>
              <w:left w:val="nil"/>
              <w:bottom w:val="nil"/>
              <w:right w:val="nil"/>
            </w:tcBorders>
            <w:vAlign w:val="center"/>
          </w:tcPr>
          <w:p w14:paraId="25A5360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driving motor bike on road while no P plate affixed to bike in accordance with regulations</w:t>
            </w:r>
          </w:p>
        </w:tc>
        <w:tc>
          <w:tcPr>
            <w:tcW w:w="1357" w:type="dxa"/>
            <w:tcBorders>
              <w:top w:val="nil"/>
              <w:left w:val="nil"/>
              <w:bottom w:val="nil"/>
              <w:right w:val="nil"/>
            </w:tcBorders>
          </w:tcPr>
          <w:p w14:paraId="4E15822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7D7FDC22" w14:textId="77777777" w:rsidTr="00911011">
        <w:trPr>
          <w:cantSplit/>
        </w:trPr>
        <w:tc>
          <w:tcPr>
            <w:tcW w:w="1305" w:type="dxa"/>
            <w:tcBorders>
              <w:top w:val="nil"/>
              <w:left w:val="nil"/>
              <w:bottom w:val="nil"/>
              <w:right w:val="nil"/>
            </w:tcBorders>
          </w:tcPr>
          <w:p w14:paraId="0C877499"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81A(15)(b)</w:t>
            </w:r>
          </w:p>
        </w:tc>
        <w:tc>
          <w:tcPr>
            <w:tcW w:w="6123" w:type="dxa"/>
            <w:tcBorders>
              <w:top w:val="nil"/>
              <w:left w:val="nil"/>
              <w:bottom w:val="nil"/>
              <w:right w:val="nil"/>
            </w:tcBorders>
          </w:tcPr>
          <w:p w14:paraId="4390C6C8"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driving motor vehicle (other than motor bike) on road while P plates not affixed to vehicle in accordance with regulations</w:t>
            </w:r>
          </w:p>
        </w:tc>
        <w:tc>
          <w:tcPr>
            <w:tcW w:w="1357" w:type="dxa"/>
            <w:tcBorders>
              <w:top w:val="nil"/>
              <w:left w:val="nil"/>
              <w:bottom w:val="nil"/>
              <w:right w:val="nil"/>
            </w:tcBorders>
          </w:tcPr>
          <w:p w14:paraId="2426BF26" w14:textId="77777777" w:rsidR="002A3021" w:rsidRPr="002A3021" w:rsidRDefault="002A3021" w:rsidP="002A3021">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37012428" w14:textId="77777777" w:rsidTr="00911011">
        <w:trPr>
          <w:cantSplit/>
        </w:trPr>
        <w:tc>
          <w:tcPr>
            <w:tcW w:w="1305" w:type="dxa"/>
            <w:tcBorders>
              <w:top w:val="nil"/>
              <w:left w:val="nil"/>
              <w:bottom w:val="nil"/>
              <w:right w:val="nil"/>
            </w:tcBorders>
            <w:vAlign w:val="center"/>
          </w:tcPr>
          <w:p w14:paraId="2D2D018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123" w:type="dxa"/>
            <w:tcBorders>
              <w:top w:val="nil"/>
              <w:left w:val="nil"/>
              <w:bottom w:val="nil"/>
              <w:right w:val="nil"/>
            </w:tcBorders>
            <w:vAlign w:val="center"/>
          </w:tcPr>
          <w:p w14:paraId="32A19282"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no P plates affixed to vehicle in accordance with regulations</w:t>
            </w:r>
          </w:p>
        </w:tc>
        <w:tc>
          <w:tcPr>
            <w:tcW w:w="1357" w:type="dxa"/>
            <w:tcBorders>
              <w:top w:val="nil"/>
              <w:left w:val="nil"/>
              <w:bottom w:val="nil"/>
              <w:right w:val="nil"/>
            </w:tcBorders>
          </w:tcPr>
          <w:p w14:paraId="7B7E4A9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w:t>
            </w:r>
          </w:p>
        </w:tc>
      </w:tr>
      <w:tr w:rsidR="002A3021" w:rsidRPr="002A3021" w14:paraId="3BF76A7D" w14:textId="77777777" w:rsidTr="00911011">
        <w:trPr>
          <w:cantSplit/>
        </w:trPr>
        <w:tc>
          <w:tcPr>
            <w:tcW w:w="1305" w:type="dxa"/>
            <w:tcBorders>
              <w:top w:val="nil"/>
              <w:left w:val="nil"/>
              <w:bottom w:val="nil"/>
              <w:right w:val="nil"/>
            </w:tcBorders>
          </w:tcPr>
          <w:p w14:paraId="41D4D22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81A(16)</w:t>
            </w:r>
          </w:p>
        </w:tc>
        <w:tc>
          <w:tcPr>
            <w:tcW w:w="6123" w:type="dxa"/>
            <w:tcBorders>
              <w:top w:val="nil"/>
              <w:left w:val="nil"/>
              <w:bottom w:val="nil"/>
              <w:right w:val="nil"/>
            </w:tcBorders>
          </w:tcPr>
          <w:p w14:paraId="1C8EB77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under the age of 25 years driving between midnight and 5.00 a.m. without being accompanied by a person acting as qualified supervising driver</w:t>
            </w:r>
          </w:p>
        </w:tc>
        <w:tc>
          <w:tcPr>
            <w:tcW w:w="1357" w:type="dxa"/>
            <w:tcBorders>
              <w:top w:val="nil"/>
              <w:left w:val="nil"/>
              <w:bottom w:val="nil"/>
              <w:right w:val="nil"/>
            </w:tcBorders>
          </w:tcPr>
          <w:p w14:paraId="2A2080BC"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3C6A7730" w14:textId="77777777" w:rsidTr="00911011">
        <w:trPr>
          <w:cantSplit/>
        </w:trPr>
        <w:tc>
          <w:tcPr>
            <w:tcW w:w="1305" w:type="dxa"/>
            <w:tcBorders>
              <w:top w:val="nil"/>
              <w:left w:val="nil"/>
              <w:bottom w:val="nil"/>
              <w:right w:val="nil"/>
            </w:tcBorders>
          </w:tcPr>
          <w:p w14:paraId="1DBD0E1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81A(18)</w:t>
            </w:r>
          </w:p>
        </w:tc>
        <w:tc>
          <w:tcPr>
            <w:tcW w:w="6123" w:type="dxa"/>
            <w:tcBorders>
              <w:top w:val="nil"/>
              <w:left w:val="nil"/>
              <w:bottom w:val="nil"/>
              <w:right w:val="nil"/>
            </w:tcBorders>
          </w:tcPr>
          <w:p w14:paraId="78D313B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under the age of 25 years driving with 2 or more peer passengers in the vehicle without carrying person acting as qualified supervising driver</w:t>
            </w:r>
          </w:p>
        </w:tc>
        <w:tc>
          <w:tcPr>
            <w:tcW w:w="1357" w:type="dxa"/>
            <w:tcBorders>
              <w:top w:val="nil"/>
              <w:left w:val="nil"/>
              <w:bottom w:val="nil"/>
              <w:right w:val="nil"/>
            </w:tcBorders>
          </w:tcPr>
          <w:p w14:paraId="54A79776"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r w:rsidR="002A3021" w:rsidRPr="002A3021" w14:paraId="45C84468" w14:textId="77777777" w:rsidTr="00911011">
        <w:trPr>
          <w:cantSplit/>
        </w:trPr>
        <w:tc>
          <w:tcPr>
            <w:tcW w:w="1305" w:type="dxa"/>
            <w:tcBorders>
              <w:top w:val="nil"/>
              <w:left w:val="nil"/>
              <w:bottom w:val="nil"/>
              <w:right w:val="nil"/>
            </w:tcBorders>
          </w:tcPr>
          <w:p w14:paraId="5B6B46C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81AC(3)</w:t>
            </w:r>
          </w:p>
        </w:tc>
        <w:tc>
          <w:tcPr>
            <w:tcW w:w="6123" w:type="dxa"/>
            <w:tcBorders>
              <w:top w:val="nil"/>
              <w:left w:val="nil"/>
              <w:bottom w:val="nil"/>
              <w:right w:val="nil"/>
            </w:tcBorders>
          </w:tcPr>
          <w:p w14:paraId="3D88028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of prescribed motor bike licence referred to in section 81AC(2) of Act</w:t>
            </w:r>
          </w:p>
        </w:tc>
        <w:tc>
          <w:tcPr>
            <w:tcW w:w="1357" w:type="dxa"/>
            <w:tcBorders>
              <w:top w:val="nil"/>
              <w:left w:val="nil"/>
              <w:bottom w:val="nil"/>
              <w:right w:val="nil"/>
            </w:tcBorders>
          </w:tcPr>
          <w:p w14:paraId="25D70ADB"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w:t>
            </w:r>
          </w:p>
        </w:tc>
      </w:tr>
    </w:tbl>
    <w:p w14:paraId="3F39448F" w14:textId="77777777" w:rsidR="00E25A7D" w:rsidRDefault="00E25A7D">
      <w:pPr>
        <w:spacing w:after="0" w:line="240" w:lineRule="auto"/>
        <w:jc w:val="left"/>
        <w:rPr>
          <w:rFonts w:eastAsia="Times New Roman"/>
          <w:b/>
          <w:bCs/>
          <w:color w:val="000000"/>
          <w:sz w:val="26"/>
          <w:szCs w:val="26"/>
          <w:lang w:eastAsia="en-AU"/>
          <w14:ligatures w14:val="standardContextual"/>
        </w:rPr>
      </w:pPr>
      <w:bookmarkStart w:id="405" w:name="Elkera_Print_TOC196"/>
      <w:bookmarkStart w:id="406" w:name="Elkera_Print_BK196"/>
      <w:r>
        <w:rPr>
          <w:rFonts w:eastAsia="Times New Roman"/>
          <w:b/>
          <w:bCs/>
          <w:color w:val="000000"/>
          <w:sz w:val="26"/>
          <w:szCs w:val="26"/>
          <w:lang w:eastAsia="en-AU"/>
          <w14:ligatures w14:val="standardContextual"/>
        </w:rPr>
        <w:br w:type="page"/>
      </w:r>
    </w:p>
    <w:p w14:paraId="2EF5233F" w14:textId="3AA0A07A"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lastRenderedPageBreak/>
        <w:t xml:space="preserve">8—Offences against </w:t>
      </w:r>
      <w:r w:rsidRPr="002A3021">
        <w:rPr>
          <w:rFonts w:eastAsia="Times New Roman"/>
          <w:b/>
          <w:bCs/>
          <w:i/>
          <w:iCs/>
          <w:color w:val="000000"/>
          <w:sz w:val="26"/>
          <w:szCs w:val="26"/>
          <w:lang w:eastAsia="en-AU"/>
          <w14:ligatures w14:val="standardContextual"/>
        </w:rPr>
        <w:t>Heavy Vehicle National Law (South Australia)</w:t>
      </w:r>
      <w:bookmarkEnd w:id="405"/>
      <w:bookmarkEnd w:id="406"/>
    </w:p>
    <w:p w14:paraId="0D55FD15"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319"/>
        <w:gridCol w:w="6082"/>
        <w:gridCol w:w="1385"/>
      </w:tblGrid>
      <w:tr w:rsidR="002A3021" w:rsidRPr="002A3021" w14:paraId="078964AD" w14:textId="77777777" w:rsidTr="00911011">
        <w:trPr>
          <w:cantSplit/>
          <w:tblHeader/>
        </w:trPr>
        <w:tc>
          <w:tcPr>
            <w:tcW w:w="1319" w:type="dxa"/>
            <w:tcBorders>
              <w:top w:val="nil"/>
              <w:left w:val="nil"/>
              <w:bottom w:val="single" w:sz="4" w:space="0" w:color="auto"/>
              <w:right w:val="nil"/>
            </w:tcBorders>
          </w:tcPr>
          <w:p w14:paraId="36DAD643"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Section</w:t>
            </w:r>
          </w:p>
        </w:tc>
        <w:tc>
          <w:tcPr>
            <w:tcW w:w="6082" w:type="dxa"/>
            <w:tcBorders>
              <w:top w:val="nil"/>
              <w:left w:val="nil"/>
              <w:bottom w:val="single" w:sz="4" w:space="0" w:color="auto"/>
              <w:right w:val="nil"/>
            </w:tcBorders>
          </w:tcPr>
          <w:p w14:paraId="045A94B2"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3" w:history="1">
              <w:r w:rsidRPr="002A3021">
                <w:rPr>
                  <w:rFonts w:eastAsia="Times New Roman"/>
                  <w:b/>
                  <w:bCs/>
                  <w:i/>
                  <w:iCs/>
                  <w:color w:val="000000"/>
                  <w:sz w:val="20"/>
                  <w:szCs w:val="20"/>
                  <w:lang w:eastAsia="en-AU"/>
                  <w14:ligatures w14:val="standardContextual"/>
                </w:rPr>
                <w:t>Heavy Vehicle National Law (South Australia)</w:t>
              </w:r>
            </w:hyperlink>
          </w:p>
        </w:tc>
        <w:tc>
          <w:tcPr>
            <w:tcW w:w="1385" w:type="dxa"/>
            <w:tcBorders>
              <w:top w:val="nil"/>
              <w:left w:val="nil"/>
              <w:bottom w:val="single" w:sz="4" w:space="0" w:color="auto"/>
              <w:right w:val="nil"/>
            </w:tcBorders>
          </w:tcPr>
          <w:p w14:paraId="220727AA" w14:textId="77777777" w:rsidR="002A3021" w:rsidRPr="002A3021" w:rsidRDefault="002A3021" w:rsidP="002A3021">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Demerit points</w:t>
            </w:r>
          </w:p>
        </w:tc>
      </w:tr>
      <w:tr w:rsidR="002A3021" w:rsidRPr="002A3021" w14:paraId="1BC122F0" w14:textId="77777777" w:rsidTr="00911011">
        <w:trPr>
          <w:cantSplit/>
        </w:trPr>
        <w:tc>
          <w:tcPr>
            <w:tcW w:w="1319" w:type="dxa"/>
            <w:tcBorders>
              <w:top w:val="single" w:sz="4" w:space="0" w:color="auto"/>
              <w:left w:val="nil"/>
              <w:bottom w:val="nil"/>
              <w:right w:val="nil"/>
            </w:tcBorders>
          </w:tcPr>
          <w:p w14:paraId="3CE7F20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529</w:t>
            </w:r>
          </w:p>
        </w:tc>
        <w:tc>
          <w:tcPr>
            <w:tcW w:w="6082" w:type="dxa"/>
            <w:tcBorders>
              <w:top w:val="single" w:sz="4" w:space="0" w:color="auto"/>
              <w:left w:val="nil"/>
              <w:bottom w:val="nil"/>
              <w:right w:val="nil"/>
            </w:tcBorders>
          </w:tcPr>
          <w:p w14:paraId="293BC9D6"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Using or permitting the use of heavy vehicle in contravention of a vehicle defect notice</w:t>
            </w:r>
          </w:p>
        </w:tc>
        <w:tc>
          <w:tcPr>
            <w:tcW w:w="1385" w:type="dxa"/>
            <w:tcBorders>
              <w:top w:val="single" w:sz="4" w:space="0" w:color="auto"/>
              <w:left w:val="nil"/>
              <w:bottom w:val="nil"/>
              <w:right w:val="nil"/>
            </w:tcBorders>
          </w:tcPr>
          <w:p w14:paraId="75BAD66E"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2A3021" w:rsidRPr="002A3021" w14:paraId="4E4334E0" w14:textId="77777777" w:rsidTr="00911011">
        <w:trPr>
          <w:cantSplit/>
        </w:trPr>
        <w:tc>
          <w:tcPr>
            <w:tcW w:w="1319" w:type="dxa"/>
            <w:tcBorders>
              <w:top w:val="nil"/>
              <w:left w:val="nil"/>
              <w:bottom w:val="nil"/>
              <w:right w:val="nil"/>
            </w:tcBorders>
          </w:tcPr>
          <w:p w14:paraId="5B66171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82" w:type="dxa"/>
            <w:tcBorders>
              <w:top w:val="nil"/>
              <w:left w:val="nil"/>
              <w:bottom w:val="nil"/>
              <w:right w:val="nil"/>
            </w:tcBorders>
          </w:tcPr>
          <w:p w14:paraId="7690DF9D"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Using heavy vehicle in contravention of a major defect notice or minor defect notice</w:t>
            </w:r>
          </w:p>
        </w:tc>
        <w:tc>
          <w:tcPr>
            <w:tcW w:w="1385" w:type="dxa"/>
            <w:tcBorders>
              <w:top w:val="nil"/>
              <w:left w:val="nil"/>
              <w:bottom w:val="nil"/>
              <w:right w:val="nil"/>
            </w:tcBorders>
          </w:tcPr>
          <w:p w14:paraId="2EDF7974" w14:textId="77777777" w:rsidR="002A3021" w:rsidRPr="002A3021" w:rsidRDefault="002A3021" w:rsidP="002A3021">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w:t>
            </w:r>
          </w:p>
        </w:tc>
      </w:tr>
    </w:tbl>
    <w:p w14:paraId="03505822"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07" w:name="Elkera_Print_TOC198"/>
      <w:bookmarkStart w:id="408" w:name="ida690f220_5005_4a19_8325_e88a2a9d2dd6_1"/>
      <w:r w:rsidRPr="002A3021">
        <w:rPr>
          <w:rFonts w:eastAsia="Times New Roman"/>
          <w:b/>
          <w:bCs/>
          <w:color w:val="000000"/>
          <w:sz w:val="32"/>
          <w:szCs w:val="32"/>
          <w:lang w:eastAsia="en-AU"/>
          <w14:ligatures w14:val="standardContextual"/>
        </w:rPr>
        <w:t>Schedule 5—Expiation Fees</w:t>
      </w:r>
      <w:bookmarkEnd w:id="407"/>
      <w:bookmarkEnd w:id="408"/>
    </w:p>
    <w:p w14:paraId="3C51D343"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9" w:name="Elkera_Print_TOC199"/>
      <w:bookmarkStart w:id="410" w:name="Elkera_Print_BK199"/>
      <w:r w:rsidRPr="002A3021">
        <w:rPr>
          <w:rFonts w:eastAsia="Times New Roman"/>
          <w:b/>
          <w:bCs/>
          <w:color w:val="000000"/>
          <w:sz w:val="26"/>
          <w:szCs w:val="26"/>
          <w:lang w:eastAsia="en-AU"/>
          <w14:ligatures w14:val="standardContextual"/>
        </w:rPr>
        <w:t xml:space="preserve">1—Offences against </w:t>
      </w:r>
      <w:r w:rsidRPr="002A3021">
        <w:rPr>
          <w:rFonts w:eastAsia="Times New Roman"/>
          <w:b/>
          <w:bCs/>
          <w:i/>
          <w:iCs/>
          <w:color w:val="000000"/>
          <w:sz w:val="26"/>
          <w:szCs w:val="26"/>
          <w:lang w:eastAsia="en-AU"/>
          <w14:ligatures w14:val="standardContextual"/>
        </w:rPr>
        <w:t>Motor Vehicles Act 1959</w:t>
      </w:r>
      <w:bookmarkEnd w:id="409"/>
      <w:bookmarkEnd w:id="410"/>
    </w:p>
    <w:p w14:paraId="2A22930D"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794" w:type="dxa"/>
        <w:tblLayout w:type="fixed"/>
        <w:tblCellMar>
          <w:left w:w="60" w:type="dxa"/>
          <w:right w:w="60" w:type="dxa"/>
        </w:tblCellMar>
        <w:tblLook w:val="0000" w:firstRow="0" w:lastRow="0" w:firstColumn="0" w:lastColumn="0" w:noHBand="0" w:noVBand="0"/>
      </w:tblPr>
      <w:tblGrid>
        <w:gridCol w:w="1368"/>
        <w:gridCol w:w="5255"/>
        <w:gridCol w:w="1368"/>
      </w:tblGrid>
      <w:tr w:rsidR="002A3021" w:rsidRPr="002A3021" w14:paraId="65C3F53F" w14:textId="77777777" w:rsidTr="00911011">
        <w:trPr>
          <w:cantSplit/>
          <w:tblHeader/>
        </w:trPr>
        <w:tc>
          <w:tcPr>
            <w:tcW w:w="1368" w:type="dxa"/>
            <w:tcBorders>
              <w:top w:val="nil"/>
              <w:left w:val="nil"/>
              <w:bottom w:val="single" w:sz="4" w:space="0" w:color="auto"/>
              <w:right w:val="nil"/>
            </w:tcBorders>
          </w:tcPr>
          <w:p w14:paraId="0B701ECF"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Section</w:t>
            </w:r>
          </w:p>
        </w:tc>
        <w:tc>
          <w:tcPr>
            <w:tcW w:w="5255" w:type="dxa"/>
            <w:tcBorders>
              <w:top w:val="nil"/>
              <w:left w:val="nil"/>
              <w:bottom w:val="single" w:sz="4" w:space="0" w:color="auto"/>
              <w:right w:val="nil"/>
            </w:tcBorders>
          </w:tcPr>
          <w:p w14:paraId="675AB0CE"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4" w:history="1">
              <w:r w:rsidRPr="002A3021">
                <w:rPr>
                  <w:rFonts w:eastAsia="Times New Roman"/>
                  <w:b/>
                  <w:bCs/>
                  <w:i/>
                  <w:iCs/>
                  <w:color w:val="000000"/>
                  <w:sz w:val="20"/>
                  <w:szCs w:val="20"/>
                  <w:lang w:eastAsia="en-AU"/>
                  <w14:ligatures w14:val="standardContextual"/>
                </w:rPr>
                <w:t>Motor Vehicles Act 1959</w:t>
              </w:r>
            </w:hyperlink>
          </w:p>
        </w:tc>
        <w:tc>
          <w:tcPr>
            <w:tcW w:w="1368" w:type="dxa"/>
            <w:tcBorders>
              <w:top w:val="nil"/>
              <w:left w:val="nil"/>
              <w:bottom w:val="single" w:sz="4" w:space="0" w:color="auto"/>
              <w:right w:val="nil"/>
            </w:tcBorders>
          </w:tcPr>
          <w:p w14:paraId="1D3DC53A" w14:textId="77777777" w:rsidR="002A3021" w:rsidRPr="002A3021" w:rsidRDefault="002A3021" w:rsidP="002A3021">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Fee</w:t>
            </w:r>
          </w:p>
        </w:tc>
      </w:tr>
      <w:tr w:rsidR="002A3021" w:rsidRPr="002A3021" w14:paraId="0A17BC86" w14:textId="77777777" w:rsidTr="00911011">
        <w:trPr>
          <w:cantSplit/>
        </w:trPr>
        <w:tc>
          <w:tcPr>
            <w:tcW w:w="1368" w:type="dxa"/>
            <w:tcBorders>
              <w:top w:val="single" w:sz="4" w:space="0" w:color="auto"/>
              <w:left w:val="nil"/>
              <w:bottom w:val="nil"/>
              <w:right w:val="nil"/>
            </w:tcBorders>
          </w:tcPr>
          <w:p w14:paraId="29A44E0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9(1)</w:t>
            </w:r>
          </w:p>
        </w:tc>
        <w:tc>
          <w:tcPr>
            <w:tcW w:w="5255" w:type="dxa"/>
            <w:tcBorders>
              <w:top w:val="single" w:sz="4" w:space="0" w:color="auto"/>
              <w:left w:val="nil"/>
              <w:bottom w:val="nil"/>
              <w:right w:val="nil"/>
            </w:tcBorders>
          </w:tcPr>
          <w:p w14:paraId="1F530C3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unregistered motor vehicle on road or causing unregistered motor vehicle to stand on road</w:t>
            </w:r>
          </w:p>
        </w:tc>
        <w:tc>
          <w:tcPr>
            <w:tcW w:w="1368" w:type="dxa"/>
            <w:tcBorders>
              <w:top w:val="single" w:sz="4" w:space="0" w:color="auto"/>
              <w:left w:val="nil"/>
              <w:bottom w:val="nil"/>
              <w:right w:val="nil"/>
            </w:tcBorders>
          </w:tcPr>
          <w:p w14:paraId="5009268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$486</w:t>
            </w:r>
          </w:p>
        </w:tc>
      </w:tr>
      <w:tr w:rsidR="002A3021" w:rsidRPr="002A3021" w14:paraId="35AEBA48" w14:textId="77777777" w:rsidTr="00911011">
        <w:trPr>
          <w:cantSplit/>
        </w:trPr>
        <w:tc>
          <w:tcPr>
            <w:tcW w:w="1368" w:type="dxa"/>
            <w:tcBorders>
              <w:top w:val="nil"/>
              <w:left w:val="nil"/>
              <w:bottom w:val="nil"/>
              <w:right w:val="nil"/>
            </w:tcBorders>
          </w:tcPr>
          <w:p w14:paraId="4BA80BFD"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9(3)</w:t>
            </w:r>
          </w:p>
        </w:tc>
        <w:tc>
          <w:tcPr>
            <w:tcW w:w="5255" w:type="dxa"/>
            <w:tcBorders>
              <w:top w:val="nil"/>
              <w:left w:val="nil"/>
              <w:bottom w:val="nil"/>
              <w:right w:val="nil"/>
            </w:tcBorders>
          </w:tcPr>
          <w:p w14:paraId="08E0C24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Being owner of unregistered motor vehicle driven or found standing on road</w:t>
            </w:r>
          </w:p>
        </w:tc>
        <w:tc>
          <w:tcPr>
            <w:tcW w:w="1368" w:type="dxa"/>
            <w:tcBorders>
              <w:top w:val="nil"/>
              <w:left w:val="nil"/>
              <w:bottom w:val="nil"/>
              <w:right w:val="nil"/>
            </w:tcBorders>
          </w:tcPr>
          <w:p w14:paraId="318AD23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$486</w:t>
            </w:r>
          </w:p>
        </w:tc>
      </w:tr>
      <w:tr w:rsidR="002A3021" w:rsidRPr="002A3021" w14:paraId="73458C11" w14:textId="77777777" w:rsidTr="00911011">
        <w:trPr>
          <w:cantSplit/>
        </w:trPr>
        <w:tc>
          <w:tcPr>
            <w:tcW w:w="1368" w:type="dxa"/>
            <w:tcBorders>
              <w:top w:val="nil"/>
              <w:left w:val="nil"/>
              <w:bottom w:val="nil"/>
              <w:right w:val="nil"/>
            </w:tcBorders>
          </w:tcPr>
          <w:p w14:paraId="0B2D282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16(9)</w:t>
            </w:r>
          </w:p>
        </w:tc>
        <w:tc>
          <w:tcPr>
            <w:tcW w:w="5255" w:type="dxa"/>
            <w:tcBorders>
              <w:top w:val="nil"/>
              <w:left w:val="nil"/>
              <w:bottom w:val="nil"/>
              <w:right w:val="nil"/>
            </w:tcBorders>
          </w:tcPr>
          <w:p w14:paraId="5E69813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without carrying permit under section 16 of Act</w:t>
            </w:r>
          </w:p>
        </w:tc>
        <w:tc>
          <w:tcPr>
            <w:tcW w:w="1368" w:type="dxa"/>
            <w:tcBorders>
              <w:top w:val="nil"/>
              <w:left w:val="nil"/>
              <w:bottom w:val="nil"/>
              <w:right w:val="nil"/>
            </w:tcBorders>
          </w:tcPr>
          <w:p w14:paraId="108FAF5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$170</w:t>
            </w:r>
          </w:p>
        </w:tc>
      </w:tr>
      <w:tr w:rsidR="002A3021" w:rsidRPr="002A3021" w14:paraId="2D082955" w14:textId="77777777" w:rsidTr="00911011">
        <w:trPr>
          <w:cantSplit/>
        </w:trPr>
        <w:tc>
          <w:tcPr>
            <w:tcW w:w="1368" w:type="dxa"/>
            <w:tcBorders>
              <w:top w:val="nil"/>
              <w:left w:val="nil"/>
              <w:bottom w:val="nil"/>
              <w:right w:val="nil"/>
            </w:tcBorders>
          </w:tcPr>
          <w:p w14:paraId="4E1B599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16(11)</w:t>
            </w:r>
          </w:p>
        </w:tc>
        <w:tc>
          <w:tcPr>
            <w:tcW w:w="5255" w:type="dxa"/>
            <w:tcBorders>
              <w:top w:val="nil"/>
              <w:left w:val="nil"/>
              <w:bottom w:val="nil"/>
              <w:right w:val="nil"/>
            </w:tcBorders>
          </w:tcPr>
          <w:p w14:paraId="0A49DC8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of permit under section 16 of Act</w:t>
            </w:r>
          </w:p>
        </w:tc>
        <w:tc>
          <w:tcPr>
            <w:tcW w:w="1368" w:type="dxa"/>
            <w:tcBorders>
              <w:top w:val="nil"/>
              <w:left w:val="nil"/>
              <w:bottom w:val="nil"/>
              <w:right w:val="nil"/>
            </w:tcBorders>
          </w:tcPr>
          <w:p w14:paraId="4E9E6150"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$140</w:t>
            </w:r>
          </w:p>
        </w:tc>
      </w:tr>
      <w:tr w:rsidR="002A3021" w:rsidRPr="002A3021" w14:paraId="23FF1AD3" w14:textId="77777777" w:rsidTr="00911011">
        <w:trPr>
          <w:cantSplit/>
        </w:trPr>
        <w:tc>
          <w:tcPr>
            <w:tcW w:w="1368" w:type="dxa"/>
            <w:tcBorders>
              <w:top w:val="nil"/>
              <w:left w:val="nil"/>
              <w:bottom w:val="nil"/>
              <w:right w:val="nil"/>
            </w:tcBorders>
          </w:tcPr>
          <w:p w14:paraId="2D26719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43A(3)</w:t>
            </w:r>
          </w:p>
        </w:tc>
        <w:tc>
          <w:tcPr>
            <w:tcW w:w="5255" w:type="dxa"/>
            <w:tcBorders>
              <w:top w:val="nil"/>
              <w:left w:val="nil"/>
              <w:bottom w:val="nil"/>
              <w:right w:val="nil"/>
            </w:tcBorders>
          </w:tcPr>
          <w:p w14:paraId="36E104F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Causing or permitting unregistered heavy vehicle to be driven on road</w:t>
            </w:r>
          </w:p>
        </w:tc>
        <w:tc>
          <w:tcPr>
            <w:tcW w:w="1368" w:type="dxa"/>
            <w:tcBorders>
              <w:top w:val="nil"/>
              <w:left w:val="nil"/>
              <w:bottom w:val="nil"/>
              <w:right w:val="nil"/>
            </w:tcBorders>
          </w:tcPr>
          <w:p w14:paraId="7188B11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$486</w:t>
            </w:r>
          </w:p>
        </w:tc>
      </w:tr>
      <w:tr w:rsidR="002A3021" w:rsidRPr="002A3021" w14:paraId="304E3B16" w14:textId="77777777" w:rsidTr="00911011">
        <w:trPr>
          <w:cantSplit/>
        </w:trPr>
        <w:tc>
          <w:tcPr>
            <w:tcW w:w="1368" w:type="dxa"/>
            <w:tcBorders>
              <w:top w:val="nil"/>
              <w:left w:val="nil"/>
              <w:bottom w:val="nil"/>
              <w:right w:val="nil"/>
            </w:tcBorders>
          </w:tcPr>
          <w:p w14:paraId="0CB4C52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43A(7)</w:t>
            </w:r>
          </w:p>
        </w:tc>
        <w:tc>
          <w:tcPr>
            <w:tcW w:w="5255" w:type="dxa"/>
            <w:tcBorders>
              <w:top w:val="nil"/>
              <w:left w:val="nil"/>
              <w:bottom w:val="nil"/>
              <w:right w:val="nil"/>
            </w:tcBorders>
          </w:tcPr>
          <w:p w14:paraId="0DFD35D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carry temporary configuration certificate in vehicle or to produce it for inspection by police officer or authorised officer</w:t>
            </w:r>
          </w:p>
        </w:tc>
        <w:tc>
          <w:tcPr>
            <w:tcW w:w="1368" w:type="dxa"/>
            <w:tcBorders>
              <w:top w:val="nil"/>
              <w:left w:val="nil"/>
              <w:bottom w:val="nil"/>
              <w:right w:val="nil"/>
            </w:tcBorders>
          </w:tcPr>
          <w:p w14:paraId="4607B241"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$68</w:t>
            </w:r>
          </w:p>
        </w:tc>
      </w:tr>
      <w:tr w:rsidR="002A3021" w:rsidRPr="002A3021" w14:paraId="21A5E80A" w14:textId="77777777" w:rsidTr="00911011">
        <w:trPr>
          <w:cantSplit/>
        </w:trPr>
        <w:tc>
          <w:tcPr>
            <w:tcW w:w="1368" w:type="dxa"/>
            <w:tcBorders>
              <w:top w:val="nil"/>
              <w:left w:val="nil"/>
              <w:bottom w:val="nil"/>
              <w:right w:val="nil"/>
            </w:tcBorders>
          </w:tcPr>
          <w:p w14:paraId="443D7BCE"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47(1)</w:t>
            </w:r>
          </w:p>
        </w:tc>
        <w:tc>
          <w:tcPr>
            <w:tcW w:w="5255" w:type="dxa"/>
            <w:tcBorders>
              <w:top w:val="nil"/>
              <w:left w:val="nil"/>
              <w:bottom w:val="nil"/>
              <w:right w:val="nil"/>
            </w:tcBorders>
          </w:tcPr>
          <w:p w14:paraId="05C36C4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causing to stand, motor vehicle not bearing number plates</w:t>
            </w:r>
          </w:p>
        </w:tc>
        <w:tc>
          <w:tcPr>
            <w:tcW w:w="1368" w:type="dxa"/>
            <w:tcBorders>
              <w:top w:val="nil"/>
              <w:left w:val="nil"/>
              <w:bottom w:val="nil"/>
              <w:right w:val="nil"/>
            </w:tcBorders>
          </w:tcPr>
          <w:p w14:paraId="351C81A2"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2A3021" w:rsidRPr="002A3021" w14:paraId="0CF78191" w14:textId="77777777" w:rsidTr="00911011">
        <w:trPr>
          <w:cantSplit/>
        </w:trPr>
        <w:tc>
          <w:tcPr>
            <w:tcW w:w="1368" w:type="dxa"/>
            <w:tcBorders>
              <w:top w:val="nil"/>
              <w:left w:val="nil"/>
              <w:bottom w:val="nil"/>
              <w:right w:val="nil"/>
            </w:tcBorders>
          </w:tcPr>
          <w:p w14:paraId="74C38658"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47(1a)</w:t>
            </w:r>
          </w:p>
        </w:tc>
        <w:tc>
          <w:tcPr>
            <w:tcW w:w="5255" w:type="dxa"/>
            <w:tcBorders>
              <w:top w:val="nil"/>
              <w:left w:val="nil"/>
              <w:bottom w:val="nil"/>
              <w:right w:val="nil"/>
            </w:tcBorders>
          </w:tcPr>
          <w:p w14:paraId="0C05DF73"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Being registered owner or registered operator of motor vehicle driven, or caused to stand, in contravention of section 47(1) of Act</w:t>
            </w:r>
          </w:p>
        </w:tc>
        <w:tc>
          <w:tcPr>
            <w:tcW w:w="1368" w:type="dxa"/>
            <w:tcBorders>
              <w:top w:val="nil"/>
              <w:left w:val="nil"/>
              <w:bottom w:val="nil"/>
              <w:right w:val="nil"/>
            </w:tcBorders>
          </w:tcPr>
          <w:p w14:paraId="5859ED75"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2A3021" w:rsidRPr="002A3021" w14:paraId="46263D2B" w14:textId="77777777" w:rsidTr="00911011">
        <w:trPr>
          <w:cantSplit/>
        </w:trPr>
        <w:tc>
          <w:tcPr>
            <w:tcW w:w="1368" w:type="dxa"/>
            <w:tcBorders>
              <w:top w:val="nil"/>
              <w:left w:val="nil"/>
              <w:bottom w:val="nil"/>
              <w:right w:val="nil"/>
            </w:tcBorders>
          </w:tcPr>
          <w:p w14:paraId="0E3245E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47A(7)</w:t>
            </w:r>
          </w:p>
        </w:tc>
        <w:tc>
          <w:tcPr>
            <w:tcW w:w="5255" w:type="dxa"/>
            <w:tcBorders>
              <w:top w:val="nil"/>
              <w:left w:val="nil"/>
              <w:bottom w:val="nil"/>
              <w:right w:val="nil"/>
            </w:tcBorders>
          </w:tcPr>
          <w:p w14:paraId="39B0B1E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to which is attached number plates in respect of which a declaration under section 47A(2) of Act has been made without relevant agreement under section 47A(4)</w:t>
            </w:r>
          </w:p>
        </w:tc>
        <w:tc>
          <w:tcPr>
            <w:tcW w:w="1368" w:type="dxa"/>
            <w:tcBorders>
              <w:top w:val="nil"/>
              <w:left w:val="nil"/>
              <w:bottom w:val="nil"/>
              <w:right w:val="nil"/>
            </w:tcBorders>
          </w:tcPr>
          <w:p w14:paraId="4AA5652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2A3021" w:rsidRPr="002A3021" w14:paraId="557817FD" w14:textId="77777777" w:rsidTr="00911011">
        <w:trPr>
          <w:cantSplit/>
        </w:trPr>
        <w:tc>
          <w:tcPr>
            <w:tcW w:w="1368" w:type="dxa"/>
            <w:tcBorders>
              <w:top w:val="nil"/>
              <w:left w:val="nil"/>
              <w:bottom w:val="nil"/>
              <w:right w:val="nil"/>
            </w:tcBorders>
          </w:tcPr>
          <w:p w14:paraId="440576B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47B(2)</w:t>
            </w:r>
          </w:p>
        </w:tc>
        <w:tc>
          <w:tcPr>
            <w:tcW w:w="5255" w:type="dxa"/>
            <w:tcBorders>
              <w:top w:val="nil"/>
              <w:left w:val="nil"/>
              <w:bottom w:val="nil"/>
              <w:right w:val="nil"/>
            </w:tcBorders>
          </w:tcPr>
          <w:p w14:paraId="20A7E0A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Selling or supplying number plates without approval of Minister</w:t>
            </w:r>
          </w:p>
        </w:tc>
        <w:tc>
          <w:tcPr>
            <w:tcW w:w="1368" w:type="dxa"/>
            <w:tcBorders>
              <w:top w:val="nil"/>
              <w:left w:val="nil"/>
              <w:bottom w:val="nil"/>
              <w:right w:val="nil"/>
            </w:tcBorders>
          </w:tcPr>
          <w:p w14:paraId="6362843E"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2A3021" w:rsidRPr="002A3021" w14:paraId="0A2968DB" w14:textId="77777777" w:rsidTr="00911011">
        <w:trPr>
          <w:cantSplit/>
        </w:trPr>
        <w:tc>
          <w:tcPr>
            <w:tcW w:w="1368" w:type="dxa"/>
            <w:tcBorders>
              <w:top w:val="nil"/>
              <w:left w:val="nil"/>
              <w:bottom w:val="nil"/>
              <w:right w:val="nil"/>
            </w:tcBorders>
          </w:tcPr>
          <w:p w14:paraId="7B3D1A1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47C(3)</w:t>
            </w:r>
          </w:p>
        </w:tc>
        <w:tc>
          <w:tcPr>
            <w:tcW w:w="5255" w:type="dxa"/>
            <w:tcBorders>
              <w:top w:val="nil"/>
              <w:left w:val="nil"/>
              <w:bottom w:val="nil"/>
              <w:right w:val="nil"/>
            </w:tcBorders>
          </w:tcPr>
          <w:p w14:paraId="721F457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comply with direction of Registrar under section 47C(2) of Act</w:t>
            </w:r>
          </w:p>
        </w:tc>
        <w:tc>
          <w:tcPr>
            <w:tcW w:w="1368" w:type="dxa"/>
            <w:tcBorders>
              <w:top w:val="nil"/>
              <w:left w:val="nil"/>
              <w:bottom w:val="nil"/>
              <w:right w:val="nil"/>
            </w:tcBorders>
          </w:tcPr>
          <w:p w14:paraId="34B7CC67"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$389</w:t>
            </w:r>
          </w:p>
        </w:tc>
      </w:tr>
      <w:tr w:rsidR="002A3021" w:rsidRPr="002A3021" w14:paraId="4B48C92A" w14:textId="77777777" w:rsidTr="00911011">
        <w:trPr>
          <w:cantSplit/>
        </w:trPr>
        <w:tc>
          <w:tcPr>
            <w:tcW w:w="1368" w:type="dxa"/>
            <w:tcBorders>
              <w:top w:val="nil"/>
              <w:left w:val="nil"/>
              <w:bottom w:val="nil"/>
              <w:right w:val="nil"/>
            </w:tcBorders>
          </w:tcPr>
          <w:p w14:paraId="71A8607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47D(1)(a)</w:t>
            </w:r>
          </w:p>
        </w:tc>
        <w:tc>
          <w:tcPr>
            <w:tcW w:w="5255" w:type="dxa"/>
            <w:tcBorders>
              <w:top w:val="nil"/>
              <w:left w:val="nil"/>
              <w:bottom w:val="nil"/>
              <w:right w:val="nil"/>
            </w:tcBorders>
          </w:tcPr>
          <w:p w14:paraId="6388A27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causing to stand, motor vehicle to which is attached number plate bearing number other than number allotted to vehicle</w:t>
            </w:r>
          </w:p>
        </w:tc>
        <w:tc>
          <w:tcPr>
            <w:tcW w:w="1368" w:type="dxa"/>
            <w:tcBorders>
              <w:top w:val="nil"/>
              <w:left w:val="nil"/>
              <w:bottom w:val="nil"/>
              <w:right w:val="nil"/>
            </w:tcBorders>
          </w:tcPr>
          <w:p w14:paraId="0BCCCFB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2A3021" w:rsidRPr="002A3021" w14:paraId="4B467C22" w14:textId="77777777" w:rsidTr="00911011">
        <w:trPr>
          <w:cantSplit/>
        </w:trPr>
        <w:tc>
          <w:tcPr>
            <w:tcW w:w="1368" w:type="dxa"/>
            <w:tcBorders>
              <w:top w:val="nil"/>
              <w:left w:val="nil"/>
              <w:bottom w:val="nil"/>
              <w:right w:val="nil"/>
            </w:tcBorders>
          </w:tcPr>
          <w:p w14:paraId="425A2082"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47D(1)(b)</w:t>
            </w:r>
          </w:p>
        </w:tc>
        <w:tc>
          <w:tcPr>
            <w:tcW w:w="5255" w:type="dxa"/>
            <w:tcBorders>
              <w:top w:val="nil"/>
              <w:left w:val="nil"/>
              <w:bottom w:val="nil"/>
              <w:right w:val="nil"/>
            </w:tcBorders>
          </w:tcPr>
          <w:p w14:paraId="169DE34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causing to stand, motor vehicle to which is attached number plate altered, defaced, mutilated or added to</w:t>
            </w:r>
          </w:p>
        </w:tc>
        <w:tc>
          <w:tcPr>
            <w:tcW w:w="1368" w:type="dxa"/>
            <w:tcBorders>
              <w:top w:val="nil"/>
              <w:left w:val="nil"/>
              <w:bottom w:val="nil"/>
              <w:right w:val="nil"/>
            </w:tcBorders>
          </w:tcPr>
          <w:p w14:paraId="42261D7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2A3021" w:rsidRPr="002A3021" w14:paraId="23FCE24D" w14:textId="77777777" w:rsidTr="00911011">
        <w:trPr>
          <w:cantSplit/>
        </w:trPr>
        <w:tc>
          <w:tcPr>
            <w:tcW w:w="1368" w:type="dxa"/>
            <w:tcBorders>
              <w:top w:val="nil"/>
              <w:left w:val="nil"/>
              <w:bottom w:val="nil"/>
              <w:right w:val="nil"/>
            </w:tcBorders>
          </w:tcPr>
          <w:p w14:paraId="6A150CE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47D(1)(c)</w:t>
            </w:r>
          </w:p>
        </w:tc>
        <w:tc>
          <w:tcPr>
            <w:tcW w:w="5255" w:type="dxa"/>
            <w:tcBorders>
              <w:top w:val="nil"/>
              <w:left w:val="nil"/>
              <w:bottom w:val="nil"/>
              <w:right w:val="nil"/>
            </w:tcBorders>
          </w:tcPr>
          <w:p w14:paraId="449BD62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or causing to stand, motor vehicle to which is attached colourable imitation of number plate</w:t>
            </w:r>
          </w:p>
        </w:tc>
        <w:tc>
          <w:tcPr>
            <w:tcW w:w="1368" w:type="dxa"/>
            <w:tcBorders>
              <w:top w:val="nil"/>
              <w:left w:val="nil"/>
              <w:bottom w:val="nil"/>
              <w:right w:val="nil"/>
            </w:tcBorders>
          </w:tcPr>
          <w:p w14:paraId="297260EB"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bl>
    <w:p w14:paraId="1F5889E9" w14:textId="77777777" w:rsidR="00E25A7D" w:rsidRDefault="00E25A7D">
      <w:r>
        <w:br w:type="page"/>
      </w:r>
    </w:p>
    <w:tbl>
      <w:tblPr>
        <w:tblW w:w="0" w:type="auto"/>
        <w:tblInd w:w="794" w:type="dxa"/>
        <w:tblLayout w:type="fixed"/>
        <w:tblCellMar>
          <w:left w:w="60" w:type="dxa"/>
          <w:right w:w="60" w:type="dxa"/>
        </w:tblCellMar>
        <w:tblLook w:val="0000" w:firstRow="0" w:lastRow="0" w:firstColumn="0" w:lastColumn="0" w:noHBand="0" w:noVBand="0"/>
      </w:tblPr>
      <w:tblGrid>
        <w:gridCol w:w="1368"/>
        <w:gridCol w:w="5255"/>
        <w:gridCol w:w="1368"/>
      </w:tblGrid>
      <w:tr w:rsidR="00E25A7D" w:rsidRPr="002A3021" w14:paraId="719A8B5A" w14:textId="77777777" w:rsidTr="00E25A7D">
        <w:trPr>
          <w:cantSplit/>
        </w:trPr>
        <w:tc>
          <w:tcPr>
            <w:tcW w:w="1368" w:type="dxa"/>
            <w:tcBorders>
              <w:top w:val="nil"/>
              <w:left w:val="nil"/>
              <w:bottom w:val="single" w:sz="4" w:space="0" w:color="auto"/>
              <w:right w:val="nil"/>
            </w:tcBorders>
          </w:tcPr>
          <w:p w14:paraId="37827007" w14:textId="04628A8D"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5255" w:type="dxa"/>
            <w:tcBorders>
              <w:top w:val="nil"/>
              <w:left w:val="nil"/>
              <w:bottom w:val="single" w:sz="4" w:space="0" w:color="auto"/>
              <w:right w:val="nil"/>
            </w:tcBorders>
          </w:tcPr>
          <w:p w14:paraId="22107E08" w14:textId="5369E65D"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5" w:history="1">
              <w:r w:rsidRPr="002A3021">
                <w:rPr>
                  <w:rFonts w:eastAsia="Times New Roman"/>
                  <w:b/>
                  <w:bCs/>
                  <w:i/>
                  <w:iCs/>
                  <w:color w:val="000000"/>
                  <w:sz w:val="20"/>
                  <w:szCs w:val="20"/>
                  <w:lang w:eastAsia="en-AU"/>
                  <w14:ligatures w14:val="standardContextual"/>
                </w:rPr>
                <w:t>Motor Vehicles Act 1959</w:t>
              </w:r>
            </w:hyperlink>
          </w:p>
        </w:tc>
        <w:tc>
          <w:tcPr>
            <w:tcW w:w="1368" w:type="dxa"/>
            <w:tcBorders>
              <w:top w:val="nil"/>
              <w:left w:val="nil"/>
              <w:bottom w:val="single" w:sz="4" w:space="0" w:color="auto"/>
              <w:right w:val="nil"/>
            </w:tcBorders>
          </w:tcPr>
          <w:p w14:paraId="6DBFC94D" w14:textId="20B75EE5"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Fee</w:t>
            </w:r>
          </w:p>
        </w:tc>
      </w:tr>
      <w:tr w:rsidR="00E25A7D" w:rsidRPr="002A3021" w14:paraId="301C72F0" w14:textId="77777777" w:rsidTr="00E25A7D">
        <w:trPr>
          <w:cantSplit/>
        </w:trPr>
        <w:tc>
          <w:tcPr>
            <w:tcW w:w="1368" w:type="dxa"/>
            <w:tcBorders>
              <w:top w:val="single" w:sz="4" w:space="0" w:color="auto"/>
              <w:left w:val="nil"/>
              <w:bottom w:val="nil"/>
              <w:right w:val="nil"/>
            </w:tcBorders>
          </w:tcPr>
          <w:p w14:paraId="6C0A3E01" w14:textId="32AE692A"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47D(1)(d)</w:t>
            </w:r>
          </w:p>
        </w:tc>
        <w:tc>
          <w:tcPr>
            <w:tcW w:w="5255" w:type="dxa"/>
            <w:tcBorders>
              <w:top w:val="single" w:sz="4" w:space="0" w:color="auto"/>
              <w:left w:val="nil"/>
              <w:bottom w:val="nil"/>
              <w:right w:val="nil"/>
            </w:tcBorders>
          </w:tcPr>
          <w:p w14:paraId="5FF9AD03" w14:textId="68052E72" w:rsidR="00E25A7D" w:rsidRPr="002A3021" w:rsidRDefault="00E25A7D" w:rsidP="00E25A7D">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Without lawful excuse, having in possession number plate or article resembling number plate</w:t>
            </w:r>
          </w:p>
        </w:tc>
        <w:tc>
          <w:tcPr>
            <w:tcW w:w="1368" w:type="dxa"/>
            <w:tcBorders>
              <w:top w:val="single" w:sz="4" w:space="0" w:color="auto"/>
              <w:left w:val="nil"/>
              <w:bottom w:val="nil"/>
              <w:right w:val="nil"/>
            </w:tcBorders>
          </w:tcPr>
          <w:p w14:paraId="086F47A6" w14:textId="29D3C27A"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E25A7D" w:rsidRPr="002A3021" w14:paraId="5F79CF82" w14:textId="77777777" w:rsidTr="00911011">
        <w:trPr>
          <w:cantSplit/>
        </w:trPr>
        <w:tc>
          <w:tcPr>
            <w:tcW w:w="1368" w:type="dxa"/>
            <w:tcBorders>
              <w:top w:val="nil"/>
              <w:left w:val="nil"/>
              <w:bottom w:val="nil"/>
              <w:right w:val="nil"/>
            </w:tcBorders>
          </w:tcPr>
          <w:p w14:paraId="50E0E99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47D(2)</w:t>
            </w:r>
          </w:p>
        </w:tc>
        <w:tc>
          <w:tcPr>
            <w:tcW w:w="5255" w:type="dxa"/>
            <w:tcBorders>
              <w:top w:val="nil"/>
              <w:left w:val="nil"/>
              <w:bottom w:val="nil"/>
              <w:right w:val="nil"/>
            </w:tcBorders>
          </w:tcPr>
          <w:p w14:paraId="5F6F17DB"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Being registered owner or registered operator of motor vehicle driven, or caused to stand, in contravention of section 47D(1)(a), (b) or (c) of Act</w:t>
            </w:r>
          </w:p>
        </w:tc>
        <w:tc>
          <w:tcPr>
            <w:tcW w:w="1368" w:type="dxa"/>
            <w:tcBorders>
              <w:top w:val="nil"/>
              <w:left w:val="nil"/>
              <w:bottom w:val="nil"/>
              <w:right w:val="nil"/>
            </w:tcBorders>
          </w:tcPr>
          <w:p w14:paraId="43F31502"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$857</w:t>
            </w:r>
          </w:p>
        </w:tc>
      </w:tr>
      <w:tr w:rsidR="00E25A7D" w:rsidRPr="002A3021" w14:paraId="2344C031" w14:textId="77777777" w:rsidTr="00911011">
        <w:trPr>
          <w:cantSplit/>
        </w:trPr>
        <w:tc>
          <w:tcPr>
            <w:tcW w:w="1368" w:type="dxa"/>
            <w:tcBorders>
              <w:top w:val="nil"/>
              <w:left w:val="nil"/>
              <w:bottom w:val="nil"/>
              <w:right w:val="nil"/>
            </w:tcBorders>
          </w:tcPr>
          <w:p w14:paraId="5F1A89A3"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56</w:t>
            </w:r>
          </w:p>
        </w:tc>
        <w:tc>
          <w:tcPr>
            <w:tcW w:w="5255" w:type="dxa"/>
            <w:tcBorders>
              <w:top w:val="nil"/>
              <w:left w:val="nil"/>
              <w:bottom w:val="nil"/>
              <w:right w:val="nil"/>
            </w:tcBorders>
          </w:tcPr>
          <w:p w14:paraId="181F2322"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comply with requirements of section on transfer of ownership of motor vehicle—</w:t>
            </w:r>
          </w:p>
        </w:tc>
        <w:tc>
          <w:tcPr>
            <w:tcW w:w="1368" w:type="dxa"/>
            <w:tcBorders>
              <w:top w:val="nil"/>
              <w:left w:val="nil"/>
              <w:bottom w:val="nil"/>
              <w:right w:val="nil"/>
            </w:tcBorders>
          </w:tcPr>
          <w:p w14:paraId="7D939EEC" w14:textId="77777777" w:rsidR="00E25A7D" w:rsidRPr="002A3021" w:rsidRDefault="00E25A7D" w:rsidP="00E25A7D">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E25A7D" w:rsidRPr="002A3021" w14:paraId="44301563" w14:textId="77777777" w:rsidTr="00911011">
        <w:trPr>
          <w:cantSplit/>
        </w:trPr>
        <w:tc>
          <w:tcPr>
            <w:tcW w:w="1368" w:type="dxa"/>
            <w:tcBorders>
              <w:top w:val="nil"/>
              <w:left w:val="nil"/>
              <w:bottom w:val="nil"/>
              <w:right w:val="nil"/>
            </w:tcBorders>
          </w:tcPr>
          <w:p w14:paraId="1F8DE667"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21CCC5A7" w14:textId="77777777" w:rsidR="00E25A7D" w:rsidRPr="002A3021" w:rsidRDefault="00E25A7D" w:rsidP="00E25A7D">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failing to lodge notice of transfer of ownership of motor vehicle within 14 days after transfer in accordance with section 56(b)(ii) where application for cancellation of registration has not been made in accordance with section 56(a)</w:t>
            </w:r>
          </w:p>
        </w:tc>
        <w:tc>
          <w:tcPr>
            <w:tcW w:w="1368" w:type="dxa"/>
            <w:tcBorders>
              <w:top w:val="nil"/>
              <w:left w:val="nil"/>
              <w:bottom w:val="nil"/>
              <w:right w:val="nil"/>
            </w:tcBorders>
          </w:tcPr>
          <w:p w14:paraId="47C74F0A"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$324</w:t>
            </w:r>
          </w:p>
        </w:tc>
      </w:tr>
      <w:tr w:rsidR="00E25A7D" w:rsidRPr="002A3021" w14:paraId="58F74964" w14:textId="77777777" w:rsidTr="00911011">
        <w:trPr>
          <w:cantSplit/>
        </w:trPr>
        <w:tc>
          <w:tcPr>
            <w:tcW w:w="1368" w:type="dxa"/>
            <w:tcBorders>
              <w:top w:val="nil"/>
              <w:left w:val="nil"/>
              <w:bottom w:val="nil"/>
              <w:right w:val="nil"/>
            </w:tcBorders>
          </w:tcPr>
          <w:p w14:paraId="03B1603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66(2)</w:t>
            </w:r>
          </w:p>
        </w:tc>
        <w:tc>
          <w:tcPr>
            <w:tcW w:w="5255" w:type="dxa"/>
            <w:tcBorders>
              <w:top w:val="nil"/>
              <w:left w:val="nil"/>
              <w:bottom w:val="nil"/>
              <w:right w:val="nil"/>
            </w:tcBorders>
          </w:tcPr>
          <w:p w14:paraId="46C5E5D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If motor vehicle to which trade plates are affixed is driven other than for a prescribed purpose stated in application for issue of the plates, being driver or person to whom plates were issued</w:t>
            </w:r>
          </w:p>
        </w:tc>
        <w:tc>
          <w:tcPr>
            <w:tcW w:w="1368" w:type="dxa"/>
            <w:tcBorders>
              <w:top w:val="nil"/>
              <w:left w:val="nil"/>
              <w:bottom w:val="nil"/>
              <w:right w:val="nil"/>
            </w:tcBorders>
          </w:tcPr>
          <w:p w14:paraId="31104A18"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$166</w:t>
            </w:r>
          </w:p>
        </w:tc>
      </w:tr>
      <w:tr w:rsidR="00E25A7D" w:rsidRPr="002A3021" w14:paraId="2B08868A" w14:textId="77777777" w:rsidTr="00911011">
        <w:trPr>
          <w:cantSplit/>
        </w:trPr>
        <w:tc>
          <w:tcPr>
            <w:tcW w:w="1368" w:type="dxa"/>
            <w:tcBorders>
              <w:top w:val="nil"/>
              <w:left w:val="nil"/>
              <w:bottom w:val="nil"/>
              <w:right w:val="nil"/>
            </w:tcBorders>
          </w:tcPr>
          <w:p w14:paraId="21C776E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71B(2)</w:t>
            </w:r>
          </w:p>
        </w:tc>
        <w:tc>
          <w:tcPr>
            <w:tcW w:w="5255" w:type="dxa"/>
            <w:tcBorders>
              <w:top w:val="nil"/>
              <w:left w:val="nil"/>
              <w:bottom w:val="nil"/>
              <w:right w:val="nil"/>
            </w:tcBorders>
          </w:tcPr>
          <w:p w14:paraId="7C28E270"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Failure by person to whom replacement number plate, trade plate or prescribed document issued to return found or recovered original plate or document to Registrar</w:t>
            </w:r>
          </w:p>
        </w:tc>
        <w:tc>
          <w:tcPr>
            <w:tcW w:w="1368" w:type="dxa"/>
            <w:tcBorders>
              <w:top w:val="nil"/>
              <w:left w:val="nil"/>
              <w:bottom w:val="nil"/>
              <w:right w:val="nil"/>
            </w:tcBorders>
          </w:tcPr>
          <w:p w14:paraId="4783EC2E"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$166</w:t>
            </w:r>
          </w:p>
        </w:tc>
      </w:tr>
      <w:tr w:rsidR="00E25A7D" w:rsidRPr="002A3021" w14:paraId="2035BD64" w14:textId="77777777" w:rsidTr="00911011">
        <w:trPr>
          <w:cantSplit/>
        </w:trPr>
        <w:tc>
          <w:tcPr>
            <w:tcW w:w="1368" w:type="dxa"/>
            <w:tcBorders>
              <w:top w:val="nil"/>
              <w:left w:val="nil"/>
              <w:bottom w:val="nil"/>
              <w:right w:val="nil"/>
            </w:tcBorders>
          </w:tcPr>
          <w:p w14:paraId="011E303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72A(2)</w:t>
            </w:r>
          </w:p>
        </w:tc>
        <w:tc>
          <w:tcPr>
            <w:tcW w:w="5255" w:type="dxa"/>
            <w:tcBorders>
              <w:top w:val="nil"/>
              <w:left w:val="nil"/>
              <w:bottom w:val="nil"/>
              <w:right w:val="nil"/>
            </w:tcBorders>
          </w:tcPr>
          <w:p w14:paraId="7E2C0D1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Acting as qualified supervising driver while having prescribed concentration of alcohol in blood or prescribed drug in oral fluid or blood</w:t>
            </w:r>
          </w:p>
        </w:tc>
        <w:tc>
          <w:tcPr>
            <w:tcW w:w="1368" w:type="dxa"/>
            <w:tcBorders>
              <w:top w:val="nil"/>
              <w:left w:val="nil"/>
              <w:bottom w:val="nil"/>
              <w:right w:val="nil"/>
            </w:tcBorders>
          </w:tcPr>
          <w:p w14:paraId="7AFEE8CB"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$338</w:t>
            </w:r>
          </w:p>
        </w:tc>
      </w:tr>
      <w:tr w:rsidR="00E25A7D" w:rsidRPr="002A3021" w14:paraId="0DE94DC9" w14:textId="77777777" w:rsidTr="00911011">
        <w:trPr>
          <w:cantSplit/>
        </w:trPr>
        <w:tc>
          <w:tcPr>
            <w:tcW w:w="1368" w:type="dxa"/>
            <w:tcBorders>
              <w:top w:val="nil"/>
              <w:left w:val="nil"/>
              <w:bottom w:val="nil"/>
              <w:right w:val="nil"/>
            </w:tcBorders>
          </w:tcPr>
          <w:p w14:paraId="48AF72BB"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74(1)</w:t>
            </w:r>
          </w:p>
        </w:tc>
        <w:tc>
          <w:tcPr>
            <w:tcW w:w="5255" w:type="dxa"/>
            <w:tcBorders>
              <w:top w:val="nil"/>
              <w:left w:val="nil"/>
              <w:bottom w:val="nil"/>
              <w:right w:val="nil"/>
            </w:tcBorders>
          </w:tcPr>
          <w:p w14:paraId="0DD13BC4"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without currently holding appropriate licence or learner's permit</w:t>
            </w:r>
          </w:p>
        </w:tc>
        <w:tc>
          <w:tcPr>
            <w:tcW w:w="1368" w:type="dxa"/>
            <w:tcBorders>
              <w:top w:val="nil"/>
              <w:left w:val="nil"/>
              <w:bottom w:val="nil"/>
              <w:right w:val="nil"/>
            </w:tcBorders>
          </w:tcPr>
          <w:p w14:paraId="2EEE7AC9"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$587</w:t>
            </w:r>
          </w:p>
        </w:tc>
      </w:tr>
      <w:tr w:rsidR="00E25A7D" w:rsidRPr="002A3021" w14:paraId="44E9BFC6" w14:textId="77777777" w:rsidTr="00911011">
        <w:trPr>
          <w:cantSplit/>
        </w:trPr>
        <w:tc>
          <w:tcPr>
            <w:tcW w:w="1368" w:type="dxa"/>
            <w:tcBorders>
              <w:top w:val="nil"/>
              <w:left w:val="nil"/>
              <w:bottom w:val="nil"/>
              <w:right w:val="nil"/>
            </w:tcBorders>
          </w:tcPr>
          <w:p w14:paraId="4A59C68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75A(14)</w:t>
            </w:r>
          </w:p>
        </w:tc>
        <w:tc>
          <w:tcPr>
            <w:tcW w:w="5255" w:type="dxa"/>
            <w:tcBorders>
              <w:top w:val="nil"/>
              <w:left w:val="nil"/>
              <w:bottom w:val="nil"/>
              <w:right w:val="nil"/>
            </w:tcBorders>
          </w:tcPr>
          <w:p w14:paraId="7122E157"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of learner's permit</w:t>
            </w:r>
          </w:p>
        </w:tc>
        <w:tc>
          <w:tcPr>
            <w:tcW w:w="1368" w:type="dxa"/>
            <w:tcBorders>
              <w:top w:val="nil"/>
              <w:left w:val="nil"/>
              <w:bottom w:val="nil"/>
              <w:right w:val="nil"/>
            </w:tcBorders>
          </w:tcPr>
          <w:p w14:paraId="622BC9CE"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6C305244" w14:textId="77777777" w:rsidTr="00911011">
        <w:trPr>
          <w:cantSplit/>
        </w:trPr>
        <w:tc>
          <w:tcPr>
            <w:tcW w:w="1368" w:type="dxa"/>
            <w:tcBorders>
              <w:top w:val="nil"/>
              <w:left w:val="nil"/>
              <w:bottom w:val="nil"/>
              <w:right w:val="nil"/>
            </w:tcBorders>
          </w:tcPr>
          <w:p w14:paraId="566EE3E6"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75A(15)(a)</w:t>
            </w:r>
          </w:p>
        </w:tc>
        <w:tc>
          <w:tcPr>
            <w:tcW w:w="5255" w:type="dxa"/>
            <w:tcBorders>
              <w:top w:val="nil"/>
              <w:left w:val="nil"/>
              <w:bottom w:val="nil"/>
              <w:right w:val="nil"/>
            </w:tcBorders>
          </w:tcPr>
          <w:p w14:paraId="7729C7A4"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bike on road while no L plate affixed to bike in accordance with regulations</w:t>
            </w:r>
          </w:p>
        </w:tc>
        <w:tc>
          <w:tcPr>
            <w:tcW w:w="1368" w:type="dxa"/>
            <w:tcBorders>
              <w:top w:val="nil"/>
              <w:left w:val="nil"/>
              <w:bottom w:val="nil"/>
              <w:right w:val="nil"/>
            </w:tcBorders>
          </w:tcPr>
          <w:p w14:paraId="18DCDDA9"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67EFFC58" w14:textId="77777777" w:rsidTr="00911011">
        <w:trPr>
          <w:cantSplit/>
        </w:trPr>
        <w:tc>
          <w:tcPr>
            <w:tcW w:w="1368" w:type="dxa"/>
            <w:tcBorders>
              <w:top w:val="nil"/>
              <w:left w:val="nil"/>
              <w:bottom w:val="nil"/>
              <w:right w:val="nil"/>
            </w:tcBorders>
          </w:tcPr>
          <w:p w14:paraId="14D0EB8C"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75A(15)(b)</w:t>
            </w:r>
          </w:p>
        </w:tc>
        <w:tc>
          <w:tcPr>
            <w:tcW w:w="5255" w:type="dxa"/>
            <w:tcBorders>
              <w:top w:val="nil"/>
              <w:left w:val="nil"/>
              <w:bottom w:val="nil"/>
              <w:right w:val="nil"/>
            </w:tcBorders>
          </w:tcPr>
          <w:p w14:paraId="2DE9229E"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vehicle (other than motor bike) on road while L plates not affixed to vehicle in accordance with regulations—</w:t>
            </w:r>
          </w:p>
        </w:tc>
        <w:tc>
          <w:tcPr>
            <w:tcW w:w="1368" w:type="dxa"/>
            <w:tcBorders>
              <w:top w:val="nil"/>
              <w:left w:val="nil"/>
              <w:bottom w:val="nil"/>
              <w:right w:val="nil"/>
            </w:tcBorders>
          </w:tcPr>
          <w:p w14:paraId="63E1C92F" w14:textId="77777777" w:rsidR="00E25A7D" w:rsidRPr="002A3021" w:rsidRDefault="00E25A7D" w:rsidP="00E25A7D">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E25A7D" w:rsidRPr="002A3021" w14:paraId="03214162" w14:textId="77777777" w:rsidTr="00911011">
        <w:trPr>
          <w:cantSplit/>
        </w:trPr>
        <w:tc>
          <w:tcPr>
            <w:tcW w:w="1368" w:type="dxa"/>
            <w:tcBorders>
              <w:top w:val="nil"/>
              <w:left w:val="nil"/>
              <w:bottom w:val="nil"/>
              <w:right w:val="nil"/>
            </w:tcBorders>
          </w:tcPr>
          <w:p w14:paraId="7CB0A7DD"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2024B8B5" w14:textId="77777777" w:rsidR="00E25A7D" w:rsidRPr="002A3021" w:rsidRDefault="00E25A7D" w:rsidP="00E25A7D">
            <w:pPr>
              <w:keepNext/>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only 1 L plate affixed to vehicle in accordance with regulations</w:t>
            </w:r>
          </w:p>
        </w:tc>
        <w:tc>
          <w:tcPr>
            <w:tcW w:w="1368" w:type="dxa"/>
            <w:tcBorders>
              <w:top w:val="nil"/>
              <w:left w:val="nil"/>
              <w:bottom w:val="nil"/>
              <w:right w:val="nil"/>
            </w:tcBorders>
          </w:tcPr>
          <w:p w14:paraId="3BCEAF20" w14:textId="77777777" w:rsidR="00E25A7D" w:rsidRPr="002A3021" w:rsidRDefault="00E25A7D" w:rsidP="00E25A7D">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$256</w:t>
            </w:r>
          </w:p>
        </w:tc>
      </w:tr>
      <w:tr w:rsidR="00E25A7D" w:rsidRPr="002A3021" w14:paraId="16C1DE0F" w14:textId="77777777" w:rsidTr="00911011">
        <w:trPr>
          <w:cantSplit/>
        </w:trPr>
        <w:tc>
          <w:tcPr>
            <w:tcW w:w="1368" w:type="dxa"/>
            <w:tcBorders>
              <w:top w:val="nil"/>
              <w:left w:val="nil"/>
              <w:bottom w:val="nil"/>
              <w:right w:val="nil"/>
            </w:tcBorders>
          </w:tcPr>
          <w:p w14:paraId="2DD60F84"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081DF64D" w14:textId="77777777" w:rsidR="00E25A7D" w:rsidRPr="002A3021" w:rsidRDefault="00E25A7D" w:rsidP="00E25A7D">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no L plates affixed to vehicle in accordance with regulations</w:t>
            </w:r>
          </w:p>
        </w:tc>
        <w:tc>
          <w:tcPr>
            <w:tcW w:w="1368" w:type="dxa"/>
            <w:tcBorders>
              <w:top w:val="nil"/>
              <w:left w:val="nil"/>
              <w:bottom w:val="nil"/>
              <w:right w:val="nil"/>
            </w:tcBorders>
          </w:tcPr>
          <w:p w14:paraId="007EAD10"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3CFC3BAA" w14:textId="77777777" w:rsidTr="00911011">
        <w:trPr>
          <w:cantSplit/>
        </w:trPr>
        <w:tc>
          <w:tcPr>
            <w:tcW w:w="1368" w:type="dxa"/>
            <w:tcBorders>
              <w:top w:val="nil"/>
              <w:left w:val="nil"/>
              <w:bottom w:val="nil"/>
              <w:right w:val="nil"/>
            </w:tcBorders>
          </w:tcPr>
          <w:p w14:paraId="2670B57A"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75A(20)</w:t>
            </w:r>
          </w:p>
        </w:tc>
        <w:tc>
          <w:tcPr>
            <w:tcW w:w="5255" w:type="dxa"/>
            <w:tcBorders>
              <w:top w:val="nil"/>
              <w:left w:val="nil"/>
              <w:bottom w:val="nil"/>
              <w:right w:val="nil"/>
            </w:tcBorders>
          </w:tcPr>
          <w:p w14:paraId="4CEEC7FF"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prescribed learner's permit driving motor bike between midnight and 5.00 a.m.</w:t>
            </w:r>
          </w:p>
        </w:tc>
        <w:tc>
          <w:tcPr>
            <w:tcW w:w="1368" w:type="dxa"/>
            <w:tcBorders>
              <w:top w:val="nil"/>
              <w:left w:val="nil"/>
              <w:bottom w:val="nil"/>
              <w:right w:val="nil"/>
            </w:tcBorders>
          </w:tcPr>
          <w:p w14:paraId="7F7B6C72"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326BA3FB" w14:textId="77777777" w:rsidTr="00911011">
        <w:trPr>
          <w:cantSplit/>
        </w:trPr>
        <w:tc>
          <w:tcPr>
            <w:tcW w:w="1368" w:type="dxa"/>
            <w:tcBorders>
              <w:top w:val="nil"/>
              <w:left w:val="nil"/>
              <w:bottom w:val="nil"/>
              <w:right w:val="nil"/>
            </w:tcBorders>
          </w:tcPr>
          <w:p w14:paraId="3389B21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75A(24)</w:t>
            </w:r>
          </w:p>
        </w:tc>
        <w:tc>
          <w:tcPr>
            <w:tcW w:w="5255" w:type="dxa"/>
            <w:tcBorders>
              <w:top w:val="nil"/>
              <w:left w:val="nil"/>
              <w:bottom w:val="nil"/>
              <w:right w:val="nil"/>
            </w:tcBorders>
          </w:tcPr>
          <w:p w14:paraId="4482D5B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bike on road carrying person on motor bike</w:t>
            </w:r>
          </w:p>
        </w:tc>
        <w:tc>
          <w:tcPr>
            <w:tcW w:w="1368" w:type="dxa"/>
            <w:tcBorders>
              <w:top w:val="nil"/>
              <w:left w:val="nil"/>
              <w:bottom w:val="nil"/>
              <w:right w:val="nil"/>
            </w:tcBorders>
          </w:tcPr>
          <w:p w14:paraId="6A4D4C0E"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6351BFDF" w14:textId="77777777" w:rsidTr="00911011">
        <w:trPr>
          <w:cantSplit/>
        </w:trPr>
        <w:tc>
          <w:tcPr>
            <w:tcW w:w="1368" w:type="dxa"/>
            <w:tcBorders>
              <w:top w:val="nil"/>
              <w:left w:val="nil"/>
              <w:bottom w:val="nil"/>
              <w:right w:val="nil"/>
            </w:tcBorders>
          </w:tcPr>
          <w:p w14:paraId="667EA76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75A(25)</w:t>
            </w:r>
          </w:p>
        </w:tc>
        <w:tc>
          <w:tcPr>
            <w:tcW w:w="5255" w:type="dxa"/>
            <w:tcBorders>
              <w:top w:val="nil"/>
              <w:left w:val="nil"/>
              <w:bottom w:val="nil"/>
              <w:right w:val="nil"/>
            </w:tcBorders>
          </w:tcPr>
          <w:p w14:paraId="23E9F93C"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learner's permit driving motor bike on road towing vehicle by use of motor bike</w:t>
            </w:r>
          </w:p>
        </w:tc>
        <w:tc>
          <w:tcPr>
            <w:tcW w:w="1368" w:type="dxa"/>
            <w:tcBorders>
              <w:top w:val="nil"/>
              <w:left w:val="nil"/>
              <w:bottom w:val="nil"/>
              <w:right w:val="nil"/>
            </w:tcBorders>
          </w:tcPr>
          <w:p w14:paraId="620B3734"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05A4DCAB" w14:textId="77777777" w:rsidTr="00911011">
        <w:trPr>
          <w:cantSplit/>
        </w:trPr>
        <w:tc>
          <w:tcPr>
            <w:tcW w:w="1368" w:type="dxa"/>
            <w:tcBorders>
              <w:top w:val="nil"/>
              <w:left w:val="nil"/>
              <w:bottom w:val="nil"/>
              <w:right w:val="nil"/>
            </w:tcBorders>
          </w:tcPr>
          <w:p w14:paraId="523AC320"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75B(1)</w:t>
            </w:r>
          </w:p>
        </w:tc>
        <w:tc>
          <w:tcPr>
            <w:tcW w:w="5255" w:type="dxa"/>
            <w:tcBorders>
              <w:top w:val="nil"/>
              <w:left w:val="nil"/>
              <w:bottom w:val="nil"/>
              <w:right w:val="nil"/>
            </w:tcBorders>
          </w:tcPr>
          <w:p w14:paraId="335C78CB"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restricted motor bike learner's permit driving motor bike on road (other than in prescribed circumstances)</w:t>
            </w:r>
          </w:p>
        </w:tc>
        <w:tc>
          <w:tcPr>
            <w:tcW w:w="1368" w:type="dxa"/>
            <w:tcBorders>
              <w:top w:val="nil"/>
              <w:left w:val="nil"/>
              <w:bottom w:val="nil"/>
              <w:right w:val="nil"/>
            </w:tcBorders>
          </w:tcPr>
          <w:p w14:paraId="7D92D93C"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43D61860" w14:textId="77777777" w:rsidTr="00911011">
        <w:trPr>
          <w:cantSplit/>
        </w:trPr>
        <w:tc>
          <w:tcPr>
            <w:tcW w:w="1368" w:type="dxa"/>
            <w:tcBorders>
              <w:top w:val="nil"/>
              <w:left w:val="nil"/>
              <w:bottom w:val="nil"/>
              <w:right w:val="nil"/>
            </w:tcBorders>
          </w:tcPr>
          <w:p w14:paraId="20B247F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81(4)</w:t>
            </w:r>
          </w:p>
        </w:tc>
        <w:tc>
          <w:tcPr>
            <w:tcW w:w="5255" w:type="dxa"/>
            <w:tcBorders>
              <w:top w:val="nil"/>
              <w:left w:val="nil"/>
              <w:bottom w:val="nil"/>
              <w:right w:val="nil"/>
            </w:tcBorders>
          </w:tcPr>
          <w:p w14:paraId="728093C4"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endorsed on licence or permit under section 81 of Act</w:t>
            </w:r>
          </w:p>
        </w:tc>
        <w:tc>
          <w:tcPr>
            <w:tcW w:w="1368" w:type="dxa"/>
            <w:tcBorders>
              <w:top w:val="nil"/>
              <w:left w:val="nil"/>
              <w:bottom w:val="nil"/>
              <w:right w:val="nil"/>
            </w:tcBorders>
          </w:tcPr>
          <w:p w14:paraId="49B1C4C2"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$452</w:t>
            </w:r>
          </w:p>
        </w:tc>
      </w:tr>
      <w:tr w:rsidR="00E25A7D" w:rsidRPr="002A3021" w14:paraId="352C1AB7" w14:textId="77777777" w:rsidTr="00911011">
        <w:trPr>
          <w:cantSplit/>
        </w:trPr>
        <w:tc>
          <w:tcPr>
            <w:tcW w:w="1368" w:type="dxa"/>
            <w:tcBorders>
              <w:top w:val="nil"/>
              <w:left w:val="nil"/>
              <w:bottom w:val="nil"/>
              <w:right w:val="nil"/>
            </w:tcBorders>
          </w:tcPr>
          <w:p w14:paraId="0771E2CF"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81A(9)</w:t>
            </w:r>
          </w:p>
        </w:tc>
        <w:tc>
          <w:tcPr>
            <w:tcW w:w="5255" w:type="dxa"/>
            <w:tcBorders>
              <w:top w:val="nil"/>
              <w:left w:val="nil"/>
              <w:bottom w:val="nil"/>
              <w:right w:val="nil"/>
            </w:tcBorders>
          </w:tcPr>
          <w:p w14:paraId="3716E110"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of provisional licence</w:t>
            </w:r>
          </w:p>
        </w:tc>
        <w:tc>
          <w:tcPr>
            <w:tcW w:w="1368" w:type="dxa"/>
            <w:tcBorders>
              <w:top w:val="nil"/>
              <w:left w:val="nil"/>
              <w:bottom w:val="nil"/>
              <w:right w:val="nil"/>
            </w:tcBorders>
          </w:tcPr>
          <w:p w14:paraId="03C4EFB1"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bl>
    <w:p w14:paraId="7C127877" w14:textId="77777777" w:rsidR="00E25A7D" w:rsidRDefault="00E25A7D">
      <w:r>
        <w:br w:type="page"/>
      </w:r>
    </w:p>
    <w:tbl>
      <w:tblPr>
        <w:tblW w:w="0" w:type="auto"/>
        <w:tblInd w:w="794" w:type="dxa"/>
        <w:tblLayout w:type="fixed"/>
        <w:tblCellMar>
          <w:left w:w="60" w:type="dxa"/>
          <w:right w:w="60" w:type="dxa"/>
        </w:tblCellMar>
        <w:tblLook w:val="0000" w:firstRow="0" w:lastRow="0" w:firstColumn="0" w:lastColumn="0" w:noHBand="0" w:noVBand="0"/>
      </w:tblPr>
      <w:tblGrid>
        <w:gridCol w:w="1368"/>
        <w:gridCol w:w="5255"/>
        <w:gridCol w:w="1368"/>
      </w:tblGrid>
      <w:tr w:rsidR="00E25A7D" w:rsidRPr="002A3021" w14:paraId="37AE28AB" w14:textId="77777777" w:rsidTr="00E25A7D">
        <w:trPr>
          <w:cantSplit/>
        </w:trPr>
        <w:tc>
          <w:tcPr>
            <w:tcW w:w="1368" w:type="dxa"/>
            <w:tcBorders>
              <w:top w:val="nil"/>
              <w:left w:val="nil"/>
              <w:bottom w:val="single" w:sz="4" w:space="0" w:color="auto"/>
              <w:right w:val="nil"/>
            </w:tcBorders>
          </w:tcPr>
          <w:p w14:paraId="7809A7E8" w14:textId="06C8BDCF"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5255" w:type="dxa"/>
            <w:tcBorders>
              <w:top w:val="nil"/>
              <w:left w:val="nil"/>
              <w:bottom w:val="single" w:sz="4" w:space="0" w:color="auto"/>
              <w:right w:val="nil"/>
            </w:tcBorders>
          </w:tcPr>
          <w:p w14:paraId="257B6FC9" w14:textId="5E265D1A"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6" w:history="1">
              <w:r w:rsidRPr="002A3021">
                <w:rPr>
                  <w:rFonts w:eastAsia="Times New Roman"/>
                  <w:b/>
                  <w:bCs/>
                  <w:i/>
                  <w:iCs/>
                  <w:color w:val="000000"/>
                  <w:sz w:val="20"/>
                  <w:szCs w:val="20"/>
                  <w:lang w:eastAsia="en-AU"/>
                  <w14:ligatures w14:val="standardContextual"/>
                </w:rPr>
                <w:t>Motor Vehicles Act 1959</w:t>
              </w:r>
            </w:hyperlink>
          </w:p>
        </w:tc>
        <w:tc>
          <w:tcPr>
            <w:tcW w:w="1368" w:type="dxa"/>
            <w:tcBorders>
              <w:top w:val="nil"/>
              <w:left w:val="nil"/>
              <w:bottom w:val="single" w:sz="4" w:space="0" w:color="auto"/>
              <w:right w:val="nil"/>
            </w:tcBorders>
          </w:tcPr>
          <w:p w14:paraId="0B7C3948" w14:textId="00CEA36A"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Fee</w:t>
            </w:r>
          </w:p>
        </w:tc>
      </w:tr>
      <w:tr w:rsidR="00E25A7D" w:rsidRPr="002A3021" w14:paraId="3CF5576C" w14:textId="77777777" w:rsidTr="00E25A7D">
        <w:trPr>
          <w:cantSplit/>
        </w:trPr>
        <w:tc>
          <w:tcPr>
            <w:tcW w:w="1368" w:type="dxa"/>
            <w:tcBorders>
              <w:top w:val="single" w:sz="4" w:space="0" w:color="auto"/>
              <w:left w:val="nil"/>
              <w:bottom w:val="nil"/>
              <w:right w:val="nil"/>
            </w:tcBorders>
          </w:tcPr>
          <w:p w14:paraId="25C9482A" w14:textId="02882763"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81A(13)</w:t>
            </w:r>
          </w:p>
        </w:tc>
        <w:tc>
          <w:tcPr>
            <w:tcW w:w="5255" w:type="dxa"/>
            <w:tcBorders>
              <w:top w:val="single" w:sz="4" w:space="0" w:color="auto"/>
              <w:left w:val="nil"/>
              <w:bottom w:val="nil"/>
              <w:right w:val="nil"/>
            </w:tcBorders>
          </w:tcPr>
          <w:p w14:paraId="35E228D5" w14:textId="3C5BA47B" w:rsidR="00E25A7D" w:rsidRPr="002A3021" w:rsidRDefault="00E25A7D" w:rsidP="00E25A7D">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or P2 licence under the age of 25 years driving high powered vehicle</w:t>
            </w:r>
          </w:p>
        </w:tc>
        <w:tc>
          <w:tcPr>
            <w:tcW w:w="1368" w:type="dxa"/>
            <w:tcBorders>
              <w:top w:val="single" w:sz="4" w:space="0" w:color="auto"/>
              <w:left w:val="nil"/>
              <w:bottom w:val="nil"/>
              <w:right w:val="nil"/>
            </w:tcBorders>
          </w:tcPr>
          <w:p w14:paraId="40454859" w14:textId="22C1E046"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0F9AEEE2" w14:textId="77777777" w:rsidTr="00911011">
        <w:trPr>
          <w:cantSplit/>
        </w:trPr>
        <w:tc>
          <w:tcPr>
            <w:tcW w:w="1368" w:type="dxa"/>
            <w:tcBorders>
              <w:top w:val="nil"/>
              <w:left w:val="nil"/>
              <w:bottom w:val="nil"/>
              <w:right w:val="nil"/>
            </w:tcBorders>
          </w:tcPr>
          <w:p w14:paraId="2F5AF3BA"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81A(15)(a)</w:t>
            </w:r>
          </w:p>
        </w:tc>
        <w:tc>
          <w:tcPr>
            <w:tcW w:w="5255" w:type="dxa"/>
            <w:tcBorders>
              <w:top w:val="nil"/>
              <w:left w:val="nil"/>
              <w:bottom w:val="nil"/>
              <w:right w:val="nil"/>
            </w:tcBorders>
          </w:tcPr>
          <w:p w14:paraId="4F44E49C"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driving motor bike on road while no P plate affixed to bike in accordance with regulations</w:t>
            </w:r>
          </w:p>
        </w:tc>
        <w:tc>
          <w:tcPr>
            <w:tcW w:w="1368" w:type="dxa"/>
            <w:tcBorders>
              <w:top w:val="nil"/>
              <w:left w:val="nil"/>
              <w:bottom w:val="nil"/>
              <w:right w:val="nil"/>
            </w:tcBorders>
          </w:tcPr>
          <w:p w14:paraId="21031DCC"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7D5FE931" w14:textId="77777777" w:rsidTr="00911011">
        <w:trPr>
          <w:cantSplit/>
        </w:trPr>
        <w:tc>
          <w:tcPr>
            <w:tcW w:w="1368" w:type="dxa"/>
            <w:tcBorders>
              <w:top w:val="nil"/>
              <w:left w:val="nil"/>
              <w:bottom w:val="nil"/>
              <w:right w:val="nil"/>
            </w:tcBorders>
          </w:tcPr>
          <w:p w14:paraId="45CB0A6D"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81A(15)(b)</w:t>
            </w:r>
          </w:p>
        </w:tc>
        <w:tc>
          <w:tcPr>
            <w:tcW w:w="5255" w:type="dxa"/>
            <w:tcBorders>
              <w:top w:val="nil"/>
              <w:left w:val="nil"/>
              <w:bottom w:val="nil"/>
              <w:right w:val="nil"/>
            </w:tcBorders>
          </w:tcPr>
          <w:p w14:paraId="195BC587"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driving motor vehicle (other than motor bike) on road while P plates not affixed to vehicle in accordance with regulations—</w:t>
            </w:r>
          </w:p>
        </w:tc>
        <w:tc>
          <w:tcPr>
            <w:tcW w:w="1368" w:type="dxa"/>
            <w:tcBorders>
              <w:top w:val="nil"/>
              <w:left w:val="nil"/>
              <w:bottom w:val="nil"/>
              <w:right w:val="nil"/>
            </w:tcBorders>
          </w:tcPr>
          <w:p w14:paraId="70B57BEB" w14:textId="77777777" w:rsidR="00E25A7D" w:rsidRPr="002A3021" w:rsidRDefault="00E25A7D" w:rsidP="00E25A7D">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E25A7D" w:rsidRPr="002A3021" w14:paraId="52212DEB" w14:textId="77777777" w:rsidTr="00911011">
        <w:trPr>
          <w:cantSplit/>
        </w:trPr>
        <w:tc>
          <w:tcPr>
            <w:tcW w:w="1368" w:type="dxa"/>
            <w:tcBorders>
              <w:top w:val="nil"/>
              <w:left w:val="nil"/>
              <w:bottom w:val="nil"/>
              <w:right w:val="nil"/>
            </w:tcBorders>
          </w:tcPr>
          <w:p w14:paraId="638202B2"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0DAE5749" w14:textId="77777777" w:rsidR="00E25A7D" w:rsidRPr="002A3021" w:rsidRDefault="00E25A7D" w:rsidP="00E25A7D">
            <w:pPr>
              <w:keepNext/>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only 1 P plate affixed to vehicle in accordance with regulations</w:t>
            </w:r>
          </w:p>
        </w:tc>
        <w:tc>
          <w:tcPr>
            <w:tcW w:w="1368" w:type="dxa"/>
            <w:tcBorders>
              <w:top w:val="nil"/>
              <w:left w:val="nil"/>
              <w:bottom w:val="nil"/>
              <w:right w:val="nil"/>
            </w:tcBorders>
          </w:tcPr>
          <w:p w14:paraId="74573F38" w14:textId="77777777" w:rsidR="00E25A7D" w:rsidRPr="002A3021" w:rsidRDefault="00E25A7D" w:rsidP="00E25A7D">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$256</w:t>
            </w:r>
          </w:p>
        </w:tc>
      </w:tr>
      <w:tr w:rsidR="00E25A7D" w:rsidRPr="002A3021" w14:paraId="1135A401" w14:textId="77777777" w:rsidTr="00911011">
        <w:trPr>
          <w:cantSplit/>
        </w:trPr>
        <w:tc>
          <w:tcPr>
            <w:tcW w:w="1368" w:type="dxa"/>
            <w:tcBorders>
              <w:top w:val="nil"/>
              <w:left w:val="nil"/>
              <w:bottom w:val="nil"/>
              <w:right w:val="nil"/>
            </w:tcBorders>
          </w:tcPr>
          <w:p w14:paraId="5DEB83D6"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2F2D7F10" w14:textId="77777777" w:rsidR="00E25A7D" w:rsidRPr="002A3021" w:rsidRDefault="00E25A7D" w:rsidP="00E25A7D">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no P plates affixed to vehicle in accordance with regulations</w:t>
            </w:r>
          </w:p>
        </w:tc>
        <w:tc>
          <w:tcPr>
            <w:tcW w:w="1368" w:type="dxa"/>
            <w:tcBorders>
              <w:top w:val="nil"/>
              <w:left w:val="nil"/>
              <w:bottom w:val="nil"/>
              <w:right w:val="nil"/>
            </w:tcBorders>
          </w:tcPr>
          <w:p w14:paraId="7F7045E0"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429031F1" w14:textId="77777777" w:rsidTr="00911011">
        <w:trPr>
          <w:cantSplit/>
        </w:trPr>
        <w:tc>
          <w:tcPr>
            <w:tcW w:w="1368" w:type="dxa"/>
            <w:tcBorders>
              <w:top w:val="nil"/>
              <w:left w:val="nil"/>
              <w:bottom w:val="nil"/>
              <w:right w:val="nil"/>
            </w:tcBorders>
          </w:tcPr>
          <w:p w14:paraId="51E17721"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81A(16)</w:t>
            </w:r>
          </w:p>
        </w:tc>
        <w:tc>
          <w:tcPr>
            <w:tcW w:w="5255" w:type="dxa"/>
            <w:tcBorders>
              <w:top w:val="nil"/>
              <w:left w:val="nil"/>
              <w:bottom w:val="nil"/>
              <w:right w:val="nil"/>
            </w:tcBorders>
          </w:tcPr>
          <w:p w14:paraId="51A412B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under the age of 25 years driving between midnight and 5.00 a.m. without being accompanied by a person acting as qualified supervising driver</w:t>
            </w:r>
          </w:p>
        </w:tc>
        <w:tc>
          <w:tcPr>
            <w:tcW w:w="1368" w:type="dxa"/>
            <w:tcBorders>
              <w:top w:val="nil"/>
              <w:left w:val="nil"/>
              <w:bottom w:val="nil"/>
              <w:right w:val="nil"/>
            </w:tcBorders>
          </w:tcPr>
          <w:p w14:paraId="1E6FD021"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586B4B82" w14:textId="77777777" w:rsidTr="00911011">
        <w:trPr>
          <w:cantSplit/>
        </w:trPr>
        <w:tc>
          <w:tcPr>
            <w:tcW w:w="1368" w:type="dxa"/>
            <w:tcBorders>
              <w:top w:val="nil"/>
              <w:left w:val="nil"/>
              <w:bottom w:val="nil"/>
              <w:right w:val="nil"/>
            </w:tcBorders>
          </w:tcPr>
          <w:p w14:paraId="30D8CDFB"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81A(18)</w:t>
            </w:r>
          </w:p>
        </w:tc>
        <w:tc>
          <w:tcPr>
            <w:tcW w:w="5255" w:type="dxa"/>
            <w:tcBorders>
              <w:top w:val="nil"/>
              <w:left w:val="nil"/>
              <w:bottom w:val="nil"/>
              <w:right w:val="nil"/>
            </w:tcBorders>
          </w:tcPr>
          <w:p w14:paraId="0862F173"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Holder of P1 licence under the age of 25 years driving with 2 or more peer passengers in the vehicle without carrying person acting as qualified supervising driver</w:t>
            </w:r>
          </w:p>
        </w:tc>
        <w:tc>
          <w:tcPr>
            <w:tcW w:w="1368" w:type="dxa"/>
            <w:tcBorders>
              <w:top w:val="nil"/>
              <w:left w:val="nil"/>
              <w:bottom w:val="nil"/>
              <w:right w:val="nil"/>
            </w:tcBorders>
          </w:tcPr>
          <w:p w14:paraId="56D58565"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r>
      <w:tr w:rsidR="00E25A7D" w:rsidRPr="002A3021" w14:paraId="7E299BC3" w14:textId="77777777" w:rsidTr="00911011">
        <w:trPr>
          <w:cantSplit/>
        </w:trPr>
        <w:tc>
          <w:tcPr>
            <w:tcW w:w="1368" w:type="dxa"/>
            <w:tcBorders>
              <w:top w:val="nil"/>
              <w:left w:val="nil"/>
              <w:bottom w:val="nil"/>
              <w:right w:val="nil"/>
            </w:tcBorders>
          </w:tcPr>
          <w:p w14:paraId="273C8F92"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81AB(5)</w:t>
            </w:r>
          </w:p>
        </w:tc>
        <w:tc>
          <w:tcPr>
            <w:tcW w:w="5255" w:type="dxa"/>
            <w:tcBorders>
              <w:top w:val="nil"/>
              <w:left w:val="nil"/>
              <w:bottom w:val="nil"/>
              <w:right w:val="nil"/>
            </w:tcBorders>
          </w:tcPr>
          <w:p w14:paraId="595CA99B"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of probationary licence</w:t>
            </w:r>
          </w:p>
        </w:tc>
        <w:tc>
          <w:tcPr>
            <w:tcW w:w="1368" w:type="dxa"/>
            <w:tcBorders>
              <w:top w:val="nil"/>
              <w:left w:val="nil"/>
              <w:bottom w:val="nil"/>
              <w:right w:val="nil"/>
            </w:tcBorders>
          </w:tcPr>
          <w:p w14:paraId="52E389C8"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$452</w:t>
            </w:r>
          </w:p>
        </w:tc>
      </w:tr>
      <w:tr w:rsidR="00E25A7D" w:rsidRPr="002A3021" w14:paraId="5BB3744E" w14:textId="77777777" w:rsidTr="00911011">
        <w:trPr>
          <w:cantSplit/>
        </w:trPr>
        <w:tc>
          <w:tcPr>
            <w:tcW w:w="1368" w:type="dxa"/>
            <w:tcBorders>
              <w:top w:val="nil"/>
              <w:left w:val="nil"/>
              <w:bottom w:val="nil"/>
              <w:right w:val="nil"/>
            </w:tcBorders>
          </w:tcPr>
          <w:p w14:paraId="1D498D70"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81AC(3)</w:t>
            </w:r>
          </w:p>
        </w:tc>
        <w:tc>
          <w:tcPr>
            <w:tcW w:w="5255" w:type="dxa"/>
            <w:tcBorders>
              <w:top w:val="nil"/>
              <w:left w:val="nil"/>
              <w:bottom w:val="nil"/>
              <w:right w:val="nil"/>
            </w:tcBorders>
          </w:tcPr>
          <w:p w14:paraId="29C3D66F"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condition of prescribed motor bike licence referred to in section 81AC(2) of Act</w:t>
            </w:r>
          </w:p>
        </w:tc>
        <w:tc>
          <w:tcPr>
            <w:tcW w:w="1368" w:type="dxa"/>
            <w:tcBorders>
              <w:top w:val="nil"/>
              <w:left w:val="nil"/>
              <w:bottom w:val="nil"/>
              <w:right w:val="nil"/>
            </w:tcBorders>
          </w:tcPr>
          <w:p w14:paraId="59062482"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$875</w:t>
            </w:r>
          </w:p>
        </w:tc>
      </w:tr>
      <w:tr w:rsidR="00E25A7D" w:rsidRPr="002A3021" w14:paraId="51F11DED" w14:textId="77777777" w:rsidTr="00911011">
        <w:trPr>
          <w:cantSplit/>
        </w:trPr>
        <w:tc>
          <w:tcPr>
            <w:tcW w:w="1368" w:type="dxa"/>
            <w:tcBorders>
              <w:top w:val="nil"/>
              <w:left w:val="nil"/>
              <w:bottom w:val="nil"/>
              <w:right w:val="nil"/>
            </w:tcBorders>
          </w:tcPr>
          <w:p w14:paraId="0E81AF74"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81B(3)</w:t>
            </w:r>
          </w:p>
        </w:tc>
        <w:tc>
          <w:tcPr>
            <w:tcW w:w="5255" w:type="dxa"/>
            <w:tcBorders>
              <w:top w:val="nil"/>
              <w:left w:val="nil"/>
              <w:bottom w:val="nil"/>
              <w:right w:val="nil"/>
            </w:tcBorders>
          </w:tcPr>
          <w:p w14:paraId="2034A3D3" w14:textId="77777777" w:rsidR="00E25A7D" w:rsidRPr="002A3021" w:rsidRDefault="00E25A7D" w:rsidP="00E25A7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comply with requirement made by Registrar</w:t>
            </w:r>
          </w:p>
        </w:tc>
        <w:tc>
          <w:tcPr>
            <w:tcW w:w="1368" w:type="dxa"/>
            <w:tcBorders>
              <w:top w:val="nil"/>
              <w:left w:val="nil"/>
              <w:bottom w:val="nil"/>
              <w:right w:val="nil"/>
            </w:tcBorders>
          </w:tcPr>
          <w:p w14:paraId="1E7D8F59" w14:textId="77777777" w:rsidR="00E25A7D" w:rsidRPr="002A3021" w:rsidRDefault="00E25A7D" w:rsidP="00E25A7D">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E25A7D" w:rsidRPr="002A3021" w14:paraId="56DDD5CA" w14:textId="77777777" w:rsidTr="00911011">
        <w:trPr>
          <w:cantSplit/>
        </w:trPr>
        <w:tc>
          <w:tcPr>
            <w:tcW w:w="1368" w:type="dxa"/>
            <w:tcBorders>
              <w:top w:val="nil"/>
              <w:left w:val="nil"/>
              <w:bottom w:val="nil"/>
              <w:right w:val="nil"/>
            </w:tcBorders>
          </w:tcPr>
          <w:p w14:paraId="2A15E9B6"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25B3B214" w14:textId="77777777" w:rsidR="00E25A7D" w:rsidRPr="002A3021" w:rsidRDefault="00E25A7D" w:rsidP="00E25A7D">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failure to attend lecture</w:t>
            </w:r>
          </w:p>
        </w:tc>
        <w:tc>
          <w:tcPr>
            <w:tcW w:w="1368" w:type="dxa"/>
            <w:tcBorders>
              <w:top w:val="nil"/>
              <w:left w:val="nil"/>
              <w:bottom w:val="nil"/>
              <w:right w:val="nil"/>
            </w:tcBorders>
          </w:tcPr>
          <w:p w14:paraId="79C35D43"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$144</w:t>
            </w:r>
          </w:p>
        </w:tc>
      </w:tr>
      <w:tr w:rsidR="00E25A7D" w:rsidRPr="002A3021" w14:paraId="54907D73" w14:textId="77777777" w:rsidTr="00911011">
        <w:trPr>
          <w:cantSplit/>
        </w:trPr>
        <w:tc>
          <w:tcPr>
            <w:tcW w:w="1368" w:type="dxa"/>
            <w:tcBorders>
              <w:top w:val="nil"/>
              <w:left w:val="nil"/>
              <w:bottom w:val="nil"/>
              <w:right w:val="nil"/>
            </w:tcBorders>
          </w:tcPr>
          <w:p w14:paraId="175F895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96(1)</w:t>
            </w:r>
          </w:p>
        </w:tc>
        <w:tc>
          <w:tcPr>
            <w:tcW w:w="5255" w:type="dxa"/>
            <w:tcBorders>
              <w:top w:val="nil"/>
              <w:left w:val="nil"/>
              <w:bottom w:val="nil"/>
              <w:right w:val="nil"/>
            </w:tcBorders>
          </w:tcPr>
          <w:p w14:paraId="47258C9A"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produce licence or learner's permit on request of police officer</w:t>
            </w:r>
          </w:p>
        </w:tc>
        <w:tc>
          <w:tcPr>
            <w:tcW w:w="1368" w:type="dxa"/>
            <w:tcBorders>
              <w:top w:val="nil"/>
              <w:left w:val="nil"/>
              <w:bottom w:val="nil"/>
              <w:right w:val="nil"/>
            </w:tcBorders>
          </w:tcPr>
          <w:p w14:paraId="068FC54B"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$241</w:t>
            </w:r>
          </w:p>
        </w:tc>
      </w:tr>
      <w:tr w:rsidR="00E25A7D" w:rsidRPr="002A3021" w14:paraId="404FB1B3" w14:textId="77777777" w:rsidTr="00911011">
        <w:trPr>
          <w:cantSplit/>
        </w:trPr>
        <w:tc>
          <w:tcPr>
            <w:tcW w:w="1368" w:type="dxa"/>
            <w:tcBorders>
              <w:top w:val="nil"/>
              <w:left w:val="nil"/>
              <w:bottom w:val="nil"/>
              <w:right w:val="nil"/>
            </w:tcBorders>
          </w:tcPr>
          <w:p w14:paraId="46298F40"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97A(3)</w:t>
            </w:r>
          </w:p>
        </w:tc>
        <w:tc>
          <w:tcPr>
            <w:tcW w:w="5255" w:type="dxa"/>
            <w:tcBorders>
              <w:top w:val="nil"/>
              <w:left w:val="nil"/>
              <w:bottom w:val="nil"/>
              <w:right w:val="nil"/>
            </w:tcBorders>
          </w:tcPr>
          <w:p w14:paraId="4369685C"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carry or produce licence while driving under section 97A of Act</w:t>
            </w:r>
          </w:p>
        </w:tc>
        <w:tc>
          <w:tcPr>
            <w:tcW w:w="1368" w:type="dxa"/>
            <w:tcBorders>
              <w:top w:val="nil"/>
              <w:left w:val="nil"/>
              <w:bottom w:val="nil"/>
              <w:right w:val="nil"/>
            </w:tcBorders>
          </w:tcPr>
          <w:p w14:paraId="3DD570A8"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$241</w:t>
            </w:r>
          </w:p>
        </w:tc>
      </w:tr>
      <w:tr w:rsidR="00E25A7D" w:rsidRPr="002A3021" w14:paraId="1E02474C" w14:textId="77777777" w:rsidTr="00911011">
        <w:trPr>
          <w:cantSplit/>
        </w:trPr>
        <w:tc>
          <w:tcPr>
            <w:tcW w:w="1368" w:type="dxa"/>
            <w:tcBorders>
              <w:top w:val="nil"/>
              <w:left w:val="nil"/>
              <w:bottom w:val="nil"/>
              <w:right w:val="nil"/>
            </w:tcBorders>
          </w:tcPr>
          <w:p w14:paraId="4C61039B"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98AAA(1)</w:t>
            </w:r>
          </w:p>
        </w:tc>
        <w:tc>
          <w:tcPr>
            <w:tcW w:w="5255" w:type="dxa"/>
            <w:tcBorders>
              <w:top w:val="nil"/>
              <w:left w:val="nil"/>
              <w:bottom w:val="nil"/>
              <w:right w:val="nil"/>
            </w:tcBorders>
          </w:tcPr>
          <w:p w14:paraId="40D43A82"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carry or produce licence while driving heavy vehicle</w:t>
            </w:r>
          </w:p>
        </w:tc>
        <w:tc>
          <w:tcPr>
            <w:tcW w:w="1368" w:type="dxa"/>
            <w:tcBorders>
              <w:top w:val="nil"/>
              <w:left w:val="nil"/>
              <w:bottom w:val="nil"/>
              <w:right w:val="nil"/>
            </w:tcBorders>
          </w:tcPr>
          <w:p w14:paraId="28D567F7"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$241</w:t>
            </w:r>
          </w:p>
        </w:tc>
      </w:tr>
      <w:tr w:rsidR="00E25A7D" w:rsidRPr="002A3021" w14:paraId="25F5FE9F" w14:textId="77777777" w:rsidTr="00911011">
        <w:trPr>
          <w:cantSplit/>
        </w:trPr>
        <w:tc>
          <w:tcPr>
            <w:tcW w:w="1368" w:type="dxa"/>
            <w:tcBorders>
              <w:top w:val="nil"/>
              <w:left w:val="nil"/>
              <w:bottom w:val="nil"/>
              <w:right w:val="nil"/>
            </w:tcBorders>
          </w:tcPr>
          <w:p w14:paraId="5875FCE9"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98AAB</w:t>
            </w:r>
          </w:p>
        </w:tc>
        <w:tc>
          <w:tcPr>
            <w:tcW w:w="5255" w:type="dxa"/>
            <w:tcBorders>
              <w:top w:val="nil"/>
              <w:left w:val="nil"/>
              <w:bottom w:val="nil"/>
              <w:right w:val="nil"/>
            </w:tcBorders>
          </w:tcPr>
          <w:p w14:paraId="4174495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carry or produce probationary licence, provisional licence or learner's permit while driving</w:t>
            </w:r>
          </w:p>
        </w:tc>
        <w:tc>
          <w:tcPr>
            <w:tcW w:w="1368" w:type="dxa"/>
            <w:tcBorders>
              <w:top w:val="nil"/>
              <w:left w:val="nil"/>
              <w:bottom w:val="nil"/>
              <w:right w:val="nil"/>
            </w:tcBorders>
          </w:tcPr>
          <w:p w14:paraId="252F6302"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$241</w:t>
            </w:r>
          </w:p>
        </w:tc>
      </w:tr>
      <w:tr w:rsidR="00E25A7D" w:rsidRPr="002A3021" w14:paraId="054C55AF" w14:textId="77777777" w:rsidTr="00911011">
        <w:trPr>
          <w:cantSplit/>
        </w:trPr>
        <w:tc>
          <w:tcPr>
            <w:tcW w:w="1368" w:type="dxa"/>
            <w:tcBorders>
              <w:top w:val="nil"/>
              <w:left w:val="nil"/>
              <w:bottom w:val="nil"/>
              <w:right w:val="nil"/>
            </w:tcBorders>
          </w:tcPr>
          <w:p w14:paraId="6935EAC2"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102(1)</w:t>
            </w:r>
          </w:p>
        </w:tc>
        <w:tc>
          <w:tcPr>
            <w:tcW w:w="5255" w:type="dxa"/>
            <w:tcBorders>
              <w:top w:val="nil"/>
              <w:left w:val="nil"/>
              <w:bottom w:val="nil"/>
              <w:right w:val="nil"/>
            </w:tcBorders>
          </w:tcPr>
          <w:p w14:paraId="547BFBE0"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uninsured motor vehicle on road or causing uninsured motor vehicle to stand on road</w:t>
            </w:r>
          </w:p>
        </w:tc>
        <w:tc>
          <w:tcPr>
            <w:tcW w:w="1368" w:type="dxa"/>
            <w:tcBorders>
              <w:top w:val="nil"/>
              <w:left w:val="nil"/>
              <w:bottom w:val="nil"/>
              <w:right w:val="nil"/>
            </w:tcBorders>
          </w:tcPr>
          <w:p w14:paraId="337AB3B1"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$897</w:t>
            </w:r>
          </w:p>
        </w:tc>
      </w:tr>
      <w:tr w:rsidR="00E25A7D" w:rsidRPr="002A3021" w14:paraId="7F4FFA1C" w14:textId="77777777" w:rsidTr="00911011">
        <w:trPr>
          <w:cantSplit/>
        </w:trPr>
        <w:tc>
          <w:tcPr>
            <w:tcW w:w="1368" w:type="dxa"/>
            <w:tcBorders>
              <w:top w:val="nil"/>
              <w:left w:val="nil"/>
              <w:bottom w:val="nil"/>
              <w:right w:val="nil"/>
            </w:tcBorders>
          </w:tcPr>
          <w:p w14:paraId="5C7FDFE2"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102(2)</w:t>
            </w:r>
          </w:p>
        </w:tc>
        <w:tc>
          <w:tcPr>
            <w:tcW w:w="5255" w:type="dxa"/>
            <w:tcBorders>
              <w:top w:val="nil"/>
              <w:left w:val="nil"/>
              <w:bottom w:val="nil"/>
              <w:right w:val="nil"/>
            </w:tcBorders>
          </w:tcPr>
          <w:p w14:paraId="30BCBB9E"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Being owner of uninsured motor vehicle driven or found standing on road</w:t>
            </w:r>
          </w:p>
        </w:tc>
        <w:tc>
          <w:tcPr>
            <w:tcW w:w="1368" w:type="dxa"/>
            <w:tcBorders>
              <w:top w:val="nil"/>
              <w:left w:val="nil"/>
              <w:bottom w:val="nil"/>
              <w:right w:val="nil"/>
            </w:tcBorders>
          </w:tcPr>
          <w:p w14:paraId="5376600F"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$897</w:t>
            </w:r>
          </w:p>
        </w:tc>
      </w:tr>
      <w:tr w:rsidR="00E25A7D" w:rsidRPr="002A3021" w14:paraId="335B4510" w14:textId="77777777" w:rsidTr="00911011">
        <w:trPr>
          <w:cantSplit/>
        </w:trPr>
        <w:tc>
          <w:tcPr>
            <w:tcW w:w="1368" w:type="dxa"/>
            <w:tcBorders>
              <w:top w:val="nil"/>
              <w:left w:val="nil"/>
              <w:bottom w:val="nil"/>
              <w:right w:val="nil"/>
            </w:tcBorders>
          </w:tcPr>
          <w:p w14:paraId="3A3AFC22"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136(1)</w:t>
            </w:r>
          </w:p>
        </w:tc>
        <w:tc>
          <w:tcPr>
            <w:tcW w:w="5255" w:type="dxa"/>
            <w:tcBorders>
              <w:top w:val="nil"/>
              <w:left w:val="nil"/>
              <w:bottom w:val="nil"/>
              <w:right w:val="nil"/>
            </w:tcBorders>
          </w:tcPr>
          <w:p w14:paraId="03E776DA"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notify Registrar of change of name or residence of natural person who is registered owner or registered operator of motor vehicle or holds licence or learner's permit</w:t>
            </w:r>
          </w:p>
        </w:tc>
        <w:tc>
          <w:tcPr>
            <w:tcW w:w="1368" w:type="dxa"/>
            <w:tcBorders>
              <w:top w:val="nil"/>
              <w:left w:val="nil"/>
              <w:bottom w:val="nil"/>
              <w:right w:val="nil"/>
            </w:tcBorders>
          </w:tcPr>
          <w:p w14:paraId="61C73C25"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$238</w:t>
            </w:r>
          </w:p>
        </w:tc>
      </w:tr>
      <w:tr w:rsidR="00E25A7D" w:rsidRPr="002A3021" w14:paraId="21799BE5" w14:textId="77777777" w:rsidTr="00911011">
        <w:trPr>
          <w:cantSplit/>
        </w:trPr>
        <w:tc>
          <w:tcPr>
            <w:tcW w:w="1368" w:type="dxa"/>
            <w:tcBorders>
              <w:top w:val="nil"/>
              <w:left w:val="nil"/>
              <w:bottom w:val="nil"/>
              <w:right w:val="nil"/>
            </w:tcBorders>
          </w:tcPr>
          <w:p w14:paraId="4F7546AF"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136(2)</w:t>
            </w:r>
          </w:p>
        </w:tc>
        <w:tc>
          <w:tcPr>
            <w:tcW w:w="5255" w:type="dxa"/>
            <w:tcBorders>
              <w:top w:val="nil"/>
              <w:left w:val="nil"/>
              <w:bottom w:val="nil"/>
              <w:right w:val="nil"/>
            </w:tcBorders>
          </w:tcPr>
          <w:p w14:paraId="6125998A"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notify Registrar of change of name or principal place of business of natural person who holds trade plates</w:t>
            </w:r>
          </w:p>
        </w:tc>
        <w:tc>
          <w:tcPr>
            <w:tcW w:w="1368" w:type="dxa"/>
            <w:tcBorders>
              <w:top w:val="nil"/>
              <w:left w:val="nil"/>
              <w:bottom w:val="nil"/>
              <w:right w:val="nil"/>
            </w:tcBorders>
          </w:tcPr>
          <w:p w14:paraId="7A802789"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$238</w:t>
            </w:r>
          </w:p>
        </w:tc>
      </w:tr>
      <w:tr w:rsidR="00E25A7D" w:rsidRPr="002A3021" w14:paraId="291ACD89" w14:textId="77777777" w:rsidTr="00911011">
        <w:trPr>
          <w:cantSplit/>
        </w:trPr>
        <w:tc>
          <w:tcPr>
            <w:tcW w:w="1368" w:type="dxa"/>
            <w:tcBorders>
              <w:top w:val="nil"/>
              <w:left w:val="nil"/>
              <w:bottom w:val="nil"/>
              <w:right w:val="nil"/>
            </w:tcBorders>
          </w:tcPr>
          <w:p w14:paraId="515E7409"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136(2a)</w:t>
            </w:r>
          </w:p>
        </w:tc>
        <w:tc>
          <w:tcPr>
            <w:tcW w:w="5255" w:type="dxa"/>
            <w:tcBorders>
              <w:top w:val="nil"/>
              <w:left w:val="nil"/>
              <w:bottom w:val="nil"/>
              <w:right w:val="nil"/>
            </w:tcBorders>
          </w:tcPr>
          <w:p w14:paraId="2F9660ED"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notify Registrar of change of principal place of business of body corporate that is registered owner or registered operator of motor vehicle or holds trade plates</w:t>
            </w:r>
          </w:p>
        </w:tc>
        <w:tc>
          <w:tcPr>
            <w:tcW w:w="1368" w:type="dxa"/>
            <w:tcBorders>
              <w:top w:val="nil"/>
              <w:left w:val="nil"/>
              <w:bottom w:val="nil"/>
              <w:right w:val="nil"/>
            </w:tcBorders>
          </w:tcPr>
          <w:p w14:paraId="37112DE7"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$238</w:t>
            </w:r>
          </w:p>
        </w:tc>
      </w:tr>
      <w:tr w:rsidR="00E25A7D" w:rsidRPr="002A3021" w14:paraId="05729E4B" w14:textId="77777777" w:rsidTr="00911011">
        <w:trPr>
          <w:cantSplit/>
        </w:trPr>
        <w:tc>
          <w:tcPr>
            <w:tcW w:w="1368" w:type="dxa"/>
            <w:tcBorders>
              <w:top w:val="nil"/>
              <w:left w:val="nil"/>
              <w:bottom w:val="nil"/>
              <w:right w:val="nil"/>
            </w:tcBorders>
          </w:tcPr>
          <w:p w14:paraId="044BD9B7"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136(2b)</w:t>
            </w:r>
          </w:p>
        </w:tc>
        <w:tc>
          <w:tcPr>
            <w:tcW w:w="5255" w:type="dxa"/>
            <w:tcBorders>
              <w:top w:val="nil"/>
              <w:left w:val="nil"/>
              <w:bottom w:val="nil"/>
              <w:right w:val="nil"/>
            </w:tcBorders>
          </w:tcPr>
          <w:p w14:paraId="6CEBE5E5" w14:textId="77777777" w:rsidR="00E25A7D" w:rsidRPr="002A3021" w:rsidRDefault="00E25A7D" w:rsidP="00E25A7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notify Registrar of change of garage address of motor vehicle</w:t>
            </w:r>
          </w:p>
        </w:tc>
        <w:tc>
          <w:tcPr>
            <w:tcW w:w="1368" w:type="dxa"/>
            <w:tcBorders>
              <w:top w:val="nil"/>
              <w:left w:val="nil"/>
              <w:bottom w:val="nil"/>
              <w:right w:val="nil"/>
            </w:tcBorders>
          </w:tcPr>
          <w:p w14:paraId="30DF66AC" w14:textId="77777777" w:rsidR="00E25A7D" w:rsidRPr="002A3021" w:rsidRDefault="00E25A7D" w:rsidP="00E25A7D">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$238</w:t>
            </w:r>
          </w:p>
        </w:tc>
      </w:tr>
    </w:tbl>
    <w:p w14:paraId="03770391" w14:textId="77777777" w:rsidR="0090415A" w:rsidRDefault="0090415A">
      <w:r>
        <w:br w:type="page"/>
      </w:r>
    </w:p>
    <w:tbl>
      <w:tblPr>
        <w:tblW w:w="0" w:type="auto"/>
        <w:tblInd w:w="794" w:type="dxa"/>
        <w:tblLayout w:type="fixed"/>
        <w:tblCellMar>
          <w:left w:w="60" w:type="dxa"/>
          <w:right w:w="60" w:type="dxa"/>
        </w:tblCellMar>
        <w:tblLook w:val="0000" w:firstRow="0" w:lastRow="0" w:firstColumn="0" w:lastColumn="0" w:noHBand="0" w:noVBand="0"/>
      </w:tblPr>
      <w:tblGrid>
        <w:gridCol w:w="1368"/>
        <w:gridCol w:w="5255"/>
        <w:gridCol w:w="1368"/>
      </w:tblGrid>
      <w:tr w:rsidR="0090415A" w:rsidRPr="002A3021" w14:paraId="6883FC7E" w14:textId="77777777" w:rsidTr="0090415A">
        <w:trPr>
          <w:cantSplit/>
        </w:trPr>
        <w:tc>
          <w:tcPr>
            <w:tcW w:w="1368" w:type="dxa"/>
            <w:tcBorders>
              <w:top w:val="nil"/>
              <w:left w:val="nil"/>
              <w:bottom w:val="single" w:sz="4" w:space="0" w:color="auto"/>
              <w:right w:val="nil"/>
            </w:tcBorders>
          </w:tcPr>
          <w:p w14:paraId="192F5381" w14:textId="5B9F4B99" w:rsidR="0090415A" w:rsidRPr="002A3021" w:rsidRDefault="0090415A" w:rsidP="0090415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lastRenderedPageBreak/>
              <w:t>Section</w:t>
            </w:r>
          </w:p>
        </w:tc>
        <w:tc>
          <w:tcPr>
            <w:tcW w:w="5255" w:type="dxa"/>
            <w:tcBorders>
              <w:top w:val="nil"/>
              <w:left w:val="nil"/>
              <w:bottom w:val="single" w:sz="4" w:space="0" w:color="auto"/>
              <w:right w:val="nil"/>
            </w:tcBorders>
          </w:tcPr>
          <w:p w14:paraId="47A32E71" w14:textId="09240D9E" w:rsidR="0090415A" w:rsidRPr="002A3021" w:rsidRDefault="0090415A" w:rsidP="0090415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 xml:space="preserve">Description of offence against </w:t>
            </w:r>
            <w:hyperlink r:id="rId107" w:history="1">
              <w:r w:rsidRPr="002A3021">
                <w:rPr>
                  <w:rFonts w:eastAsia="Times New Roman"/>
                  <w:b/>
                  <w:bCs/>
                  <w:i/>
                  <w:iCs/>
                  <w:color w:val="000000"/>
                  <w:sz w:val="20"/>
                  <w:szCs w:val="20"/>
                  <w:lang w:eastAsia="en-AU"/>
                  <w14:ligatures w14:val="standardContextual"/>
                </w:rPr>
                <w:t>Motor Vehicles Act 1959</w:t>
              </w:r>
            </w:hyperlink>
          </w:p>
        </w:tc>
        <w:tc>
          <w:tcPr>
            <w:tcW w:w="1368" w:type="dxa"/>
            <w:tcBorders>
              <w:top w:val="nil"/>
              <w:left w:val="nil"/>
              <w:bottom w:val="single" w:sz="4" w:space="0" w:color="auto"/>
              <w:right w:val="nil"/>
            </w:tcBorders>
          </w:tcPr>
          <w:p w14:paraId="5A396FD4" w14:textId="472B227E" w:rsidR="0090415A" w:rsidRPr="002A3021" w:rsidRDefault="0090415A" w:rsidP="0090415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Fee</w:t>
            </w:r>
          </w:p>
        </w:tc>
      </w:tr>
      <w:tr w:rsidR="0090415A" w:rsidRPr="002A3021" w14:paraId="60F6A2D0" w14:textId="77777777" w:rsidTr="0090415A">
        <w:trPr>
          <w:cantSplit/>
        </w:trPr>
        <w:tc>
          <w:tcPr>
            <w:tcW w:w="1368" w:type="dxa"/>
            <w:tcBorders>
              <w:top w:val="single" w:sz="4" w:space="0" w:color="auto"/>
              <w:left w:val="nil"/>
              <w:bottom w:val="nil"/>
              <w:right w:val="nil"/>
            </w:tcBorders>
          </w:tcPr>
          <w:p w14:paraId="1D7E302A" w14:textId="5395C903" w:rsidR="0090415A" w:rsidRPr="002A3021" w:rsidRDefault="0090415A" w:rsidP="0090415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136(2c)</w:t>
            </w:r>
          </w:p>
        </w:tc>
        <w:tc>
          <w:tcPr>
            <w:tcW w:w="5255" w:type="dxa"/>
            <w:tcBorders>
              <w:top w:val="single" w:sz="4" w:space="0" w:color="auto"/>
              <w:left w:val="nil"/>
              <w:bottom w:val="nil"/>
              <w:right w:val="nil"/>
            </w:tcBorders>
          </w:tcPr>
          <w:p w14:paraId="0D0A8F68" w14:textId="344D4E09" w:rsidR="0090415A" w:rsidRPr="002A3021" w:rsidRDefault="0090415A" w:rsidP="0090415A">
            <w:pPr>
              <w:keepLines/>
              <w:autoSpaceDE w:val="0"/>
              <w:autoSpaceDN w:val="0"/>
              <w:adjustRightInd w:val="0"/>
              <w:spacing w:before="120" w:after="0" w:line="240" w:lineRule="auto"/>
              <w:jc w:val="left"/>
              <w:rPr>
                <w:rFonts w:eastAsia="Times New Roman"/>
                <w:i/>
                <w:iCs/>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notify Registrar of change of registered operator of motor vehicle</w:t>
            </w:r>
          </w:p>
        </w:tc>
        <w:tc>
          <w:tcPr>
            <w:tcW w:w="1368" w:type="dxa"/>
            <w:tcBorders>
              <w:top w:val="single" w:sz="4" w:space="0" w:color="auto"/>
              <w:left w:val="nil"/>
              <w:bottom w:val="nil"/>
              <w:right w:val="nil"/>
            </w:tcBorders>
          </w:tcPr>
          <w:p w14:paraId="692C3B95" w14:textId="14B76FDC" w:rsidR="0090415A" w:rsidRPr="002A3021" w:rsidRDefault="0090415A" w:rsidP="0090415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$238</w:t>
            </w:r>
          </w:p>
        </w:tc>
      </w:tr>
      <w:tr w:rsidR="0090415A" w:rsidRPr="002A3021" w14:paraId="687355E3" w14:textId="77777777" w:rsidTr="00911011">
        <w:trPr>
          <w:cantSplit/>
        </w:trPr>
        <w:tc>
          <w:tcPr>
            <w:tcW w:w="1368" w:type="dxa"/>
            <w:tcBorders>
              <w:top w:val="nil"/>
              <w:left w:val="nil"/>
              <w:bottom w:val="nil"/>
              <w:right w:val="nil"/>
            </w:tcBorders>
          </w:tcPr>
          <w:p w14:paraId="2A7A5DDE" w14:textId="77777777" w:rsidR="0090415A" w:rsidRPr="002A3021" w:rsidRDefault="0090415A" w:rsidP="0090415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136(2d)</w:t>
            </w:r>
          </w:p>
        </w:tc>
        <w:tc>
          <w:tcPr>
            <w:tcW w:w="5255" w:type="dxa"/>
            <w:tcBorders>
              <w:top w:val="nil"/>
              <w:left w:val="nil"/>
              <w:bottom w:val="nil"/>
              <w:right w:val="nil"/>
            </w:tcBorders>
          </w:tcPr>
          <w:p w14:paraId="336FDD4C" w14:textId="77777777" w:rsidR="0090415A" w:rsidRPr="002A3021" w:rsidRDefault="0090415A" w:rsidP="0090415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notify Registrar of change of postal address</w:t>
            </w:r>
          </w:p>
        </w:tc>
        <w:tc>
          <w:tcPr>
            <w:tcW w:w="1368" w:type="dxa"/>
            <w:tcBorders>
              <w:top w:val="nil"/>
              <w:left w:val="nil"/>
              <w:bottom w:val="nil"/>
              <w:right w:val="nil"/>
            </w:tcBorders>
          </w:tcPr>
          <w:p w14:paraId="658989AB" w14:textId="77777777" w:rsidR="0090415A" w:rsidRPr="002A3021" w:rsidRDefault="0090415A" w:rsidP="0090415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$238</w:t>
            </w:r>
          </w:p>
        </w:tc>
      </w:tr>
      <w:tr w:rsidR="0090415A" w:rsidRPr="002A3021" w14:paraId="1AC11E73" w14:textId="77777777" w:rsidTr="00911011">
        <w:trPr>
          <w:cantSplit/>
        </w:trPr>
        <w:tc>
          <w:tcPr>
            <w:tcW w:w="1368" w:type="dxa"/>
            <w:tcBorders>
              <w:top w:val="nil"/>
              <w:left w:val="nil"/>
              <w:bottom w:val="nil"/>
              <w:right w:val="nil"/>
            </w:tcBorders>
          </w:tcPr>
          <w:p w14:paraId="2BB2CD78" w14:textId="77777777" w:rsidR="0090415A" w:rsidRPr="002A3021" w:rsidRDefault="0090415A" w:rsidP="0090415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143(1)</w:t>
            </w:r>
          </w:p>
        </w:tc>
        <w:tc>
          <w:tcPr>
            <w:tcW w:w="5255" w:type="dxa"/>
            <w:tcBorders>
              <w:top w:val="nil"/>
              <w:left w:val="nil"/>
              <w:bottom w:val="nil"/>
              <w:right w:val="nil"/>
            </w:tcBorders>
          </w:tcPr>
          <w:p w14:paraId="05812C92" w14:textId="77777777" w:rsidR="0090415A" w:rsidRPr="002A3021" w:rsidRDefault="0090415A" w:rsidP="0090415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Causing or permitting another person to do or omit to do anything in contravention of Act or regulations</w:t>
            </w:r>
          </w:p>
        </w:tc>
        <w:tc>
          <w:tcPr>
            <w:tcW w:w="1368" w:type="dxa"/>
            <w:tcBorders>
              <w:top w:val="nil"/>
              <w:left w:val="nil"/>
              <w:bottom w:val="nil"/>
              <w:right w:val="nil"/>
            </w:tcBorders>
          </w:tcPr>
          <w:p w14:paraId="47978474" w14:textId="77777777" w:rsidR="0090415A" w:rsidRPr="002A3021" w:rsidRDefault="0090415A" w:rsidP="0090415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90415A" w:rsidRPr="002A3021" w14:paraId="28387B25" w14:textId="77777777" w:rsidTr="00911011">
        <w:trPr>
          <w:cantSplit/>
        </w:trPr>
        <w:tc>
          <w:tcPr>
            <w:tcW w:w="1368" w:type="dxa"/>
            <w:tcBorders>
              <w:top w:val="nil"/>
              <w:left w:val="nil"/>
              <w:bottom w:val="nil"/>
              <w:right w:val="nil"/>
            </w:tcBorders>
          </w:tcPr>
          <w:p w14:paraId="7DB9E01D" w14:textId="77777777" w:rsidR="0090415A" w:rsidRPr="002A3021" w:rsidRDefault="0090415A" w:rsidP="0090415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55" w:type="dxa"/>
            <w:tcBorders>
              <w:top w:val="nil"/>
              <w:left w:val="nil"/>
              <w:bottom w:val="nil"/>
              <w:right w:val="nil"/>
            </w:tcBorders>
          </w:tcPr>
          <w:p w14:paraId="5ED7BD88" w14:textId="77777777" w:rsidR="0090415A" w:rsidRPr="002A3021" w:rsidRDefault="0090415A" w:rsidP="0090415A">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causing or permitting commission of expiable offence</w:t>
            </w:r>
          </w:p>
        </w:tc>
        <w:tc>
          <w:tcPr>
            <w:tcW w:w="1368" w:type="dxa"/>
            <w:tcBorders>
              <w:top w:val="nil"/>
              <w:left w:val="nil"/>
              <w:bottom w:val="nil"/>
              <w:right w:val="nil"/>
            </w:tcBorders>
          </w:tcPr>
          <w:p w14:paraId="158EF422" w14:textId="77777777" w:rsidR="0090415A" w:rsidRPr="002A3021" w:rsidRDefault="0090415A" w:rsidP="0090415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the expiation fee prescribed for the expiable offence</w:t>
            </w:r>
          </w:p>
        </w:tc>
      </w:tr>
    </w:tbl>
    <w:p w14:paraId="19D8F629"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1" w:name="Elkera_Print_TOC200"/>
      <w:bookmarkStart w:id="412" w:name="Elkera_Print_BK200"/>
      <w:r w:rsidRPr="002A3021">
        <w:rPr>
          <w:rFonts w:eastAsia="Times New Roman"/>
          <w:b/>
          <w:bCs/>
          <w:color w:val="000000"/>
          <w:sz w:val="26"/>
          <w:szCs w:val="26"/>
          <w:lang w:eastAsia="en-AU"/>
          <w14:ligatures w14:val="standardContextual"/>
        </w:rPr>
        <w:t>2—Offences against these regulations</w:t>
      </w:r>
      <w:bookmarkEnd w:id="411"/>
      <w:bookmarkEnd w:id="412"/>
    </w:p>
    <w:p w14:paraId="336853D1" w14:textId="77777777" w:rsidR="002A3021" w:rsidRPr="002A3021" w:rsidRDefault="002A3021" w:rsidP="002A3021">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794" w:type="dxa"/>
        <w:tblLayout w:type="fixed"/>
        <w:tblCellMar>
          <w:left w:w="60" w:type="dxa"/>
          <w:right w:w="60" w:type="dxa"/>
        </w:tblCellMar>
        <w:tblLook w:val="0000" w:firstRow="0" w:lastRow="0" w:firstColumn="0" w:lastColumn="0" w:noHBand="0" w:noVBand="0"/>
      </w:tblPr>
      <w:tblGrid>
        <w:gridCol w:w="1359"/>
        <w:gridCol w:w="5274"/>
        <w:gridCol w:w="1359"/>
      </w:tblGrid>
      <w:tr w:rsidR="002A3021" w:rsidRPr="002A3021" w14:paraId="16938B46" w14:textId="77777777" w:rsidTr="00911011">
        <w:trPr>
          <w:cantSplit/>
          <w:tblHeader/>
        </w:trPr>
        <w:tc>
          <w:tcPr>
            <w:tcW w:w="1359" w:type="dxa"/>
            <w:tcBorders>
              <w:top w:val="nil"/>
              <w:left w:val="nil"/>
              <w:bottom w:val="single" w:sz="4" w:space="0" w:color="auto"/>
              <w:right w:val="nil"/>
            </w:tcBorders>
          </w:tcPr>
          <w:p w14:paraId="4464595C"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Regulation</w:t>
            </w:r>
          </w:p>
        </w:tc>
        <w:tc>
          <w:tcPr>
            <w:tcW w:w="5274" w:type="dxa"/>
            <w:tcBorders>
              <w:top w:val="nil"/>
              <w:left w:val="nil"/>
              <w:bottom w:val="single" w:sz="4" w:space="0" w:color="auto"/>
              <w:right w:val="nil"/>
            </w:tcBorders>
          </w:tcPr>
          <w:p w14:paraId="58C4EF7E"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Description of offence against these regulations</w:t>
            </w:r>
          </w:p>
        </w:tc>
        <w:tc>
          <w:tcPr>
            <w:tcW w:w="1359" w:type="dxa"/>
            <w:tcBorders>
              <w:top w:val="nil"/>
              <w:left w:val="nil"/>
              <w:bottom w:val="single" w:sz="4" w:space="0" w:color="auto"/>
              <w:right w:val="nil"/>
            </w:tcBorders>
          </w:tcPr>
          <w:p w14:paraId="1624A325" w14:textId="77777777" w:rsidR="002A3021" w:rsidRPr="002A3021" w:rsidRDefault="002A3021" w:rsidP="002A3021">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Fee</w:t>
            </w:r>
          </w:p>
        </w:tc>
      </w:tr>
      <w:tr w:rsidR="002A3021" w:rsidRPr="002A3021" w14:paraId="7F18E4B7" w14:textId="77777777" w:rsidTr="00911011">
        <w:trPr>
          <w:cantSplit/>
        </w:trPr>
        <w:tc>
          <w:tcPr>
            <w:tcW w:w="1359" w:type="dxa"/>
            <w:tcBorders>
              <w:top w:val="single" w:sz="4" w:space="0" w:color="auto"/>
              <w:left w:val="nil"/>
              <w:bottom w:val="nil"/>
              <w:right w:val="nil"/>
            </w:tcBorders>
          </w:tcPr>
          <w:p w14:paraId="3552C53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44(1)</w:t>
            </w:r>
          </w:p>
        </w:tc>
        <w:tc>
          <w:tcPr>
            <w:tcW w:w="5274" w:type="dxa"/>
            <w:tcBorders>
              <w:top w:val="single" w:sz="4" w:space="0" w:color="auto"/>
              <w:left w:val="nil"/>
              <w:bottom w:val="nil"/>
              <w:right w:val="nil"/>
            </w:tcBorders>
          </w:tcPr>
          <w:p w14:paraId="4363843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on road while number plate or trade plate obscured or distorted by device or substance</w:t>
            </w:r>
          </w:p>
        </w:tc>
        <w:tc>
          <w:tcPr>
            <w:tcW w:w="1359" w:type="dxa"/>
            <w:tcBorders>
              <w:top w:val="single" w:sz="4" w:space="0" w:color="auto"/>
              <w:left w:val="nil"/>
              <w:bottom w:val="nil"/>
              <w:right w:val="nil"/>
            </w:tcBorders>
          </w:tcPr>
          <w:p w14:paraId="5BD46AF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$587</w:t>
            </w:r>
          </w:p>
        </w:tc>
      </w:tr>
      <w:tr w:rsidR="002A3021" w:rsidRPr="002A3021" w14:paraId="0DAE535D" w14:textId="77777777" w:rsidTr="00911011">
        <w:trPr>
          <w:cantSplit/>
        </w:trPr>
        <w:tc>
          <w:tcPr>
            <w:tcW w:w="1359" w:type="dxa"/>
            <w:tcBorders>
              <w:top w:val="nil"/>
              <w:left w:val="nil"/>
              <w:bottom w:val="nil"/>
              <w:right w:val="nil"/>
            </w:tcBorders>
          </w:tcPr>
          <w:p w14:paraId="790B2FE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44(4)</w:t>
            </w:r>
          </w:p>
        </w:tc>
        <w:tc>
          <w:tcPr>
            <w:tcW w:w="5274" w:type="dxa"/>
            <w:tcBorders>
              <w:top w:val="nil"/>
              <w:left w:val="nil"/>
              <w:bottom w:val="nil"/>
              <w:right w:val="nil"/>
            </w:tcBorders>
          </w:tcPr>
          <w:p w14:paraId="3D39684A"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motor vehicle on road while number plate on bike rack obscured or distorted by device or substance</w:t>
            </w:r>
          </w:p>
        </w:tc>
        <w:tc>
          <w:tcPr>
            <w:tcW w:w="1359" w:type="dxa"/>
            <w:tcBorders>
              <w:top w:val="nil"/>
              <w:left w:val="nil"/>
              <w:bottom w:val="nil"/>
              <w:right w:val="nil"/>
            </w:tcBorders>
          </w:tcPr>
          <w:p w14:paraId="5E62C1B6"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$587</w:t>
            </w:r>
          </w:p>
        </w:tc>
      </w:tr>
      <w:tr w:rsidR="002A3021" w:rsidRPr="002A3021" w14:paraId="3516310C" w14:textId="77777777" w:rsidTr="00911011">
        <w:trPr>
          <w:cantSplit/>
        </w:trPr>
        <w:tc>
          <w:tcPr>
            <w:tcW w:w="1359" w:type="dxa"/>
            <w:tcBorders>
              <w:top w:val="nil"/>
              <w:left w:val="nil"/>
              <w:bottom w:val="nil"/>
              <w:right w:val="nil"/>
            </w:tcBorders>
          </w:tcPr>
          <w:p w14:paraId="73C0CE01"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75</w:t>
            </w:r>
          </w:p>
        </w:tc>
        <w:tc>
          <w:tcPr>
            <w:tcW w:w="5274" w:type="dxa"/>
            <w:tcBorders>
              <w:top w:val="nil"/>
              <w:left w:val="nil"/>
              <w:bottom w:val="nil"/>
              <w:right w:val="nil"/>
            </w:tcBorders>
          </w:tcPr>
          <w:p w14:paraId="46ABF78C"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Failing to carry or produce certificate of exemption while driving a high powered vehicle</w:t>
            </w:r>
          </w:p>
        </w:tc>
        <w:tc>
          <w:tcPr>
            <w:tcW w:w="1359" w:type="dxa"/>
            <w:tcBorders>
              <w:top w:val="nil"/>
              <w:left w:val="nil"/>
              <w:bottom w:val="nil"/>
              <w:right w:val="nil"/>
            </w:tcBorders>
          </w:tcPr>
          <w:p w14:paraId="4E44810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$263</w:t>
            </w:r>
          </w:p>
        </w:tc>
      </w:tr>
      <w:tr w:rsidR="002A3021" w:rsidRPr="002A3021" w14:paraId="5CBB380E" w14:textId="77777777" w:rsidTr="00911011">
        <w:trPr>
          <w:cantSplit/>
        </w:trPr>
        <w:tc>
          <w:tcPr>
            <w:tcW w:w="1359" w:type="dxa"/>
            <w:tcBorders>
              <w:top w:val="nil"/>
              <w:left w:val="nil"/>
              <w:bottom w:val="nil"/>
              <w:right w:val="nil"/>
            </w:tcBorders>
          </w:tcPr>
          <w:p w14:paraId="2F6474D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97(7)</w:t>
            </w:r>
          </w:p>
        </w:tc>
        <w:tc>
          <w:tcPr>
            <w:tcW w:w="5274" w:type="dxa"/>
            <w:tcBorders>
              <w:top w:val="nil"/>
              <w:left w:val="nil"/>
              <w:bottom w:val="nil"/>
              <w:right w:val="nil"/>
            </w:tcBorders>
          </w:tcPr>
          <w:p w14:paraId="3BE37A5B"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Contravening or failing to comply with requirements of regulation concerning written</w:t>
            </w:r>
            <w:r w:rsidRPr="002A3021">
              <w:rPr>
                <w:rFonts w:eastAsia="Times New Roman"/>
                <w:i/>
                <w:iCs/>
                <w:color w:val="000000"/>
                <w:sz w:val="20"/>
                <w:szCs w:val="20"/>
                <w:lang w:eastAsia="en-AU"/>
                <w14:ligatures w14:val="standardContextual"/>
              </w:rPr>
              <w:noBreakHyphen/>
              <w:t>off vehicle notices or notification</w:t>
            </w:r>
          </w:p>
        </w:tc>
        <w:tc>
          <w:tcPr>
            <w:tcW w:w="1359" w:type="dxa"/>
            <w:tcBorders>
              <w:top w:val="nil"/>
              <w:left w:val="nil"/>
              <w:bottom w:val="nil"/>
              <w:right w:val="nil"/>
            </w:tcBorders>
          </w:tcPr>
          <w:p w14:paraId="20D9C083"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749339F8" w14:textId="77777777" w:rsidTr="00911011">
        <w:trPr>
          <w:cantSplit/>
        </w:trPr>
        <w:tc>
          <w:tcPr>
            <w:tcW w:w="1359" w:type="dxa"/>
            <w:tcBorders>
              <w:top w:val="nil"/>
              <w:left w:val="nil"/>
              <w:bottom w:val="nil"/>
              <w:right w:val="nil"/>
            </w:tcBorders>
          </w:tcPr>
          <w:p w14:paraId="15626275"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74" w:type="dxa"/>
            <w:tcBorders>
              <w:top w:val="nil"/>
              <w:left w:val="nil"/>
              <w:bottom w:val="nil"/>
              <w:right w:val="nil"/>
            </w:tcBorders>
          </w:tcPr>
          <w:p w14:paraId="7A67CF28"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alleged offence not committed in the course of a trade or business</w:t>
            </w:r>
          </w:p>
        </w:tc>
        <w:tc>
          <w:tcPr>
            <w:tcW w:w="1359" w:type="dxa"/>
            <w:tcBorders>
              <w:top w:val="nil"/>
              <w:left w:val="nil"/>
              <w:bottom w:val="nil"/>
              <w:right w:val="nil"/>
            </w:tcBorders>
          </w:tcPr>
          <w:p w14:paraId="7B833B9F"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$392</w:t>
            </w:r>
          </w:p>
        </w:tc>
      </w:tr>
      <w:tr w:rsidR="002A3021" w:rsidRPr="002A3021" w14:paraId="650D212A" w14:textId="77777777" w:rsidTr="00911011">
        <w:trPr>
          <w:cantSplit/>
        </w:trPr>
        <w:tc>
          <w:tcPr>
            <w:tcW w:w="1359" w:type="dxa"/>
            <w:tcBorders>
              <w:top w:val="nil"/>
              <w:left w:val="nil"/>
              <w:bottom w:val="nil"/>
              <w:right w:val="nil"/>
            </w:tcBorders>
          </w:tcPr>
          <w:p w14:paraId="4F23DEFF"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98(1)</w:t>
            </w:r>
          </w:p>
        </w:tc>
        <w:tc>
          <w:tcPr>
            <w:tcW w:w="5274" w:type="dxa"/>
            <w:tcBorders>
              <w:top w:val="nil"/>
              <w:left w:val="nil"/>
              <w:bottom w:val="nil"/>
              <w:right w:val="nil"/>
            </w:tcBorders>
          </w:tcPr>
          <w:p w14:paraId="2E2EB8E0"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A3021">
              <w:rPr>
                <w:rFonts w:eastAsia="Times New Roman"/>
                <w:i/>
                <w:iCs/>
                <w:color w:val="000000"/>
                <w:sz w:val="20"/>
                <w:szCs w:val="20"/>
                <w:lang w:eastAsia="en-AU"/>
                <w14:ligatures w14:val="standardContextual"/>
              </w:rPr>
              <w:t>Driving written</w:t>
            </w:r>
            <w:r w:rsidRPr="002A3021">
              <w:rPr>
                <w:rFonts w:eastAsia="Times New Roman"/>
                <w:i/>
                <w:iCs/>
                <w:color w:val="000000"/>
                <w:sz w:val="20"/>
                <w:szCs w:val="20"/>
                <w:lang w:eastAsia="en-AU"/>
                <w14:ligatures w14:val="standardContextual"/>
              </w:rPr>
              <w:noBreakHyphen/>
              <w:t>off vehicle to or from place other than place specified in regulation</w:t>
            </w:r>
          </w:p>
        </w:tc>
        <w:tc>
          <w:tcPr>
            <w:tcW w:w="1359" w:type="dxa"/>
            <w:tcBorders>
              <w:top w:val="nil"/>
              <w:left w:val="nil"/>
              <w:bottom w:val="nil"/>
              <w:right w:val="nil"/>
            </w:tcBorders>
          </w:tcPr>
          <w:p w14:paraId="517733DA"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A3021" w:rsidRPr="002A3021" w14:paraId="0A9FFF41" w14:textId="77777777" w:rsidTr="00911011">
        <w:trPr>
          <w:cantSplit/>
        </w:trPr>
        <w:tc>
          <w:tcPr>
            <w:tcW w:w="1359" w:type="dxa"/>
            <w:tcBorders>
              <w:top w:val="nil"/>
              <w:left w:val="nil"/>
              <w:bottom w:val="nil"/>
              <w:right w:val="nil"/>
            </w:tcBorders>
          </w:tcPr>
          <w:p w14:paraId="43BE2279" w14:textId="77777777" w:rsidR="002A3021" w:rsidRPr="002A3021" w:rsidRDefault="002A3021" w:rsidP="002A3021">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74" w:type="dxa"/>
            <w:tcBorders>
              <w:top w:val="nil"/>
              <w:left w:val="nil"/>
              <w:bottom w:val="nil"/>
              <w:right w:val="nil"/>
            </w:tcBorders>
          </w:tcPr>
          <w:p w14:paraId="703D4A1B" w14:textId="77777777" w:rsidR="002A3021" w:rsidRPr="002A3021" w:rsidRDefault="002A3021" w:rsidP="002A3021">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alleged offence not committed in the course of a trade or business</w:t>
            </w:r>
          </w:p>
        </w:tc>
        <w:tc>
          <w:tcPr>
            <w:tcW w:w="1359" w:type="dxa"/>
            <w:tcBorders>
              <w:top w:val="nil"/>
              <w:left w:val="nil"/>
              <w:bottom w:val="nil"/>
              <w:right w:val="nil"/>
            </w:tcBorders>
          </w:tcPr>
          <w:p w14:paraId="7A50D8F4" w14:textId="77777777" w:rsidR="002A3021" w:rsidRPr="002A3021" w:rsidRDefault="002A3021" w:rsidP="002A3021">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$392</w:t>
            </w:r>
          </w:p>
        </w:tc>
      </w:tr>
    </w:tbl>
    <w:p w14:paraId="371028C5" w14:textId="77777777" w:rsidR="002A3021" w:rsidRPr="002A3021" w:rsidRDefault="002A3021" w:rsidP="002A30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13" w:name="Elkera_Print_TOC201"/>
      <w:bookmarkStart w:id="414" w:name="Elkera_Print_BK201"/>
      <w:r w:rsidRPr="002A3021">
        <w:rPr>
          <w:rFonts w:eastAsia="Times New Roman"/>
          <w:b/>
          <w:bCs/>
          <w:color w:val="000000"/>
          <w:sz w:val="32"/>
          <w:szCs w:val="32"/>
          <w:lang w:eastAsia="en-AU"/>
          <w14:ligatures w14:val="standardContextual"/>
        </w:rPr>
        <w:t>Schedule 6—Repeal and transitional provisions</w:t>
      </w:r>
      <w:bookmarkEnd w:id="413"/>
      <w:bookmarkEnd w:id="414"/>
    </w:p>
    <w:p w14:paraId="01F8E456" w14:textId="77777777" w:rsidR="002A3021" w:rsidRPr="002A3021" w:rsidRDefault="002A3021" w:rsidP="002A3021">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A3021">
        <w:rPr>
          <w:rFonts w:eastAsia="Times New Roman"/>
          <w:b/>
          <w:bCs/>
          <w:color w:val="000000"/>
          <w:sz w:val="32"/>
          <w:szCs w:val="32"/>
          <w:lang w:eastAsia="en-AU"/>
          <w14:ligatures w14:val="standardContextual"/>
        </w:rPr>
        <w:t xml:space="preserve">Part 1—Repeal of </w:t>
      </w:r>
      <w:r w:rsidRPr="002A3021">
        <w:rPr>
          <w:rFonts w:eastAsia="Times New Roman"/>
          <w:b/>
          <w:bCs/>
          <w:i/>
          <w:iCs/>
          <w:color w:val="000000"/>
          <w:sz w:val="32"/>
          <w:szCs w:val="32"/>
          <w:lang w:eastAsia="en-AU"/>
          <w14:ligatures w14:val="standardContextual"/>
        </w:rPr>
        <w:t>Motor Vehicles Regulations 2010</w:t>
      </w:r>
    </w:p>
    <w:p w14:paraId="445C77C1"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5" w:name="Elkera_Print_TOC203"/>
      <w:bookmarkStart w:id="416" w:name="Elkera_Print_BK203"/>
      <w:r w:rsidRPr="002A3021">
        <w:rPr>
          <w:rFonts w:eastAsia="Times New Roman"/>
          <w:b/>
          <w:bCs/>
          <w:color w:val="000000"/>
          <w:sz w:val="26"/>
          <w:szCs w:val="26"/>
          <w:lang w:eastAsia="en-AU"/>
          <w14:ligatures w14:val="standardContextual"/>
        </w:rPr>
        <w:t>1—Repeal of regulations</w:t>
      </w:r>
      <w:bookmarkEnd w:id="415"/>
      <w:bookmarkEnd w:id="416"/>
    </w:p>
    <w:p w14:paraId="2A6B100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The </w:t>
      </w:r>
      <w:hyperlink r:id="rId108" w:history="1">
        <w:r w:rsidRPr="002A3021">
          <w:rPr>
            <w:rFonts w:eastAsia="Times New Roman"/>
            <w:i/>
            <w:iCs/>
            <w:color w:val="000000"/>
            <w:sz w:val="23"/>
            <w:szCs w:val="23"/>
            <w:lang w:eastAsia="en-AU"/>
            <w14:ligatures w14:val="standardContextual"/>
          </w:rPr>
          <w:t>Motor Vehicles Regulations 2010</w:t>
        </w:r>
      </w:hyperlink>
      <w:r w:rsidRPr="002A3021">
        <w:rPr>
          <w:rFonts w:eastAsia="Times New Roman"/>
          <w:color w:val="000000"/>
          <w:sz w:val="23"/>
          <w:szCs w:val="23"/>
          <w:lang w:eastAsia="en-AU"/>
          <w14:ligatures w14:val="standardContextual"/>
        </w:rPr>
        <w:t xml:space="preserve"> are repealed.</w:t>
      </w:r>
    </w:p>
    <w:p w14:paraId="68523F52" w14:textId="77777777" w:rsidR="002A3021" w:rsidRPr="002A3021" w:rsidRDefault="002A3021" w:rsidP="002A3021">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A3021">
        <w:rPr>
          <w:rFonts w:eastAsia="Times New Roman"/>
          <w:b/>
          <w:bCs/>
          <w:color w:val="000000"/>
          <w:sz w:val="32"/>
          <w:szCs w:val="32"/>
          <w:lang w:eastAsia="en-AU"/>
          <w14:ligatures w14:val="standardContextual"/>
        </w:rPr>
        <w:t>Part 2—Transitional provisions</w:t>
      </w:r>
    </w:p>
    <w:p w14:paraId="36540CC6"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7" w:name="Elkera_Print_TOC205"/>
      <w:bookmarkStart w:id="418" w:name="Elkera_Print_BK205"/>
      <w:r w:rsidRPr="002A3021">
        <w:rPr>
          <w:rFonts w:eastAsia="Times New Roman"/>
          <w:b/>
          <w:bCs/>
          <w:color w:val="000000"/>
          <w:sz w:val="26"/>
          <w:szCs w:val="26"/>
          <w:lang w:eastAsia="en-AU"/>
          <w14:ligatures w14:val="standardContextual"/>
        </w:rPr>
        <w:t>2—Transitional provisions relating to determinations, etc</w:t>
      </w:r>
      <w:bookmarkEnd w:id="417"/>
      <w:bookmarkEnd w:id="418"/>
    </w:p>
    <w:p w14:paraId="517AD58E"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A determination, declaration, approval, authorisation or instrument in writing, or a requirement, direction or notice, made, given or continued in force under or for the purposes of the repealed regulations that is in force immediately before the commencement of these regulations continues in force as a determination, declaration, approval, authorisation or instrument in writing, or requirement, direction or notice, given or made under or for the purposes of any corresponding provision of these regulations, subject to—</w:t>
      </w:r>
    </w:p>
    <w:p w14:paraId="705F8951" w14:textId="3F4B7836" w:rsidR="0090415A"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conditions (if any) of the determination, declaration, approval, authorisation instrument in writing, requirement, direction or notice; and</w:t>
      </w:r>
    </w:p>
    <w:p w14:paraId="4D4F8F60" w14:textId="77777777" w:rsidR="0090415A" w:rsidRDefault="0090415A" w:rsidP="0090415A">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FF1836C"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p>
    <w:p w14:paraId="1C23D560"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amendment or repeal under these regulations.</w:t>
      </w:r>
    </w:p>
    <w:p w14:paraId="25BD7B8C"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An exemption from a provision of the repealed regulations that is in force immediately before the commencement of these regulations continues in force as an exemption from the corresponding provision of these regulations, subject to—</w:t>
      </w:r>
    </w:p>
    <w:p w14:paraId="7139821F"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(a)</w:t>
      </w:r>
      <w:r w:rsidRPr="002A3021">
        <w:rPr>
          <w:rFonts w:eastAsia="Times New Roman"/>
          <w:color w:val="000000"/>
          <w:sz w:val="23"/>
          <w:szCs w:val="23"/>
          <w:lang w:eastAsia="en-AU"/>
          <w14:ligatures w14:val="standardContextual"/>
        </w:rPr>
        <w:tab/>
        <w:t>the conditions (if any) of the exemption; and</w:t>
      </w:r>
    </w:p>
    <w:p w14:paraId="4641DE6A" w14:textId="77777777" w:rsidR="002A3021" w:rsidRPr="002A3021" w:rsidRDefault="002A3021" w:rsidP="002A302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(b)</w:t>
      </w:r>
      <w:r w:rsidRPr="002A3021">
        <w:rPr>
          <w:rFonts w:eastAsia="Times New Roman"/>
          <w:color w:val="000000"/>
          <w:sz w:val="23"/>
          <w:szCs w:val="23"/>
          <w:lang w:eastAsia="en-AU"/>
          <w14:ligatures w14:val="standardContextual"/>
        </w:rPr>
        <w:tab/>
        <w:t>amendment or repeal under these regulations.</w:t>
      </w:r>
    </w:p>
    <w:p w14:paraId="67FE6BC9"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t>In this clause—</w:t>
      </w:r>
    </w:p>
    <w:p w14:paraId="2679F1B6"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repealed regulations</w:t>
      </w:r>
      <w:r w:rsidRPr="002A3021">
        <w:rPr>
          <w:rFonts w:eastAsia="Times New Roman"/>
          <w:color w:val="000000"/>
          <w:sz w:val="23"/>
          <w:szCs w:val="23"/>
          <w:lang w:eastAsia="en-AU"/>
          <w14:ligatures w14:val="standardContextual"/>
        </w:rPr>
        <w:t xml:space="preserve"> means the </w:t>
      </w:r>
      <w:hyperlink r:id="rId109" w:history="1">
        <w:r w:rsidRPr="002A3021">
          <w:rPr>
            <w:rFonts w:eastAsia="Times New Roman"/>
            <w:i/>
            <w:iCs/>
            <w:color w:val="000000"/>
            <w:sz w:val="23"/>
            <w:szCs w:val="23"/>
            <w:lang w:eastAsia="en-AU"/>
            <w14:ligatures w14:val="standardContextual"/>
          </w:rPr>
          <w:t>Motor Vehicles Regulations 2010</w:t>
        </w:r>
      </w:hyperlink>
      <w:r w:rsidRPr="002A3021">
        <w:rPr>
          <w:rFonts w:eastAsia="Times New Roman"/>
          <w:color w:val="000000"/>
          <w:sz w:val="23"/>
          <w:szCs w:val="23"/>
          <w:lang w:eastAsia="en-AU"/>
          <w14:ligatures w14:val="standardContextual"/>
        </w:rPr>
        <w:t>.</w:t>
      </w:r>
    </w:p>
    <w:p w14:paraId="2F3A97FA" w14:textId="77777777" w:rsidR="002A3021" w:rsidRPr="002A3021" w:rsidRDefault="002A3021" w:rsidP="002A30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9" w:name="Elkera_Print_TOC206"/>
      <w:bookmarkStart w:id="420" w:name="Elkera_Print_BK206"/>
      <w:r w:rsidRPr="002A3021">
        <w:rPr>
          <w:rFonts w:eastAsia="Times New Roman"/>
          <w:b/>
          <w:bCs/>
          <w:color w:val="000000"/>
          <w:sz w:val="26"/>
          <w:szCs w:val="26"/>
          <w:lang w:eastAsia="en-AU"/>
          <w14:ligatures w14:val="standardContextual"/>
        </w:rPr>
        <w:t xml:space="preserve">3—Transitional provision relating to </w:t>
      </w:r>
      <w:r w:rsidRPr="002A3021">
        <w:rPr>
          <w:rFonts w:eastAsia="Times New Roman"/>
          <w:b/>
          <w:bCs/>
          <w:i/>
          <w:iCs/>
          <w:color w:val="000000"/>
          <w:sz w:val="26"/>
          <w:szCs w:val="26"/>
          <w:lang w:eastAsia="en-AU"/>
          <w14:ligatures w14:val="standardContextual"/>
        </w:rPr>
        <w:t>Motor Vehicles (Motor Bike Driver Licensing) Amendment Regulations 2024</w:t>
      </w:r>
      <w:bookmarkEnd w:id="419"/>
      <w:bookmarkEnd w:id="420"/>
    </w:p>
    <w:p w14:paraId="75E528E2"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(1)</w:t>
      </w:r>
      <w:r w:rsidRPr="002A3021">
        <w:rPr>
          <w:rFonts w:eastAsia="Times New Roman"/>
          <w:color w:val="000000"/>
          <w:sz w:val="23"/>
          <w:szCs w:val="23"/>
          <w:lang w:eastAsia="en-AU"/>
          <w14:ligatures w14:val="standardContextual"/>
        </w:rPr>
        <w:tab/>
        <w:t xml:space="preserve">This clause applies to a person who successfully completed the basic motor bike training course before the commencement of the </w:t>
      </w:r>
      <w:hyperlink r:id="rId110" w:history="1">
        <w:r w:rsidRPr="002A3021">
          <w:rPr>
            <w:rFonts w:eastAsia="Times New Roman"/>
            <w:i/>
            <w:iCs/>
            <w:color w:val="000000"/>
            <w:sz w:val="23"/>
            <w:szCs w:val="23"/>
            <w:lang w:eastAsia="en-AU"/>
            <w14:ligatures w14:val="standardContextual"/>
          </w:rPr>
          <w:t>Motor Vehicles (Motor Bike Driver Licensing) Amendment Regulations 2024</w:t>
        </w:r>
      </w:hyperlink>
      <w:r w:rsidRPr="002A3021">
        <w:rPr>
          <w:rFonts w:eastAsia="Times New Roman"/>
          <w:color w:val="000000"/>
          <w:sz w:val="23"/>
          <w:szCs w:val="23"/>
          <w:lang w:eastAsia="en-AU"/>
          <w14:ligatures w14:val="standardContextual"/>
        </w:rPr>
        <w:t xml:space="preserve"> but who has not been issued with a learner's permit authorising the driving of a motor bike.</w:t>
      </w:r>
    </w:p>
    <w:p w14:paraId="735E68D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(2)</w:t>
      </w:r>
      <w:r w:rsidRPr="002A3021">
        <w:rPr>
          <w:rFonts w:eastAsia="Times New Roman"/>
          <w:color w:val="000000"/>
          <w:sz w:val="23"/>
          <w:szCs w:val="23"/>
          <w:lang w:eastAsia="en-AU"/>
          <w14:ligatures w14:val="standardContextual"/>
        </w:rPr>
        <w:tab/>
        <w:t>However, this clause ceases to apply to a person if, on the expiration of 12 months from the day on which the person completed the basic motor bike training course, the person has not applied for a learner's permit authorising the driving of a motor bike (and, to avoid doubt, in such circumstances these regulations will apply in relation to any subsequent application by the person for a learner's permit or licence authorising the driving of a motor bike).</w:t>
      </w:r>
    </w:p>
    <w:p w14:paraId="07E94BB0"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(3)</w:t>
      </w:r>
      <w:r w:rsidRPr="002A3021">
        <w:rPr>
          <w:rFonts w:eastAsia="Times New Roman"/>
          <w:color w:val="000000"/>
          <w:sz w:val="23"/>
          <w:szCs w:val="23"/>
          <w:lang w:eastAsia="en-AU"/>
          <w14:ligatures w14:val="standardContextual"/>
        </w:rPr>
        <w:tab/>
      </w:r>
      <w:hyperlink w:anchor="idcade2651_868c_4791_8557_8e49606ab5" w:history="1">
        <w:r w:rsidRPr="002A3021">
          <w:rPr>
            <w:rFonts w:eastAsia="Times New Roman"/>
            <w:color w:val="000000"/>
            <w:sz w:val="23"/>
            <w:szCs w:val="23"/>
            <w:lang w:eastAsia="en-AU"/>
            <w14:ligatures w14:val="standardContextual"/>
          </w:rPr>
          <w:t>Regulation 52</w:t>
        </w:r>
      </w:hyperlink>
      <w:r w:rsidRPr="002A3021">
        <w:rPr>
          <w:rFonts w:eastAsia="Times New Roman"/>
          <w:color w:val="000000"/>
          <w:sz w:val="23"/>
          <w:szCs w:val="23"/>
          <w:lang w:eastAsia="en-AU"/>
          <w14:ligatures w14:val="standardContextual"/>
        </w:rPr>
        <w:t xml:space="preserve"> does not apply to a person to whom this clause applies and instead, for the purposes of section 75A(2)(a)(v) of the Act, the basic motor bike training course is prescribed.</w:t>
      </w:r>
    </w:p>
    <w:p w14:paraId="1C096659" w14:textId="77777777" w:rsidR="002A3021" w:rsidRPr="002A3021" w:rsidRDefault="002A3021" w:rsidP="002A30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(4)</w:t>
      </w:r>
      <w:r w:rsidRPr="002A3021">
        <w:rPr>
          <w:rFonts w:eastAsia="Times New Roman"/>
          <w:color w:val="000000"/>
          <w:sz w:val="23"/>
          <w:szCs w:val="23"/>
          <w:lang w:eastAsia="en-AU"/>
          <w14:ligatures w14:val="standardContextual"/>
        </w:rPr>
        <w:tab/>
        <w:t>To avoid doubt any learner's permit authorising the driving of a motor bike issued to a person in accordance with this clause will be taken to have satisfied the requirements of these regulations.</w:t>
      </w:r>
    </w:p>
    <w:p w14:paraId="2FA81BC8" w14:textId="77777777" w:rsidR="002A3021" w:rsidRPr="002A3021" w:rsidRDefault="002A3021" w:rsidP="002A30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ab/>
        <w:t>(5)</w:t>
      </w:r>
      <w:r w:rsidRPr="002A3021">
        <w:rPr>
          <w:rFonts w:eastAsia="Times New Roman"/>
          <w:color w:val="000000"/>
          <w:sz w:val="23"/>
          <w:szCs w:val="23"/>
          <w:lang w:eastAsia="en-AU"/>
          <w14:ligatures w14:val="standardContextual"/>
        </w:rPr>
        <w:tab/>
        <w:t>In this clause—</w:t>
      </w:r>
    </w:p>
    <w:p w14:paraId="5F3E8B0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A3021">
        <w:rPr>
          <w:rFonts w:eastAsia="Times New Roman"/>
          <w:b/>
          <w:bCs/>
          <w:i/>
          <w:iCs/>
          <w:color w:val="000000"/>
          <w:sz w:val="23"/>
          <w:szCs w:val="23"/>
          <w:lang w:eastAsia="en-AU"/>
          <w14:ligatures w14:val="standardContextual"/>
        </w:rPr>
        <w:t>basic motor bike training course</w:t>
      </w:r>
      <w:r w:rsidRPr="002A3021">
        <w:rPr>
          <w:rFonts w:eastAsia="Times New Roman"/>
          <w:color w:val="000000"/>
          <w:sz w:val="23"/>
          <w:szCs w:val="23"/>
          <w:lang w:eastAsia="en-AU"/>
          <w14:ligatures w14:val="standardContextual"/>
        </w:rPr>
        <w:t xml:space="preserve"> means the motor bike driver training that was conducted by the Transport Department relating to basic motor bike control skills that involves basic braking, cornering, gear shifting, bike control theory, traffic skills and a practical skills assessment immediately prior to the commencement of the </w:t>
      </w:r>
      <w:hyperlink r:id="rId111" w:history="1">
        <w:r w:rsidRPr="002A3021">
          <w:rPr>
            <w:rFonts w:eastAsia="Times New Roman"/>
            <w:i/>
            <w:iCs/>
            <w:color w:val="000000"/>
            <w:sz w:val="23"/>
            <w:szCs w:val="23"/>
            <w:lang w:eastAsia="en-AU"/>
            <w14:ligatures w14:val="standardContextual"/>
          </w:rPr>
          <w:t>Motor Vehicles (Motor Bike Driver Licensing) Amendment Regulations 2024</w:t>
        </w:r>
      </w:hyperlink>
      <w:r w:rsidRPr="002A3021">
        <w:rPr>
          <w:rFonts w:eastAsia="Times New Roman"/>
          <w:color w:val="000000"/>
          <w:sz w:val="23"/>
          <w:szCs w:val="23"/>
          <w:lang w:eastAsia="en-AU"/>
          <w14:ligatures w14:val="standardContextual"/>
        </w:rPr>
        <w:t>.</w:t>
      </w:r>
    </w:p>
    <w:p w14:paraId="7D67FD9A" w14:textId="77777777" w:rsidR="002A3021" w:rsidRPr="002A3021" w:rsidRDefault="002A3021" w:rsidP="002A302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A3021">
        <w:rPr>
          <w:rFonts w:eastAsia="Times New Roman"/>
          <w:b/>
          <w:bCs/>
          <w:color w:val="000000"/>
          <w:sz w:val="20"/>
          <w:szCs w:val="20"/>
          <w:lang w:eastAsia="en-AU"/>
          <w14:ligatures w14:val="standardContextual"/>
        </w:rPr>
        <w:t>Editorial note—</w:t>
      </w:r>
    </w:p>
    <w:p w14:paraId="19790564" w14:textId="77777777" w:rsidR="002A3021" w:rsidRPr="002A3021" w:rsidRDefault="002A3021" w:rsidP="002A302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A3021">
        <w:rPr>
          <w:rFonts w:eastAsia="Times New Roman"/>
          <w:color w:val="000000"/>
          <w:sz w:val="20"/>
          <w:szCs w:val="20"/>
          <w:lang w:eastAsia="en-AU"/>
          <w14:ligatures w14:val="standardContextual"/>
        </w:rPr>
        <w:t xml:space="preserve">As required by section 10AA(2) of the </w:t>
      </w:r>
      <w:hyperlink r:id="rId112" w:history="1">
        <w:r w:rsidRPr="002A3021">
          <w:rPr>
            <w:rFonts w:eastAsia="Times New Roman"/>
            <w:i/>
            <w:iCs/>
            <w:color w:val="000000"/>
            <w:sz w:val="20"/>
            <w:szCs w:val="20"/>
            <w:lang w:eastAsia="en-AU"/>
            <w14:ligatures w14:val="standardContextual"/>
          </w:rPr>
          <w:t>Legislative Instruments Act 1978</w:t>
        </w:r>
      </w:hyperlink>
      <w:r w:rsidRPr="002A302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2D09E53" w14:textId="77777777" w:rsidR="002A3021" w:rsidRPr="002A3021" w:rsidRDefault="002A3021" w:rsidP="002A302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A3021">
        <w:rPr>
          <w:rFonts w:eastAsia="Times New Roman"/>
          <w:b/>
          <w:bCs/>
          <w:color w:val="000000"/>
          <w:sz w:val="26"/>
          <w:szCs w:val="26"/>
          <w:lang w:eastAsia="en-AU"/>
          <w14:ligatures w14:val="standardContextual"/>
        </w:rPr>
        <w:t>Made by the Governor</w:t>
      </w:r>
    </w:p>
    <w:p w14:paraId="2856BD8E" w14:textId="77777777"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with the advice and consent of the Executive Council</w:t>
      </w:r>
    </w:p>
    <w:p w14:paraId="22B2BD8A" w14:textId="700F1CD9" w:rsidR="002A3021" w:rsidRPr="002A3021" w:rsidRDefault="002A3021" w:rsidP="002A302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 xml:space="preserve">on </w:t>
      </w:r>
      <w:r w:rsidR="00646F2D">
        <w:rPr>
          <w:rFonts w:eastAsia="Times New Roman"/>
          <w:color w:val="000000"/>
          <w:sz w:val="23"/>
          <w:szCs w:val="23"/>
          <w:lang w:eastAsia="en-AU"/>
          <w14:ligatures w14:val="standardContextual"/>
        </w:rPr>
        <w:t>14 August 2025</w:t>
      </w:r>
    </w:p>
    <w:p w14:paraId="3E1E1F84" w14:textId="35A7070E" w:rsidR="002A3021" w:rsidRPr="002A3021" w:rsidRDefault="002A3021" w:rsidP="002A302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A3021">
        <w:rPr>
          <w:rFonts w:eastAsia="Times New Roman"/>
          <w:color w:val="000000"/>
          <w:sz w:val="23"/>
          <w:szCs w:val="23"/>
          <w:lang w:eastAsia="en-AU"/>
          <w14:ligatures w14:val="standardContextual"/>
        </w:rPr>
        <w:t>No </w:t>
      </w:r>
      <w:r w:rsidR="00646F2D">
        <w:rPr>
          <w:rFonts w:eastAsia="Times New Roman"/>
          <w:color w:val="000000"/>
          <w:sz w:val="23"/>
          <w:szCs w:val="23"/>
          <w:lang w:eastAsia="en-AU"/>
          <w14:ligatures w14:val="standardContextual"/>
        </w:rPr>
        <w:t>88</w:t>
      </w:r>
      <w:r w:rsidRPr="002A3021">
        <w:rPr>
          <w:rFonts w:eastAsia="Times New Roman"/>
          <w:color w:val="000000"/>
          <w:sz w:val="23"/>
          <w:szCs w:val="23"/>
          <w:lang w:eastAsia="en-AU"/>
          <w14:ligatures w14:val="standardContextual"/>
        </w:rPr>
        <w:t> of </w:t>
      </w:r>
      <w:r w:rsidR="00646F2D">
        <w:rPr>
          <w:rFonts w:eastAsia="Times New Roman"/>
          <w:color w:val="000000"/>
          <w:sz w:val="23"/>
          <w:szCs w:val="23"/>
          <w:lang w:eastAsia="en-AU"/>
          <w14:ligatures w14:val="standardContextual"/>
        </w:rPr>
        <w:t>2025</w:t>
      </w:r>
    </w:p>
    <w:p w14:paraId="553D1D7F" w14:textId="61B3E599" w:rsidR="002A3021" w:rsidRDefault="002A3021">
      <w:pPr>
        <w:spacing w:after="0" w:line="240" w:lineRule="auto"/>
        <w:jc w:val="left"/>
        <w:rPr>
          <w:rFonts w:eastAsia="Times New Roman"/>
          <w:szCs w:val="17"/>
        </w:rPr>
      </w:pPr>
      <w:r>
        <w:br w:type="page"/>
      </w:r>
    </w:p>
    <w:p w14:paraId="376C69A0" w14:textId="77777777" w:rsidR="002B2E13" w:rsidRPr="002B2E13" w:rsidRDefault="002B2E13" w:rsidP="002B2E1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B2E13">
        <w:rPr>
          <w:rFonts w:eastAsia="Times New Roman"/>
          <w:color w:val="000000"/>
          <w:sz w:val="28"/>
          <w:szCs w:val="28"/>
          <w:lang w:eastAsia="en-AU"/>
          <w14:ligatures w14:val="standardContextual"/>
        </w:rPr>
        <w:lastRenderedPageBreak/>
        <w:t>South Australia</w:t>
      </w:r>
    </w:p>
    <w:p w14:paraId="551CE974" w14:textId="77777777" w:rsidR="002B2E13" w:rsidRPr="002B2E13" w:rsidRDefault="002B2E13" w:rsidP="00E34B09">
      <w:pPr>
        <w:pStyle w:val="Heading3"/>
        <w:rPr>
          <w:lang w:eastAsia="en-AU"/>
        </w:rPr>
      </w:pPr>
      <w:bookmarkStart w:id="421" w:name="_Toc206061754"/>
      <w:r w:rsidRPr="002B2E13">
        <w:rPr>
          <w:lang w:eastAsia="en-AU"/>
        </w:rPr>
        <w:t>Mental Health Regulations 2025</w:t>
      </w:r>
      <w:bookmarkEnd w:id="421"/>
    </w:p>
    <w:p w14:paraId="5134E82C" w14:textId="77777777" w:rsidR="002B2E13" w:rsidRPr="002B2E13" w:rsidRDefault="002B2E13" w:rsidP="002B2E1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B2E13">
        <w:rPr>
          <w:rFonts w:eastAsia="Times New Roman"/>
          <w:color w:val="000000"/>
          <w:sz w:val="24"/>
          <w:szCs w:val="24"/>
          <w:lang w:eastAsia="en-AU"/>
          <w14:ligatures w14:val="standardContextual"/>
        </w:rPr>
        <w:t xml:space="preserve">under the </w:t>
      </w:r>
      <w:r w:rsidRPr="002B2E13">
        <w:rPr>
          <w:rFonts w:eastAsia="Times New Roman"/>
          <w:i/>
          <w:iCs/>
          <w:color w:val="000000"/>
          <w:sz w:val="24"/>
          <w:szCs w:val="24"/>
          <w:lang w:eastAsia="en-AU"/>
          <w14:ligatures w14:val="standardContextual"/>
        </w:rPr>
        <w:t>Mental Health Act 2009</w:t>
      </w:r>
    </w:p>
    <w:p w14:paraId="75BBC270" w14:textId="77777777" w:rsidR="002B2E13" w:rsidRPr="002B2E13" w:rsidRDefault="002B2E13" w:rsidP="002B2E1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F1F3674" w14:textId="77777777" w:rsidR="002B2E13" w:rsidRPr="002B2E13" w:rsidRDefault="002B2E13" w:rsidP="002B2E13">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B2E13">
        <w:rPr>
          <w:rFonts w:eastAsia="Times New Roman"/>
          <w:b/>
          <w:bCs/>
          <w:color w:val="000000"/>
          <w:sz w:val="32"/>
          <w:szCs w:val="32"/>
          <w:lang w:eastAsia="en-AU"/>
          <w14:ligatures w14:val="standardContextual"/>
        </w:rPr>
        <w:t>Contents</w:t>
      </w:r>
    </w:p>
    <w:p w14:paraId="2B78CC0B"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2B2E13">
          <w:rPr>
            <w:rFonts w:eastAsia="Times New Roman"/>
            <w:color w:val="000000"/>
            <w:sz w:val="22"/>
            <w:lang w:eastAsia="en-AU"/>
            <w14:ligatures w14:val="standardContextual"/>
          </w:rPr>
          <w:t>1</w:t>
        </w:r>
        <w:r w:rsidRPr="002B2E13">
          <w:rPr>
            <w:rFonts w:eastAsia="Times New Roman"/>
            <w:color w:val="000000"/>
            <w:sz w:val="22"/>
            <w:lang w:eastAsia="en-AU"/>
            <w14:ligatures w14:val="standardContextual"/>
          </w:rPr>
          <w:tab/>
          <w:t>Short title</w:t>
        </w:r>
      </w:hyperlink>
    </w:p>
    <w:p w14:paraId="54389BE9"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B2E13">
          <w:rPr>
            <w:rFonts w:eastAsia="Times New Roman"/>
            <w:color w:val="000000"/>
            <w:sz w:val="22"/>
            <w:lang w:eastAsia="en-AU"/>
            <w14:ligatures w14:val="standardContextual"/>
          </w:rPr>
          <w:t>2</w:t>
        </w:r>
        <w:r w:rsidRPr="002B2E13">
          <w:rPr>
            <w:rFonts w:eastAsia="Times New Roman"/>
            <w:color w:val="000000"/>
            <w:sz w:val="22"/>
            <w:lang w:eastAsia="en-AU"/>
            <w14:ligatures w14:val="standardContextual"/>
          </w:rPr>
          <w:tab/>
          <w:t>Commencement</w:t>
        </w:r>
      </w:hyperlink>
    </w:p>
    <w:p w14:paraId="1AC2124A"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B2E13">
          <w:rPr>
            <w:rFonts w:eastAsia="Times New Roman"/>
            <w:color w:val="000000"/>
            <w:sz w:val="22"/>
            <w:lang w:eastAsia="en-AU"/>
            <w14:ligatures w14:val="standardContextual"/>
          </w:rPr>
          <w:t>3</w:t>
        </w:r>
        <w:r w:rsidRPr="002B2E13">
          <w:rPr>
            <w:rFonts w:eastAsia="Times New Roman"/>
            <w:color w:val="000000"/>
            <w:sz w:val="22"/>
            <w:lang w:eastAsia="en-AU"/>
            <w14:ligatures w14:val="standardContextual"/>
          </w:rPr>
          <w:tab/>
          <w:t>Interpretation</w:t>
        </w:r>
      </w:hyperlink>
    </w:p>
    <w:p w14:paraId="22444FCA"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2B2E13">
          <w:rPr>
            <w:rFonts w:eastAsia="Times New Roman"/>
            <w:color w:val="000000"/>
            <w:sz w:val="22"/>
            <w:lang w:eastAsia="en-AU"/>
            <w14:ligatures w14:val="standardContextual"/>
          </w:rPr>
          <w:t>4</w:t>
        </w:r>
        <w:r w:rsidRPr="002B2E13">
          <w:rPr>
            <w:rFonts w:eastAsia="Times New Roman"/>
            <w:color w:val="000000"/>
            <w:sz w:val="22"/>
            <w:lang w:eastAsia="en-AU"/>
            <w14:ligatures w14:val="standardContextual"/>
          </w:rPr>
          <w:tab/>
          <w:t>Statement of rights (sections 9, 12, 23, 27, 37 and 46 of Act)</w:t>
        </w:r>
      </w:hyperlink>
    </w:p>
    <w:p w14:paraId="31B5C6FC"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2B2E13">
          <w:rPr>
            <w:rFonts w:eastAsia="Times New Roman"/>
            <w:color w:val="000000"/>
            <w:sz w:val="22"/>
            <w:lang w:eastAsia="en-AU"/>
            <w14:ligatures w14:val="standardContextual"/>
          </w:rPr>
          <w:t>5</w:t>
        </w:r>
        <w:r w:rsidRPr="002B2E13">
          <w:rPr>
            <w:rFonts w:eastAsia="Times New Roman"/>
            <w:color w:val="000000"/>
            <w:sz w:val="22"/>
            <w:lang w:eastAsia="en-AU"/>
            <w14:ligatures w14:val="standardContextual"/>
          </w:rPr>
          <w:tab/>
          <w:t>Notification to Commissioner of Police of action taken under Act (section 57(10) of Act)</w:t>
        </w:r>
      </w:hyperlink>
    </w:p>
    <w:p w14:paraId="259F79C8"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2B2E13">
          <w:rPr>
            <w:rFonts w:eastAsia="Times New Roman"/>
            <w:color w:val="000000"/>
            <w:sz w:val="22"/>
            <w:lang w:eastAsia="en-AU"/>
            <w14:ligatures w14:val="standardContextual"/>
          </w:rPr>
          <w:t>6</w:t>
        </w:r>
        <w:r w:rsidRPr="002B2E13">
          <w:rPr>
            <w:rFonts w:eastAsia="Times New Roman"/>
            <w:color w:val="000000"/>
            <w:sz w:val="22"/>
            <w:lang w:eastAsia="en-AU"/>
            <w14:ligatures w14:val="standardContextual"/>
          </w:rPr>
          <w:tab/>
          <w:t>Arrangements between South Australia and other jurisdictions (Part 10 of Act)</w:t>
        </w:r>
      </w:hyperlink>
    </w:p>
    <w:p w14:paraId="720FA507" w14:textId="77777777" w:rsidR="002B2E13" w:rsidRPr="002B2E13" w:rsidRDefault="002B2E13" w:rsidP="002B2E1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2B2E13">
          <w:rPr>
            <w:rFonts w:eastAsia="Times New Roman"/>
            <w:color w:val="000000"/>
            <w:sz w:val="22"/>
            <w:lang w:eastAsia="en-AU"/>
            <w14:ligatures w14:val="standardContextual"/>
          </w:rPr>
          <w:t>7</w:t>
        </w:r>
        <w:r w:rsidRPr="002B2E13">
          <w:rPr>
            <w:rFonts w:eastAsia="Times New Roman"/>
            <w:color w:val="000000"/>
            <w:sz w:val="22"/>
            <w:lang w:eastAsia="en-AU"/>
            <w14:ligatures w14:val="standardContextual"/>
          </w:rPr>
          <w:tab/>
          <w:t>Scale of legal practitioner fees (section 84(3) of Act)</w:t>
        </w:r>
      </w:hyperlink>
    </w:p>
    <w:p w14:paraId="5D3AE04C" w14:textId="77777777" w:rsidR="002B2E13" w:rsidRPr="002B2E13" w:rsidRDefault="002B2E13" w:rsidP="002B2E1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8" w:history="1">
        <w:r w:rsidRPr="002B2E13">
          <w:rPr>
            <w:rFonts w:eastAsia="Times New Roman"/>
            <w:color w:val="000000"/>
            <w:sz w:val="28"/>
            <w:szCs w:val="28"/>
            <w:lang w:eastAsia="en-AU"/>
            <w14:ligatures w14:val="standardContextual"/>
          </w:rPr>
          <w:t xml:space="preserve">Schedule 1—Repeal of </w:t>
        </w:r>
        <w:r w:rsidRPr="002B2E13">
          <w:rPr>
            <w:rFonts w:eastAsia="Times New Roman"/>
            <w:i/>
            <w:iCs/>
            <w:color w:val="000000"/>
            <w:sz w:val="28"/>
            <w:szCs w:val="28"/>
            <w:lang w:eastAsia="en-AU"/>
            <w14:ligatures w14:val="standardContextual"/>
          </w:rPr>
          <w:t>Mental Health Regulations 2010</w:t>
        </w:r>
      </w:hyperlink>
    </w:p>
    <w:p w14:paraId="36BBAD09" w14:textId="77777777" w:rsidR="002B2E13" w:rsidRPr="002B2E13" w:rsidRDefault="002B2E13" w:rsidP="002B2E1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8E9FB8C"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1—Short title</w:t>
      </w:r>
    </w:p>
    <w:p w14:paraId="23641C6D" w14:textId="77777777" w:rsidR="002B2E13" w:rsidRPr="002B2E13" w:rsidRDefault="002B2E13" w:rsidP="002B2E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 xml:space="preserve">These regulations may be cited as the </w:t>
      </w:r>
      <w:r w:rsidRPr="002B2E13">
        <w:rPr>
          <w:rFonts w:eastAsia="Times New Roman"/>
          <w:i/>
          <w:iCs/>
          <w:color w:val="000000"/>
          <w:sz w:val="23"/>
          <w:szCs w:val="23"/>
          <w:lang w:eastAsia="en-AU"/>
          <w14:ligatures w14:val="standardContextual"/>
        </w:rPr>
        <w:t>Mental Health Regulations 2025</w:t>
      </w:r>
      <w:r w:rsidRPr="002B2E13">
        <w:rPr>
          <w:rFonts w:eastAsia="Times New Roman"/>
          <w:color w:val="000000"/>
          <w:sz w:val="23"/>
          <w:szCs w:val="23"/>
          <w:lang w:eastAsia="en-AU"/>
          <w14:ligatures w14:val="standardContextual"/>
        </w:rPr>
        <w:t>.</w:t>
      </w:r>
    </w:p>
    <w:p w14:paraId="52A35105"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2—Commencement</w:t>
      </w:r>
    </w:p>
    <w:p w14:paraId="5E681B56" w14:textId="77777777" w:rsidR="002B2E13" w:rsidRPr="002B2E13" w:rsidRDefault="002B2E13" w:rsidP="002B2E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These regulations come into operation on the day on which they are made.</w:t>
      </w:r>
    </w:p>
    <w:p w14:paraId="5AED8902"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3—Interpretation</w:t>
      </w:r>
    </w:p>
    <w:p w14:paraId="65ADF89A" w14:textId="77777777" w:rsidR="002B2E13" w:rsidRPr="002B2E13" w:rsidRDefault="002B2E13" w:rsidP="002B2E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In these regulations—</w:t>
      </w:r>
    </w:p>
    <w:p w14:paraId="5E2714D8" w14:textId="77777777" w:rsidR="002B2E13" w:rsidRPr="002B2E13" w:rsidRDefault="002B2E13" w:rsidP="002B2E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b/>
          <w:bCs/>
          <w:i/>
          <w:iCs/>
          <w:color w:val="000000"/>
          <w:sz w:val="23"/>
          <w:szCs w:val="23"/>
          <w:lang w:eastAsia="en-AU"/>
          <w14:ligatures w14:val="standardContextual"/>
        </w:rPr>
        <w:t>Act</w:t>
      </w:r>
      <w:r w:rsidRPr="002B2E13">
        <w:rPr>
          <w:rFonts w:eastAsia="Times New Roman"/>
          <w:color w:val="000000"/>
          <w:sz w:val="23"/>
          <w:szCs w:val="23"/>
          <w:lang w:eastAsia="en-AU"/>
          <w14:ligatures w14:val="standardContextual"/>
        </w:rPr>
        <w:t xml:space="preserve"> means the </w:t>
      </w:r>
      <w:hyperlink r:id="rId113" w:history="1">
        <w:r w:rsidRPr="002B2E13">
          <w:rPr>
            <w:rFonts w:eastAsia="Times New Roman"/>
            <w:i/>
            <w:iCs/>
            <w:color w:val="000000"/>
            <w:sz w:val="23"/>
            <w:szCs w:val="23"/>
            <w:lang w:eastAsia="en-AU"/>
            <w14:ligatures w14:val="standardContextual"/>
          </w:rPr>
          <w:t>Mental Health Act 2009</w:t>
        </w:r>
      </w:hyperlink>
      <w:r w:rsidRPr="002B2E13">
        <w:rPr>
          <w:rFonts w:eastAsia="Times New Roman"/>
          <w:color w:val="000000"/>
          <w:sz w:val="23"/>
          <w:szCs w:val="23"/>
          <w:lang w:eastAsia="en-AU"/>
          <w14:ligatures w14:val="standardContextual"/>
        </w:rPr>
        <w:t>.</w:t>
      </w:r>
    </w:p>
    <w:p w14:paraId="1C5787B3"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4—Statement of rights (sections 9, 12, 23, 27, 37 and 46 of Act)</w:t>
      </w:r>
    </w:p>
    <w:p w14:paraId="64FDA0B6" w14:textId="77777777" w:rsidR="002B2E13" w:rsidRPr="002B2E13" w:rsidRDefault="002B2E13" w:rsidP="002B2E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(1)</w:t>
      </w:r>
      <w:r w:rsidRPr="002B2E13">
        <w:rPr>
          <w:rFonts w:eastAsia="Times New Roman"/>
          <w:color w:val="000000"/>
          <w:sz w:val="23"/>
          <w:szCs w:val="23"/>
          <w:lang w:eastAsia="en-AU"/>
          <w14:ligatures w14:val="standardContextual"/>
        </w:rPr>
        <w:tab/>
        <w:t>A statement of rights given under section 9 of the Act to a voluntary patient must contain—</w:t>
      </w:r>
    </w:p>
    <w:p w14:paraId="710B5948"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an explanation of the circumstances in which a community treatment order or an inpatient treatment order may be made; and</w:t>
      </w:r>
    </w:p>
    <w:p w14:paraId="5B6CFFF6"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(b)</w:t>
      </w:r>
      <w:r w:rsidRPr="002B2E13">
        <w:rPr>
          <w:rFonts w:eastAsia="Times New Roman"/>
          <w:color w:val="000000"/>
          <w:sz w:val="23"/>
          <w:szCs w:val="23"/>
          <w:lang w:eastAsia="en-AU"/>
          <w14:ligatures w14:val="standardContextual"/>
        </w:rPr>
        <w:tab/>
        <w:t>an explanation of the effect of Part 6 of the Act; and</w:t>
      </w:r>
    </w:p>
    <w:p w14:paraId="7FA47447"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(c)</w:t>
      </w:r>
      <w:r w:rsidRPr="002B2E13">
        <w:rPr>
          <w:rFonts w:eastAsia="Times New Roman"/>
          <w:color w:val="000000"/>
          <w:sz w:val="23"/>
          <w:szCs w:val="23"/>
          <w:lang w:eastAsia="en-AU"/>
          <w14:ligatures w14:val="standardContextual"/>
        </w:rPr>
        <w:tab/>
        <w:t>an explanation of the effect of section 106 of the Act; and</w:t>
      </w:r>
    </w:p>
    <w:p w14:paraId="630DC7EB"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(d)</w:t>
      </w:r>
      <w:r w:rsidRPr="002B2E13">
        <w:rPr>
          <w:rFonts w:eastAsia="Times New Roman"/>
          <w:color w:val="000000"/>
          <w:sz w:val="23"/>
          <w:szCs w:val="23"/>
          <w:lang w:eastAsia="en-AU"/>
          <w14:ligatures w14:val="standardContextual"/>
        </w:rPr>
        <w:tab/>
        <w:t>any other information required to be included by the Minister.</w:t>
      </w:r>
    </w:p>
    <w:p w14:paraId="22BB7397" w14:textId="77777777" w:rsidR="002B2E13" w:rsidRPr="002B2E13" w:rsidRDefault="002B2E13" w:rsidP="002B2E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(2)</w:t>
      </w:r>
      <w:r w:rsidRPr="002B2E13">
        <w:rPr>
          <w:rFonts w:eastAsia="Times New Roman"/>
          <w:color w:val="000000"/>
          <w:sz w:val="23"/>
          <w:szCs w:val="23"/>
          <w:lang w:eastAsia="en-AU"/>
          <w14:ligatures w14:val="standardContextual"/>
        </w:rPr>
        <w:tab/>
        <w:t>A statement of rights given under section 12 of the Act to a patient as soon as practicable after the making of a level 1 community treatment order must contain—</w:t>
      </w:r>
    </w:p>
    <w:p w14:paraId="0C4E2CF1"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an explanation of the circumstances in which an inpatient treatment order may be made; and</w:t>
      </w:r>
    </w:p>
    <w:p w14:paraId="2E1EDF29"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(b)</w:t>
      </w:r>
      <w:r w:rsidRPr="002B2E13">
        <w:rPr>
          <w:rFonts w:eastAsia="Times New Roman"/>
          <w:color w:val="000000"/>
          <w:sz w:val="23"/>
          <w:szCs w:val="23"/>
          <w:lang w:eastAsia="en-AU"/>
          <w14:ligatures w14:val="standardContextual"/>
        </w:rPr>
        <w:tab/>
        <w:t>an explanation of the effect of section 106 of the Act; and</w:t>
      </w:r>
    </w:p>
    <w:p w14:paraId="7163F7EA"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(c)</w:t>
      </w:r>
      <w:r w:rsidRPr="002B2E13">
        <w:rPr>
          <w:rFonts w:eastAsia="Times New Roman"/>
          <w:color w:val="000000"/>
          <w:sz w:val="23"/>
          <w:szCs w:val="23"/>
          <w:lang w:eastAsia="en-AU"/>
          <w14:ligatures w14:val="standardContextual"/>
        </w:rPr>
        <w:tab/>
        <w:t>any other information required to be included by the Minister.</w:t>
      </w:r>
    </w:p>
    <w:p w14:paraId="232ACBEA" w14:textId="77777777" w:rsidR="002B2E13" w:rsidRPr="002B2E13" w:rsidRDefault="002B2E13" w:rsidP="002B2E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(3)</w:t>
      </w:r>
      <w:r w:rsidRPr="002B2E13">
        <w:rPr>
          <w:rFonts w:eastAsia="Times New Roman"/>
          <w:color w:val="000000"/>
          <w:sz w:val="23"/>
          <w:szCs w:val="23"/>
          <w:lang w:eastAsia="en-AU"/>
          <w14:ligatures w14:val="standardContextual"/>
        </w:rPr>
        <w:tab/>
        <w:t>A statement of rights given under section 23 of the Act to a patient as soon as practicable after the making of a level 1 inpatient treatment order must contain—</w:t>
      </w:r>
    </w:p>
    <w:p w14:paraId="3BDD85E2" w14:textId="4F85D47A" w:rsidR="0090415A"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an explanation of the powers that may be exercised in relation to the patient if the patient is absent without leave; and</w:t>
      </w:r>
    </w:p>
    <w:p w14:paraId="5C352FE6" w14:textId="77777777" w:rsidR="0090415A" w:rsidRDefault="0090415A" w:rsidP="0090415A">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C65F995"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lastRenderedPageBreak/>
        <w:tab/>
        <w:t>(b)</w:t>
      </w:r>
      <w:r w:rsidRPr="002B2E13">
        <w:rPr>
          <w:rFonts w:eastAsia="Times New Roman"/>
          <w:color w:val="000000"/>
          <w:sz w:val="23"/>
          <w:szCs w:val="23"/>
          <w:lang w:eastAsia="en-AU"/>
          <w14:ligatures w14:val="standardContextual"/>
        </w:rPr>
        <w:tab/>
        <w:t>an explanation of the effect of section 106 of the Act; and</w:t>
      </w:r>
    </w:p>
    <w:p w14:paraId="2F2491BC"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(c)</w:t>
      </w:r>
      <w:r w:rsidRPr="002B2E13">
        <w:rPr>
          <w:rFonts w:eastAsia="Times New Roman"/>
          <w:color w:val="000000"/>
          <w:sz w:val="23"/>
          <w:szCs w:val="23"/>
          <w:lang w:eastAsia="en-AU"/>
          <w14:ligatures w14:val="standardContextual"/>
        </w:rPr>
        <w:tab/>
        <w:t>any other information required to be included by the Minister.</w:t>
      </w:r>
    </w:p>
    <w:p w14:paraId="28F7B383" w14:textId="77777777" w:rsidR="002B2E13" w:rsidRPr="002B2E13" w:rsidRDefault="002B2E13" w:rsidP="002B2E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(4)</w:t>
      </w:r>
      <w:r w:rsidRPr="002B2E13">
        <w:rPr>
          <w:rFonts w:eastAsia="Times New Roman"/>
          <w:color w:val="000000"/>
          <w:sz w:val="23"/>
          <w:szCs w:val="23"/>
          <w:lang w:eastAsia="en-AU"/>
          <w14:ligatures w14:val="standardContextual"/>
        </w:rPr>
        <w:tab/>
        <w:t>A statement of rights given under section 27 of the Act to a patient as soon as practicable after the making of a level 2 inpatient treatment order must contain—</w:t>
      </w:r>
    </w:p>
    <w:p w14:paraId="41AE76BE"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an explanation of the powers that may be exercised in relation to the patient if the patient is absent without leave; and</w:t>
      </w:r>
    </w:p>
    <w:p w14:paraId="5D0E1BCE"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(b)</w:t>
      </w:r>
      <w:r w:rsidRPr="002B2E13">
        <w:rPr>
          <w:rFonts w:eastAsia="Times New Roman"/>
          <w:color w:val="000000"/>
          <w:sz w:val="23"/>
          <w:szCs w:val="23"/>
          <w:lang w:eastAsia="en-AU"/>
          <w14:ligatures w14:val="standardContextual"/>
        </w:rPr>
        <w:tab/>
        <w:t>an explanation of the effect of Part 6 of the Act; and</w:t>
      </w:r>
    </w:p>
    <w:p w14:paraId="014DA44D"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(c)</w:t>
      </w:r>
      <w:r w:rsidRPr="002B2E13">
        <w:rPr>
          <w:rFonts w:eastAsia="Times New Roman"/>
          <w:color w:val="000000"/>
          <w:sz w:val="23"/>
          <w:szCs w:val="23"/>
          <w:lang w:eastAsia="en-AU"/>
          <w14:ligatures w14:val="standardContextual"/>
        </w:rPr>
        <w:tab/>
        <w:t>an explanation of the effect of section 106 of the Act; and</w:t>
      </w:r>
    </w:p>
    <w:p w14:paraId="1AA4D81F"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(d)</w:t>
      </w:r>
      <w:r w:rsidRPr="002B2E13">
        <w:rPr>
          <w:rFonts w:eastAsia="Times New Roman"/>
          <w:color w:val="000000"/>
          <w:sz w:val="23"/>
          <w:szCs w:val="23"/>
          <w:lang w:eastAsia="en-AU"/>
          <w14:ligatures w14:val="standardContextual"/>
        </w:rPr>
        <w:tab/>
        <w:t>any other information required to be included by the Minister.</w:t>
      </w:r>
    </w:p>
    <w:p w14:paraId="4103CEF1" w14:textId="77777777" w:rsidR="002B2E13" w:rsidRPr="002B2E13" w:rsidRDefault="002B2E13" w:rsidP="002B2E1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(5)</w:t>
      </w:r>
      <w:r w:rsidRPr="002B2E13">
        <w:rPr>
          <w:rFonts w:eastAsia="Times New Roman"/>
          <w:color w:val="000000"/>
          <w:sz w:val="23"/>
          <w:szCs w:val="23"/>
          <w:lang w:eastAsia="en-AU"/>
          <w14:ligatures w14:val="standardContextual"/>
        </w:rPr>
        <w:tab/>
        <w:t>A statement of rights given under section 37 of the Act to an involuntary inpatient before commencing a leave of absence must contain—</w:t>
      </w:r>
    </w:p>
    <w:p w14:paraId="4A26C2F0"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an explanation of the effect of section 38 of the Act; and</w:t>
      </w:r>
    </w:p>
    <w:p w14:paraId="4C114901"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(b)</w:t>
      </w:r>
      <w:r w:rsidRPr="002B2E13">
        <w:rPr>
          <w:rFonts w:eastAsia="Times New Roman"/>
          <w:color w:val="000000"/>
          <w:sz w:val="23"/>
          <w:szCs w:val="23"/>
          <w:lang w:eastAsia="en-AU"/>
          <w14:ligatures w14:val="standardContextual"/>
        </w:rPr>
        <w:tab/>
        <w:t>an explanation of the powers that may be exercised in relation to the patient if the patient is absent without leave; and</w:t>
      </w:r>
    </w:p>
    <w:p w14:paraId="4E2A80B5"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(c)</w:t>
      </w:r>
      <w:r w:rsidRPr="002B2E13">
        <w:rPr>
          <w:rFonts w:eastAsia="Times New Roman"/>
          <w:color w:val="000000"/>
          <w:sz w:val="23"/>
          <w:szCs w:val="23"/>
          <w:lang w:eastAsia="en-AU"/>
          <w14:ligatures w14:val="standardContextual"/>
        </w:rPr>
        <w:tab/>
        <w:t>any other information required to be included by the Minister.</w:t>
      </w:r>
    </w:p>
    <w:p w14:paraId="4F987552" w14:textId="77777777" w:rsidR="002B2E13" w:rsidRPr="002B2E13" w:rsidRDefault="002B2E13" w:rsidP="002B2E1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(6)</w:t>
      </w:r>
      <w:r w:rsidRPr="002B2E13">
        <w:rPr>
          <w:rFonts w:eastAsia="Times New Roman"/>
          <w:color w:val="000000"/>
          <w:sz w:val="23"/>
          <w:szCs w:val="23"/>
          <w:lang w:eastAsia="en-AU"/>
          <w14:ligatures w14:val="standardContextual"/>
        </w:rPr>
        <w:tab/>
        <w:t>A statement of rights given under section 46 of the Act to a patient as soon as practicable after the making by the Tribunal of an order or decision under the Act in respect of the patient must contain information required to be included by the Minister.</w:t>
      </w:r>
    </w:p>
    <w:p w14:paraId="26D9B544"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5—Notification to Commissioner of Police of action taken under Act (section 57(10) of Act)</w:t>
      </w:r>
    </w:p>
    <w:p w14:paraId="090BA974" w14:textId="77777777" w:rsidR="002B2E13" w:rsidRPr="002B2E13" w:rsidRDefault="002B2E13" w:rsidP="002B2E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Notification under section 57(10) of the Act to the Commissioner of Police of action taken under the Act in relation to a person who has been arrested for an offence and released from police custody for the purpose of medical examination or treatment under the Act must be given as soon as practicable after the action is taken in accordance with the following requirements:</w:t>
      </w:r>
    </w:p>
    <w:p w14:paraId="1F708003"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if a community treatment order is made in respect of the person as a result of the examination—the notification must include details of the type of order and its duration;</w:t>
      </w:r>
    </w:p>
    <w:p w14:paraId="39EBC7C2"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(b)</w:t>
      </w:r>
      <w:r w:rsidRPr="002B2E13">
        <w:rPr>
          <w:rFonts w:eastAsia="Times New Roman"/>
          <w:color w:val="000000"/>
          <w:sz w:val="23"/>
          <w:szCs w:val="23"/>
          <w:lang w:eastAsia="en-AU"/>
          <w14:ligatures w14:val="standardContextual"/>
        </w:rPr>
        <w:tab/>
        <w:t>if an inpatient treatment order is made in respect of the person as a result of the examination or before the expiry of such an order made as a result of the examination—the notification must include details of the type of order and its duration and specify the treatment centre at which the person is an involuntary inpatient;</w:t>
      </w:r>
    </w:p>
    <w:p w14:paraId="255B410F"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(c)</w:t>
      </w:r>
      <w:r w:rsidRPr="002B2E13">
        <w:rPr>
          <w:rFonts w:eastAsia="Times New Roman"/>
          <w:color w:val="000000"/>
          <w:sz w:val="23"/>
          <w:szCs w:val="23"/>
          <w:lang w:eastAsia="en-AU"/>
          <w14:ligatures w14:val="standardContextual"/>
        </w:rPr>
        <w:tab/>
        <w:t>if the person is subsequently transferred to another treatment centre—the notification must specify the treatment centre to which the person is transferred.</w:t>
      </w:r>
    </w:p>
    <w:p w14:paraId="38DB9F49"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6—Arrangements between South Australia and other jurisdictions (Part 10 of Act)</w:t>
      </w:r>
    </w:p>
    <w:p w14:paraId="5C7A8E42" w14:textId="77777777" w:rsidR="002B2E13" w:rsidRPr="002B2E13" w:rsidRDefault="002B2E13" w:rsidP="002B2E1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 xml:space="preserve">For the purposes of paragraph (b) of the definition of </w:t>
      </w:r>
      <w:r w:rsidRPr="002B2E13">
        <w:rPr>
          <w:rFonts w:eastAsia="Times New Roman"/>
          <w:b/>
          <w:bCs/>
          <w:i/>
          <w:iCs/>
          <w:color w:val="000000"/>
          <w:sz w:val="23"/>
          <w:szCs w:val="23"/>
          <w:lang w:eastAsia="en-AU"/>
          <w14:ligatures w14:val="standardContextual"/>
        </w:rPr>
        <w:t>corresponding law</w:t>
      </w:r>
      <w:r w:rsidRPr="002B2E13">
        <w:rPr>
          <w:rFonts w:eastAsia="Times New Roman"/>
          <w:color w:val="000000"/>
          <w:sz w:val="23"/>
          <w:szCs w:val="23"/>
          <w:lang w:eastAsia="en-AU"/>
          <w14:ligatures w14:val="standardContextual"/>
        </w:rPr>
        <w:t xml:space="preserve"> in section 61 of the Act, the following are declared to be corresponding laws:</w:t>
      </w:r>
    </w:p>
    <w:p w14:paraId="64B0528A"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(a)</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and Related Services Act 1998</w:t>
      </w:r>
      <w:r w:rsidRPr="002B2E13">
        <w:rPr>
          <w:rFonts w:eastAsia="Times New Roman"/>
          <w:color w:val="000000"/>
          <w:sz w:val="23"/>
          <w:szCs w:val="23"/>
          <w:lang w:eastAsia="en-AU"/>
          <w14:ligatures w14:val="standardContextual"/>
        </w:rPr>
        <w:t xml:space="preserve"> of the Northern Territory;</w:t>
      </w:r>
    </w:p>
    <w:p w14:paraId="5B5B6CCB" w14:textId="293CB87E" w:rsidR="00BB5DE5"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(b)</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Act 2007</w:t>
      </w:r>
      <w:r w:rsidRPr="002B2E13">
        <w:rPr>
          <w:rFonts w:eastAsia="Times New Roman"/>
          <w:color w:val="000000"/>
          <w:sz w:val="23"/>
          <w:szCs w:val="23"/>
          <w:lang w:eastAsia="en-AU"/>
          <w14:ligatures w14:val="standardContextual"/>
        </w:rPr>
        <w:t xml:space="preserve"> of New South Wales;</w:t>
      </w:r>
    </w:p>
    <w:p w14:paraId="197E769E"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D69A0D4"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lastRenderedPageBreak/>
        <w:tab/>
        <w:t>(c)</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and Wellbeing Act 2022</w:t>
      </w:r>
      <w:r w:rsidRPr="002B2E13">
        <w:rPr>
          <w:rFonts w:eastAsia="Times New Roman"/>
          <w:color w:val="000000"/>
          <w:sz w:val="23"/>
          <w:szCs w:val="23"/>
          <w:lang w:eastAsia="en-AU"/>
          <w14:ligatures w14:val="standardContextual"/>
        </w:rPr>
        <w:t xml:space="preserve"> of Victoria;</w:t>
      </w:r>
    </w:p>
    <w:p w14:paraId="384BD33C"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(d)</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Act 2015</w:t>
      </w:r>
      <w:r w:rsidRPr="002B2E13">
        <w:rPr>
          <w:rFonts w:eastAsia="Times New Roman"/>
          <w:color w:val="000000"/>
          <w:sz w:val="23"/>
          <w:szCs w:val="23"/>
          <w:lang w:eastAsia="en-AU"/>
          <w14:ligatures w14:val="standardContextual"/>
        </w:rPr>
        <w:t xml:space="preserve"> of the Australian Capital Territory;</w:t>
      </w:r>
    </w:p>
    <w:p w14:paraId="4FF3860E"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(e)</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Act 2016</w:t>
      </w:r>
      <w:r w:rsidRPr="002B2E13">
        <w:rPr>
          <w:rFonts w:eastAsia="Times New Roman"/>
          <w:color w:val="000000"/>
          <w:sz w:val="23"/>
          <w:szCs w:val="23"/>
          <w:lang w:eastAsia="en-AU"/>
          <w14:ligatures w14:val="standardContextual"/>
        </w:rPr>
        <w:t xml:space="preserve"> of Queensland;</w:t>
      </w:r>
    </w:p>
    <w:p w14:paraId="4C6A9815"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(f)</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Act 2013</w:t>
      </w:r>
      <w:r w:rsidRPr="002B2E13">
        <w:rPr>
          <w:rFonts w:eastAsia="Times New Roman"/>
          <w:color w:val="000000"/>
          <w:sz w:val="23"/>
          <w:szCs w:val="23"/>
          <w:lang w:eastAsia="en-AU"/>
          <w14:ligatures w14:val="standardContextual"/>
        </w:rPr>
        <w:t xml:space="preserve"> of Tasmania;</w:t>
      </w:r>
    </w:p>
    <w:p w14:paraId="30594508" w14:textId="77777777" w:rsidR="002B2E13" w:rsidRPr="002B2E13" w:rsidRDefault="002B2E13" w:rsidP="002B2E1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b/>
        <w:t>(g)</w:t>
      </w:r>
      <w:r w:rsidRPr="002B2E13">
        <w:rPr>
          <w:rFonts w:eastAsia="Times New Roman"/>
          <w:color w:val="000000"/>
          <w:sz w:val="23"/>
          <w:szCs w:val="23"/>
          <w:lang w:eastAsia="en-AU"/>
          <w14:ligatures w14:val="standardContextual"/>
        </w:rPr>
        <w:tab/>
        <w:t xml:space="preserve">the </w:t>
      </w:r>
      <w:r w:rsidRPr="002B2E13">
        <w:rPr>
          <w:rFonts w:eastAsia="Times New Roman"/>
          <w:i/>
          <w:iCs/>
          <w:color w:val="000000"/>
          <w:sz w:val="23"/>
          <w:szCs w:val="23"/>
          <w:lang w:eastAsia="en-AU"/>
          <w14:ligatures w14:val="standardContextual"/>
        </w:rPr>
        <w:t>Mental Health Act 2014</w:t>
      </w:r>
      <w:r w:rsidRPr="002B2E13">
        <w:rPr>
          <w:rFonts w:eastAsia="Times New Roman"/>
          <w:color w:val="000000"/>
          <w:sz w:val="23"/>
          <w:szCs w:val="23"/>
          <w:lang w:eastAsia="en-AU"/>
          <w14:ligatures w14:val="standardContextual"/>
        </w:rPr>
        <w:t xml:space="preserve"> of Western Australia.</w:t>
      </w:r>
    </w:p>
    <w:p w14:paraId="6BBA10DB" w14:textId="77777777" w:rsidR="002B2E13" w:rsidRPr="002B2E13" w:rsidRDefault="002B2E13" w:rsidP="002B2E1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7—Scale of legal practitioner fees (section 84(3) of Act)</w:t>
      </w:r>
    </w:p>
    <w:p w14:paraId="5C25904D" w14:textId="77777777" w:rsidR="002B2E13" w:rsidRPr="002B2E13" w:rsidRDefault="002B2E13" w:rsidP="002B2E1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A legal practitioner (not being an employee of the Crown or a statutory authority) who represents a person under section 84 of the Act is entitled to receive fees for their services from the Minister in accordance with the scale prescribed by fee notice.</w:t>
      </w:r>
    </w:p>
    <w:p w14:paraId="281DC5CC" w14:textId="77777777" w:rsidR="002B2E13" w:rsidRPr="002B2E13" w:rsidRDefault="002B2E13" w:rsidP="002B2E1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B2E13">
        <w:rPr>
          <w:rFonts w:eastAsia="Times New Roman"/>
          <w:b/>
          <w:bCs/>
          <w:color w:val="000000"/>
          <w:sz w:val="32"/>
          <w:szCs w:val="32"/>
          <w:lang w:eastAsia="en-AU"/>
          <w14:ligatures w14:val="standardContextual"/>
        </w:rPr>
        <w:t xml:space="preserve">Schedule 1—Repeal of </w:t>
      </w:r>
      <w:r w:rsidRPr="002B2E13">
        <w:rPr>
          <w:rFonts w:eastAsia="Times New Roman"/>
          <w:b/>
          <w:bCs/>
          <w:i/>
          <w:iCs/>
          <w:color w:val="000000"/>
          <w:sz w:val="32"/>
          <w:szCs w:val="32"/>
          <w:lang w:eastAsia="en-AU"/>
          <w14:ligatures w14:val="standardContextual"/>
        </w:rPr>
        <w:t>Mental Health Regulations 2010</w:t>
      </w:r>
    </w:p>
    <w:p w14:paraId="1939E533" w14:textId="77777777" w:rsidR="002B2E13" w:rsidRPr="002B2E13" w:rsidRDefault="002B2E13" w:rsidP="002B2E1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 xml:space="preserve">The </w:t>
      </w:r>
      <w:hyperlink r:id="rId114" w:history="1">
        <w:r w:rsidRPr="002B2E13">
          <w:rPr>
            <w:rFonts w:eastAsia="Times New Roman"/>
            <w:i/>
            <w:iCs/>
            <w:color w:val="000000"/>
            <w:sz w:val="23"/>
            <w:szCs w:val="23"/>
            <w:lang w:eastAsia="en-AU"/>
            <w14:ligatures w14:val="standardContextual"/>
          </w:rPr>
          <w:t>Mental Health Regulations 2010</w:t>
        </w:r>
      </w:hyperlink>
      <w:r w:rsidRPr="002B2E13">
        <w:rPr>
          <w:rFonts w:eastAsia="Times New Roman"/>
          <w:color w:val="000000"/>
          <w:sz w:val="23"/>
          <w:szCs w:val="23"/>
          <w:lang w:eastAsia="en-AU"/>
          <w14:ligatures w14:val="standardContextual"/>
        </w:rPr>
        <w:t xml:space="preserve"> are repealed.</w:t>
      </w:r>
    </w:p>
    <w:p w14:paraId="5D1A90F2" w14:textId="77777777" w:rsidR="002B2E13" w:rsidRPr="002B2E13" w:rsidRDefault="002B2E13" w:rsidP="002B2E1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B2E13">
        <w:rPr>
          <w:rFonts w:eastAsia="Times New Roman"/>
          <w:b/>
          <w:bCs/>
          <w:color w:val="000000"/>
          <w:sz w:val="20"/>
          <w:szCs w:val="20"/>
          <w:lang w:eastAsia="en-AU"/>
          <w14:ligatures w14:val="standardContextual"/>
        </w:rPr>
        <w:t>Editorial note—</w:t>
      </w:r>
    </w:p>
    <w:p w14:paraId="5F376F53" w14:textId="77777777" w:rsidR="002B2E13" w:rsidRPr="002B2E13" w:rsidRDefault="002B2E13" w:rsidP="002B2E13">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B2E13">
        <w:rPr>
          <w:rFonts w:eastAsia="Times New Roman"/>
          <w:color w:val="000000"/>
          <w:sz w:val="20"/>
          <w:szCs w:val="20"/>
          <w:lang w:eastAsia="en-AU"/>
          <w14:ligatures w14:val="standardContextual"/>
        </w:rPr>
        <w:t xml:space="preserve">As required by section 10AA(2) of the </w:t>
      </w:r>
      <w:hyperlink r:id="rId115" w:history="1">
        <w:r w:rsidRPr="002B2E13">
          <w:rPr>
            <w:rFonts w:eastAsia="Times New Roman"/>
            <w:i/>
            <w:iCs/>
            <w:color w:val="000000"/>
            <w:sz w:val="20"/>
            <w:szCs w:val="20"/>
            <w:lang w:eastAsia="en-AU"/>
            <w14:ligatures w14:val="standardContextual"/>
          </w:rPr>
          <w:t>Legislative Instruments Act 1978</w:t>
        </w:r>
      </w:hyperlink>
      <w:r w:rsidRPr="002B2E13">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CB6B411" w14:textId="77777777" w:rsidR="002B2E13" w:rsidRPr="002B2E13" w:rsidRDefault="002B2E13" w:rsidP="002B2E1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B2E13">
        <w:rPr>
          <w:rFonts w:eastAsia="Times New Roman"/>
          <w:b/>
          <w:bCs/>
          <w:color w:val="000000"/>
          <w:sz w:val="26"/>
          <w:szCs w:val="26"/>
          <w:lang w:eastAsia="en-AU"/>
          <w14:ligatures w14:val="standardContextual"/>
        </w:rPr>
        <w:t>Made by the Governor</w:t>
      </w:r>
    </w:p>
    <w:p w14:paraId="3826E61D" w14:textId="77777777" w:rsidR="002B2E13" w:rsidRPr="002B2E13" w:rsidRDefault="002B2E13" w:rsidP="002B2E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with the advice and consent of the Executive Council</w:t>
      </w:r>
    </w:p>
    <w:p w14:paraId="4756BCC7" w14:textId="7F5F1E0C" w:rsidR="002B2E13" w:rsidRPr="002B2E13" w:rsidRDefault="002B2E13" w:rsidP="002B2E1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 xml:space="preserve">on </w:t>
      </w:r>
      <w:r w:rsidR="00767D9F">
        <w:rPr>
          <w:rFonts w:eastAsia="Times New Roman"/>
          <w:color w:val="000000"/>
          <w:sz w:val="23"/>
          <w:szCs w:val="23"/>
          <w:lang w:eastAsia="en-AU"/>
          <w14:ligatures w14:val="standardContextual"/>
        </w:rPr>
        <w:t>14 August 2025</w:t>
      </w:r>
    </w:p>
    <w:p w14:paraId="6594FAC1" w14:textId="203DD69E" w:rsidR="002B2E13" w:rsidRPr="002B2E13" w:rsidRDefault="002B2E13" w:rsidP="002B2E1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B2E13">
        <w:rPr>
          <w:rFonts w:eastAsia="Times New Roman"/>
          <w:color w:val="000000"/>
          <w:sz w:val="23"/>
          <w:szCs w:val="23"/>
          <w:lang w:eastAsia="en-AU"/>
          <w14:ligatures w14:val="standardContextual"/>
        </w:rPr>
        <w:t>No </w:t>
      </w:r>
      <w:r w:rsidR="00646F2D">
        <w:rPr>
          <w:rFonts w:eastAsia="Times New Roman"/>
          <w:color w:val="000000"/>
          <w:sz w:val="23"/>
          <w:szCs w:val="23"/>
          <w:lang w:eastAsia="en-AU"/>
          <w14:ligatures w14:val="standardContextual"/>
        </w:rPr>
        <w:t>89</w:t>
      </w:r>
      <w:r w:rsidRPr="002B2E13">
        <w:rPr>
          <w:rFonts w:eastAsia="Times New Roman"/>
          <w:color w:val="000000"/>
          <w:sz w:val="23"/>
          <w:szCs w:val="23"/>
          <w:lang w:eastAsia="en-AU"/>
          <w14:ligatures w14:val="standardContextual"/>
        </w:rPr>
        <w:t> of </w:t>
      </w:r>
      <w:r w:rsidR="00767D9F">
        <w:rPr>
          <w:rFonts w:eastAsia="Times New Roman"/>
          <w:color w:val="000000"/>
          <w:sz w:val="23"/>
          <w:szCs w:val="23"/>
          <w:lang w:eastAsia="en-AU"/>
          <w14:ligatures w14:val="standardContextual"/>
        </w:rPr>
        <w:t>2025</w:t>
      </w:r>
    </w:p>
    <w:p w14:paraId="4D7C05E8" w14:textId="69CE6EE4" w:rsidR="002B2E13" w:rsidRDefault="002B2E13">
      <w:pPr>
        <w:spacing w:after="0" w:line="240" w:lineRule="auto"/>
        <w:jc w:val="left"/>
        <w:rPr>
          <w:rFonts w:eastAsia="Times New Roman"/>
          <w:szCs w:val="17"/>
        </w:rPr>
      </w:pPr>
      <w:r>
        <w:br w:type="page"/>
      </w:r>
    </w:p>
    <w:p w14:paraId="1F99ECD3" w14:textId="77777777" w:rsidR="00416D01" w:rsidRPr="00416D01" w:rsidRDefault="00416D01" w:rsidP="00416D0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16D01">
        <w:rPr>
          <w:rFonts w:eastAsia="Times New Roman"/>
          <w:color w:val="000000"/>
          <w:sz w:val="28"/>
          <w:szCs w:val="28"/>
          <w:lang w:eastAsia="en-AU"/>
          <w14:ligatures w14:val="standardContextual"/>
        </w:rPr>
        <w:lastRenderedPageBreak/>
        <w:t>South Australia</w:t>
      </w:r>
    </w:p>
    <w:p w14:paraId="6F1F0EBA" w14:textId="77777777" w:rsidR="00416D01" w:rsidRPr="00416D01" w:rsidRDefault="00416D01" w:rsidP="00E34B09">
      <w:pPr>
        <w:pStyle w:val="Heading3"/>
        <w:rPr>
          <w:lang w:eastAsia="en-AU"/>
        </w:rPr>
      </w:pPr>
      <w:bookmarkStart w:id="422" w:name="_Toc206061755"/>
      <w:r w:rsidRPr="00416D01">
        <w:rPr>
          <w:lang w:eastAsia="en-AU"/>
        </w:rPr>
        <w:t>Retirement Villages (Miscellaneous) Amendment Regulations 2025</w:t>
      </w:r>
      <w:bookmarkEnd w:id="422"/>
    </w:p>
    <w:p w14:paraId="1584D8A1" w14:textId="77777777" w:rsidR="00416D01" w:rsidRPr="00416D01" w:rsidRDefault="00416D01" w:rsidP="00416D0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16D01">
        <w:rPr>
          <w:rFonts w:eastAsia="Times New Roman"/>
          <w:color w:val="000000"/>
          <w:sz w:val="24"/>
          <w:szCs w:val="24"/>
          <w:lang w:eastAsia="en-AU"/>
          <w14:ligatures w14:val="standardContextual"/>
        </w:rPr>
        <w:t xml:space="preserve">under the </w:t>
      </w:r>
      <w:r w:rsidRPr="00416D01">
        <w:rPr>
          <w:rFonts w:eastAsia="Times New Roman"/>
          <w:i/>
          <w:iCs/>
          <w:color w:val="000000"/>
          <w:sz w:val="24"/>
          <w:szCs w:val="24"/>
          <w:lang w:eastAsia="en-AU"/>
          <w14:ligatures w14:val="standardContextual"/>
        </w:rPr>
        <w:t>Retirement Villages Act 2016</w:t>
      </w:r>
    </w:p>
    <w:p w14:paraId="24775110" w14:textId="77777777" w:rsidR="00416D01" w:rsidRPr="00416D01" w:rsidRDefault="00416D01" w:rsidP="00416D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06D8B9D" w14:textId="77777777" w:rsidR="00416D01" w:rsidRPr="00416D01" w:rsidRDefault="00416D01" w:rsidP="00416D0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416D01">
        <w:rPr>
          <w:rFonts w:eastAsia="Times New Roman"/>
          <w:b/>
          <w:bCs/>
          <w:color w:val="000000"/>
          <w:sz w:val="32"/>
          <w:szCs w:val="32"/>
          <w:lang w:eastAsia="en-AU"/>
          <w14:ligatures w14:val="standardContextual"/>
        </w:rPr>
        <w:t>Contents</w:t>
      </w:r>
    </w:p>
    <w:p w14:paraId="5591AD5F" w14:textId="77777777" w:rsidR="00416D01" w:rsidRPr="00416D01" w:rsidRDefault="00416D01" w:rsidP="00416D0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416D01">
          <w:rPr>
            <w:rFonts w:eastAsia="Times New Roman"/>
            <w:color w:val="000000"/>
            <w:sz w:val="28"/>
            <w:szCs w:val="28"/>
            <w:lang w:eastAsia="en-AU"/>
            <w14:ligatures w14:val="standardContextual"/>
          </w:rPr>
          <w:t>Part 1—Preliminary</w:t>
        </w:r>
      </w:hyperlink>
    </w:p>
    <w:p w14:paraId="50B4FD36"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416D01">
          <w:rPr>
            <w:rFonts w:eastAsia="Times New Roman"/>
            <w:color w:val="000000"/>
            <w:sz w:val="22"/>
            <w:lang w:eastAsia="en-AU"/>
            <w14:ligatures w14:val="standardContextual"/>
          </w:rPr>
          <w:t>1</w:t>
        </w:r>
        <w:r w:rsidRPr="00416D01">
          <w:rPr>
            <w:rFonts w:eastAsia="Times New Roman"/>
            <w:color w:val="000000"/>
            <w:sz w:val="22"/>
            <w:lang w:eastAsia="en-AU"/>
            <w14:ligatures w14:val="standardContextual"/>
          </w:rPr>
          <w:tab/>
          <w:t>Short title</w:t>
        </w:r>
      </w:hyperlink>
    </w:p>
    <w:p w14:paraId="4A62E971"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416D01">
          <w:rPr>
            <w:rFonts w:eastAsia="Times New Roman"/>
            <w:color w:val="000000"/>
            <w:sz w:val="22"/>
            <w:lang w:eastAsia="en-AU"/>
            <w14:ligatures w14:val="standardContextual"/>
          </w:rPr>
          <w:t>2</w:t>
        </w:r>
        <w:r w:rsidRPr="00416D01">
          <w:rPr>
            <w:rFonts w:eastAsia="Times New Roman"/>
            <w:color w:val="000000"/>
            <w:sz w:val="22"/>
            <w:lang w:eastAsia="en-AU"/>
            <w14:ligatures w14:val="standardContextual"/>
          </w:rPr>
          <w:tab/>
          <w:t>Commencement</w:t>
        </w:r>
      </w:hyperlink>
    </w:p>
    <w:p w14:paraId="4FA2724F" w14:textId="77777777" w:rsidR="00416D01" w:rsidRPr="00416D01" w:rsidRDefault="00416D01" w:rsidP="00416D0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416D01">
          <w:rPr>
            <w:rFonts w:eastAsia="Times New Roman"/>
            <w:color w:val="000000"/>
            <w:sz w:val="28"/>
            <w:szCs w:val="28"/>
            <w:lang w:eastAsia="en-AU"/>
            <w14:ligatures w14:val="standardContextual"/>
          </w:rPr>
          <w:t xml:space="preserve">Part 2—Amendment of </w:t>
        </w:r>
        <w:r w:rsidRPr="00416D01">
          <w:rPr>
            <w:rFonts w:eastAsia="Times New Roman"/>
            <w:i/>
            <w:iCs/>
            <w:color w:val="000000"/>
            <w:sz w:val="28"/>
            <w:szCs w:val="28"/>
            <w:lang w:eastAsia="en-AU"/>
            <w14:ligatures w14:val="standardContextual"/>
          </w:rPr>
          <w:t>Retirement Villages Regulations 2017</w:t>
        </w:r>
      </w:hyperlink>
    </w:p>
    <w:p w14:paraId="26082DDF"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416D01">
          <w:rPr>
            <w:rFonts w:eastAsia="Times New Roman"/>
            <w:color w:val="000000"/>
            <w:sz w:val="22"/>
            <w:lang w:eastAsia="en-AU"/>
            <w14:ligatures w14:val="standardContextual"/>
          </w:rPr>
          <w:t>3</w:t>
        </w:r>
        <w:r w:rsidRPr="00416D01">
          <w:rPr>
            <w:rFonts w:eastAsia="Times New Roman"/>
            <w:color w:val="000000"/>
            <w:sz w:val="22"/>
            <w:lang w:eastAsia="en-AU"/>
            <w14:ligatures w14:val="standardContextual"/>
          </w:rPr>
          <w:tab/>
          <w:t>Amendment of regulation 4—Payments excluded from definition of ingoing contribution</w:t>
        </w:r>
      </w:hyperlink>
    </w:p>
    <w:p w14:paraId="22D49071"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416D01">
          <w:rPr>
            <w:rFonts w:eastAsia="Times New Roman"/>
            <w:color w:val="000000"/>
            <w:sz w:val="22"/>
            <w:lang w:eastAsia="en-AU"/>
            <w14:ligatures w14:val="standardContextual"/>
          </w:rPr>
          <w:t>4</w:t>
        </w:r>
        <w:r w:rsidRPr="00416D01">
          <w:rPr>
            <w:rFonts w:eastAsia="Times New Roman"/>
            <w:color w:val="000000"/>
            <w:sz w:val="22"/>
            <w:lang w:eastAsia="en-AU"/>
            <w14:ligatures w14:val="standardContextual"/>
          </w:rPr>
          <w:tab/>
          <w:t>Amendment of regulation 5—Residence contracts (section 20 of Act)</w:t>
        </w:r>
      </w:hyperlink>
    </w:p>
    <w:p w14:paraId="4FB5FD04"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416D01">
          <w:rPr>
            <w:rFonts w:eastAsia="Times New Roman"/>
            <w:color w:val="000000"/>
            <w:sz w:val="22"/>
            <w:lang w:eastAsia="en-AU"/>
            <w14:ligatures w14:val="standardContextual"/>
          </w:rPr>
          <w:t>5</w:t>
        </w:r>
        <w:r w:rsidRPr="00416D01">
          <w:rPr>
            <w:rFonts w:eastAsia="Times New Roman"/>
            <w:color w:val="000000"/>
            <w:sz w:val="22"/>
            <w:lang w:eastAsia="en-AU"/>
            <w14:ligatures w14:val="standardContextual"/>
          </w:rPr>
          <w:tab/>
          <w:t>Amendment of regulation 6—Disclosure statement (section 21 of Act)</w:t>
        </w:r>
      </w:hyperlink>
    </w:p>
    <w:p w14:paraId="13B8649D"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416D01">
          <w:rPr>
            <w:rFonts w:eastAsia="Times New Roman"/>
            <w:color w:val="000000"/>
            <w:sz w:val="22"/>
            <w:lang w:eastAsia="en-AU"/>
            <w14:ligatures w14:val="standardContextual"/>
          </w:rPr>
          <w:t>6</w:t>
        </w:r>
        <w:r w:rsidRPr="00416D01">
          <w:rPr>
            <w:rFonts w:eastAsia="Times New Roman"/>
            <w:color w:val="000000"/>
            <w:sz w:val="22"/>
            <w:lang w:eastAsia="en-AU"/>
            <w14:ligatures w14:val="standardContextual"/>
          </w:rPr>
          <w:tab/>
          <w:t>Insertion of regulations 6A, 6B and 6C</w:t>
        </w:r>
      </w:hyperlink>
    </w:p>
    <w:p w14:paraId="23F88C91"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9" w:history="1">
        <w:r w:rsidRPr="00416D01">
          <w:rPr>
            <w:rFonts w:eastAsia="Times New Roman"/>
            <w:color w:val="000000"/>
            <w:sz w:val="18"/>
            <w:szCs w:val="18"/>
            <w:lang w:eastAsia="en-AU"/>
            <w14:ligatures w14:val="standardContextual"/>
          </w:rPr>
          <w:t>6A</w:t>
        </w:r>
        <w:r w:rsidRPr="00416D01">
          <w:rPr>
            <w:rFonts w:eastAsia="Times New Roman"/>
            <w:color w:val="000000"/>
            <w:sz w:val="18"/>
            <w:szCs w:val="18"/>
            <w:lang w:eastAsia="en-AU"/>
            <w14:ligatures w14:val="standardContextual"/>
          </w:rPr>
          <w:tab/>
          <w:t>Information to be provided before residence contract entered into</w:t>
        </w:r>
      </w:hyperlink>
    </w:p>
    <w:p w14:paraId="11354CA1"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 w:history="1">
        <w:r w:rsidRPr="00416D01">
          <w:rPr>
            <w:rFonts w:eastAsia="Times New Roman"/>
            <w:color w:val="000000"/>
            <w:sz w:val="18"/>
            <w:szCs w:val="18"/>
            <w:lang w:eastAsia="en-AU"/>
            <w14:ligatures w14:val="standardContextual"/>
          </w:rPr>
          <w:t>6B</w:t>
        </w:r>
        <w:r w:rsidRPr="00416D01">
          <w:rPr>
            <w:rFonts w:eastAsia="Times New Roman"/>
            <w:color w:val="000000"/>
            <w:sz w:val="18"/>
            <w:szCs w:val="18"/>
            <w:lang w:eastAsia="en-AU"/>
            <w14:ligatures w14:val="standardContextual"/>
          </w:rPr>
          <w:tab/>
          <w:t>Premises condition report</w:t>
        </w:r>
      </w:hyperlink>
    </w:p>
    <w:p w14:paraId="44C96792"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 w:history="1">
        <w:r w:rsidRPr="00416D01">
          <w:rPr>
            <w:rFonts w:eastAsia="Times New Roman"/>
            <w:color w:val="000000"/>
            <w:sz w:val="18"/>
            <w:szCs w:val="18"/>
            <w:lang w:eastAsia="en-AU"/>
            <w14:ligatures w14:val="standardContextual"/>
          </w:rPr>
          <w:t>6C</w:t>
        </w:r>
        <w:r w:rsidRPr="00416D01">
          <w:rPr>
            <w:rFonts w:eastAsia="Times New Roman"/>
            <w:color w:val="000000"/>
            <w:sz w:val="18"/>
            <w:szCs w:val="18"/>
            <w:lang w:eastAsia="en-AU"/>
            <w14:ligatures w14:val="standardContextual"/>
          </w:rPr>
          <w:tab/>
          <w:t>Vacated premises report</w:t>
        </w:r>
      </w:hyperlink>
    </w:p>
    <w:p w14:paraId="7D9736E2"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416D01">
          <w:rPr>
            <w:rFonts w:eastAsia="Times New Roman"/>
            <w:color w:val="000000"/>
            <w:sz w:val="22"/>
            <w:lang w:eastAsia="en-AU"/>
            <w14:ligatures w14:val="standardContextual"/>
          </w:rPr>
          <w:t>7</w:t>
        </w:r>
        <w:r w:rsidRPr="00416D01">
          <w:rPr>
            <w:rFonts w:eastAsia="Times New Roman"/>
            <w:color w:val="000000"/>
            <w:sz w:val="22"/>
            <w:lang w:eastAsia="en-AU"/>
            <w14:ligatures w14:val="standardContextual"/>
          </w:rPr>
          <w:tab/>
          <w:t>Amendment of regulation 7—Exit entitlements (section 27 of Act)</w:t>
        </w:r>
      </w:hyperlink>
    </w:p>
    <w:p w14:paraId="2D217D0E"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416D01">
          <w:rPr>
            <w:rFonts w:eastAsia="Times New Roman"/>
            <w:color w:val="000000"/>
            <w:sz w:val="22"/>
            <w:lang w:eastAsia="en-AU"/>
            <w14:ligatures w14:val="standardContextual"/>
          </w:rPr>
          <w:t>8</w:t>
        </w:r>
        <w:r w:rsidRPr="00416D01">
          <w:rPr>
            <w:rFonts w:eastAsia="Times New Roman"/>
            <w:color w:val="000000"/>
            <w:sz w:val="22"/>
            <w:lang w:eastAsia="en-AU"/>
            <w14:ligatures w14:val="standardContextual"/>
          </w:rPr>
          <w:tab/>
          <w:t>Amendment of regulation 8—Evidence required if resident leaves to enter residential aged care facility (section 30 of Act)</w:t>
        </w:r>
      </w:hyperlink>
    </w:p>
    <w:p w14:paraId="78C74CC9"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416D01">
          <w:rPr>
            <w:rFonts w:eastAsia="Times New Roman"/>
            <w:color w:val="000000"/>
            <w:sz w:val="22"/>
            <w:lang w:eastAsia="en-AU"/>
            <w14:ligatures w14:val="standardContextual"/>
          </w:rPr>
          <w:t>9</w:t>
        </w:r>
        <w:r w:rsidRPr="00416D01">
          <w:rPr>
            <w:rFonts w:eastAsia="Times New Roman"/>
            <w:color w:val="000000"/>
            <w:sz w:val="22"/>
            <w:lang w:eastAsia="en-AU"/>
            <w14:ligatures w14:val="standardContextual"/>
          </w:rPr>
          <w:tab/>
          <w:t>Repeal of regulation 9</w:t>
        </w:r>
      </w:hyperlink>
    </w:p>
    <w:p w14:paraId="10D9BEE6"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416D01">
          <w:rPr>
            <w:rFonts w:eastAsia="Times New Roman"/>
            <w:color w:val="000000"/>
            <w:sz w:val="22"/>
            <w:lang w:eastAsia="en-AU"/>
            <w14:ligatures w14:val="standardContextual"/>
          </w:rPr>
          <w:t>10</w:t>
        </w:r>
        <w:r w:rsidRPr="00416D01">
          <w:rPr>
            <w:rFonts w:eastAsia="Times New Roman"/>
            <w:color w:val="000000"/>
            <w:sz w:val="22"/>
            <w:lang w:eastAsia="en-AU"/>
            <w14:ligatures w14:val="standardContextual"/>
          </w:rPr>
          <w:tab/>
          <w:t>Amendment of regulation 10—Standards and principles for financial information (sections 33 and 40 of Act)</w:t>
        </w:r>
      </w:hyperlink>
    </w:p>
    <w:p w14:paraId="0C7D250C"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416D01">
          <w:rPr>
            <w:rFonts w:eastAsia="Times New Roman"/>
            <w:color w:val="000000"/>
            <w:sz w:val="22"/>
            <w:lang w:eastAsia="en-AU"/>
            <w14:ligatures w14:val="standardContextual"/>
          </w:rPr>
          <w:t>11</w:t>
        </w:r>
        <w:r w:rsidRPr="00416D01">
          <w:rPr>
            <w:rFonts w:eastAsia="Times New Roman"/>
            <w:color w:val="000000"/>
            <w:sz w:val="22"/>
            <w:lang w:eastAsia="en-AU"/>
            <w14:ligatures w14:val="standardContextual"/>
          </w:rPr>
          <w:tab/>
          <w:t>Amendment of regulation 11—Meetings of residents (section 33 of Act)</w:t>
        </w:r>
      </w:hyperlink>
    </w:p>
    <w:p w14:paraId="3802E645"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416D01">
          <w:rPr>
            <w:rFonts w:eastAsia="Times New Roman"/>
            <w:color w:val="000000"/>
            <w:sz w:val="22"/>
            <w:lang w:eastAsia="en-AU"/>
            <w14:ligatures w14:val="standardContextual"/>
          </w:rPr>
          <w:t>12</w:t>
        </w:r>
        <w:r w:rsidRPr="00416D01">
          <w:rPr>
            <w:rFonts w:eastAsia="Times New Roman"/>
            <w:color w:val="000000"/>
            <w:sz w:val="22"/>
            <w:lang w:eastAsia="en-AU"/>
            <w14:ligatures w14:val="standardContextual"/>
          </w:rPr>
          <w:tab/>
          <w:t>Amendment of regulation 12—Residents' committees (section 38 of Act)</w:t>
        </w:r>
      </w:hyperlink>
    </w:p>
    <w:p w14:paraId="6248C5A6"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416D01">
          <w:rPr>
            <w:rFonts w:eastAsia="Times New Roman"/>
            <w:color w:val="000000"/>
            <w:sz w:val="22"/>
            <w:lang w:eastAsia="en-AU"/>
            <w14:ligatures w14:val="standardContextual"/>
          </w:rPr>
          <w:t>13</w:t>
        </w:r>
        <w:r w:rsidRPr="00416D01">
          <w:rPr>
            <w:rFonts w:eastAsia="Times New Roman"/>
            <w:color w:val="000000"/>
            <w:sz w:val="22"/>
            <w:lang w:eastAsia="en-AU"/>
            <w14:ligatures w14:val="standardContextual"/>
          </w:rPr>
          <w:tab/>
          <w:t>Amendment of regulation 15—Residence rules</w:t>
        </w:r>
      </w:hyperlink>
    </w:p>
    <w:p w14:paraId="1CD35051"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416D01">
          <w:rPr>
            <w:rFonts w:eastAsia="Times New Roman"/>
            <w:color w:val="000000"/>
            <w:sz w:val="22"/>
            <w:lang w:eastAsia="en-AU"/>
            <w14:ligatures w14:val="standardContextual"/>
          </w:rPr>
          <w:t>14</w:t>
        </w:r>
        <w:r w:rsidRPr="00416D01">
          <w:rPr>
            <w:rFonts w:eastAsia="Times New Roman"/>
            <w:color w:val="000000"/>
            <w:sz w:val="22"/>
            <w:lang w:eastAsia="en-AU"/>
            <w14:ligatures w14:val="standardContextual"/>
          </w:rPr>
          <w:tab/>
          <w:t>Substitution of regulation 16</w:t>
        </w:r>
      </w:hyperlink>
    </w:p>
    <w:p w14:paraId="71BCF330"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0" w:history="1">
        <w:r w:rsidRPr="00416D01">
          <w:rPr>
            <w:rFonts w:eastAsia="Times New Roman"/>
            <w:color w:val="000000"/>
            <w:sz w:val="18"/>
            <w:szCs w:val="18"/>
            <w:lang w:eastAsia="en-AU"/>
            <w14:ligatures w14:val="standardContextual"/>
          </w:rPr>
          <w:t>16</w:t>
        </w:r>
        <w:r w:rsidRPr="00416D01">
          <w:rPr>
            <w:rFonts w:eastAsia="Times New Roman"/>
            <w:color w:val="000000"/>
            <w:sz w:val="18"/>
            <w:szCs w:val="18"/>
            <w:lang w:eastAsia="en-AU"/>
            <w14:ligatures w14:val="standardContextual"/>
          </w:rPr>
          <w:tab/>
          <w:t>Safety information (section 43A of Act)</w:t>
        </w:r>
      </w:hyperlink>
    </w:p>
    <w:p w14:paraId="78CA6861"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Pr="00416D01">
          <w:rPr>
            <w:rFonts w:eastAsia="Times New Roman"/>
            <w:color w:val="000000"/>
            <w:sz w:val="22"/>
            <w:lang w:eastAsia="en-AU"/>
            <w14:ligatures w14:val="standardContextual"/>
          </w:rPr>
          <w:t>15</w:t>
        </w:r>
        <w:r w:rsidRPr="00416D01">
          <w:rPr>
            <w:rFonts w:eastAsia="Times New Roman"/>
            <w:color w:val="000000"/>
            <w:sz w:val="22"/>
            <w:lang w:eastAsia="en-AU"/>
            <w14:ligatures w14:val="standardContextual"/>
          </w:rPr>
          <w:tab/>
          <w:t>Amendment of regulation 17—Remarketing policy</w:t>
        </w:r>
      </w:hyperlink>
    </w:p>
    <w:p w14:paraId="08133978"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416D01">
          <w:rPr>
            <w:rFonts w:eastAsia="Times New Roman"/>
            <w:color w:val="000000"/>
            <w:sz w:val="22"/>
            <w:lang w:eastAsia="en-AU"/>
            <w14:ligatures w14:val="standardContextual"/>
          </w:rPr>
          <w:t>16</w:t>
        </w:r>
        <w:r w:rsidRPr="00416D01">
          <w:rPr>
            <w:rFonts w:eastAsia="Times New Roman"/>
            <w:color w:val="000000"/>
            <w:sz w:val="22"/>
            <w:lang w:eastAsia="en-AU"/>
            <w14:ligatures w14:val="standardContextual"/>
          </w:rPr>
          <w:tab/>
          <w:t>Insertion of regulation 17A</w:t>
        </w:r>
      </w:hyperlink>
    </w:p>
    <w:p w14:paraId="6490572E"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3" w:history="1">
        <w:r w:rsidRPr="00416D01">
          <w:rPr>
            <w:rFonts w:eastAsia="Times New Roman"/>
            <w:color w:val="000000"/>
            <w:sz w:val="18"/>
            <w:szCs w:val="18"/>
            <w:lang w:eastAsia="en-AU"/>
            <w14:ligatures w14:val="standardContextual"/>
          </w:rPr>
          <w:t>17A</w:t>
        </w:r>
        <w:r w:rsidRPr="00416D01">
          <w:rPr>
            <w:rFonts w:eastAsia="Times New Roman"/>
            <w:color w:val="000000"/>
            <w:sz w:val="18"/>
            <w:szCs w:val="18"/>
            <w:lang w:eastAsia="en-AU"/>
            <w14:ligatures w14:val="standardContextual"/>
          </w:rPr>
          <w:tab/>
          <w:t>Provision of payee details</w:t>
        </w:r>
      </w:hyperlink>
    </w:p>
    <w:p w14:paraId="106D6E75"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Pr="00416D01">
          <w:rPr>
            <w:rFonts w:eastAsia="Times New Roman"/>
            <w:color w:val="000000"/>
            <w:sz w:val="22"/>
            <w:lang w:eastAsia="en-AU"/>
            <w14:ligatures w14:val="standardContextual"/>
          </w:rPr>
          <w:t>17</w:t>
        </w:r>
        <w:r w:rsidRPr="00416D01">
          <w:rPr>
            <w:rFonts w:eastAsia="Times New Roman"/>
            <w:color w:val="000000"/>
            <w:sz w:val="22"/>
            <w:lang w:eastAsia="en-AU"/>
            <w14:ligatures w14:val="standardContextual"/>
          </w:rPr>
          <w:tab/>
          <w:t>Amendment of regulation 18—Dispute resolution policy (section 45 of Act)</w:t>
        </w:r>
      </w:hyperlink>
    </w:p>
    <w:p w14:paraId="513343D0"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 w:history="1">
        <w:r w:rsidRPr="00416D01">
          <w:rPr>
            <w:rFonts w:eastAsia="Times New Roman"/>
            <w:color w:val="000000"/>
            <w:sz w:val="22"/>
            <w:lang w:eastAsia="en-AU"/>
            <w14:ligatures w14:val="standardContextual"/>
          </w:rPr>
          <w:t>18</w:t>
        </w:r>
        <w:r w:rsidRPr="00416D01">
          <w:rPr>
            <w:rFonts w:eastAsia="Times New Roman"/>
            <w:color w:val="000000"/>
            <w:sz w:val="22"/>
            <w:lang w:eastAsia="en-AU"/>
            <w14:ligatures w14:val="standardContextual"/>
          </w:rPr>
          <w:tab/>
          <w:t>Insertion of regulations 19A, 19B, 19C, 19D and 19E</w:t>
        </w:r>
      </w:hyperlink>
    </w:p>
    <w:p w14:paraId="36BD5D14"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6" w:history="1">
        <w:r w:rsidRPr="00416D01">
          <w:rPr>
            <w:rFonts w:eastAsia="Times New Roman"/>
            <w:color w:val="000000"/>
            <w:sz w:val="18"/>
            <w:szCs w:val="18"/>
            <w:lang w:eastAsia="en-AU"/>
            <w14:ligatures w14:val="standardContextual"/>
          </w:rPr>
          <w:t>19A</w:t>
        </w:r>
        <w:r w:rsidRPr="00416D01">
          <w:rPr>
            <w:rFonts w:eastAsia="Times New Roman"/>
            <w:color w:val="000000"/>
            <w:sz w:val="18"/>
            <w:szCs w:val="18"/>
            <w:lang w:eastAsia="en-AU"/>
            <w14:ligatures w14:val="standardContextual"/>
          </w:rPr>
          <w:tab/>
          <w:t>Consent to lease of land in retirement village</w:t>
        </w:r>
      </w:hyperlink>
    </w:p>
    <w:p w14:paraId="19A88BEE"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7" w:history="1">
        <w:r w:rsidRPr="00416D01">
          <w:rPr>
            <w:rFonts w:eastAsia="Times New Roman"/>
            <w:color w:val="000000"/>
            <w:sz w:val="18"/>
            <w:szCs w:val="18"/>
            <w:lang w:eastAsia="en-AU"/>
            <w14:ligatures w14:val="standardContextual"/>
          </w:rPr>
          <w:t>19B</w:t>
        </w:r>
        <w:r w:rsidRPr="00416D01">
          <w:rPr>
            <w:rFonts w:eastAsia="Times New Roman"/>
            <w:color w:val="000000"/>
            <w:sz w:val="18"/>
            <w:szCs w:val="18"/>
            <w:lang w:eastAsia="en-AU"/>
            <w14:ligatures w14:val="standardContextual"/>
          </w:rPr>
          <w:tab/>
          <w:t>Termination of retirement village scheme on application to Supreme Court</w:t>
        </w:r>
      </w:hyperlink>
    </w:p>
    <w:p w14:paraId="720CDDC2"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8" w:history="1">
        <w:r w:rsidRPr="00416D01">
          <w:rPr>
            <w:rFonts w:eastAsia="Times New Roman"/>
            <w:color w:val="000000"/>
            <w:sz w:val="18"/>
            <w:szCs w:val="18"/>
            <w:lang w:eastAsia="en-AU"/>
            <w14:ligatures w14:val="standardContextual"/>
          </w:rPr>
          <w:t>19C</w:t>
        </w:r>
        <w:r w:rsidRPr="00416D01">
          <w:rPr>
            <w:rFonts w:eastAsia="Times New Roman"/>
            <w:color w:val="000000"/>
            <w:sz w:val="18"/>
            <w:szCs w:val="18"/>
            <w:lang w:eastAsia="en-AU"/>
            <w14:ligatures w14:val="standardContextual"/>
          </w:rPr>
          <w:tab/>
          <w:t>Termination of part of retirement village scheme on application to Minister</w:t>
        </w:r>
      </w:hyperlink>
    </w:p>
    <w:p w14:paraId="72A4536F"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9" w:history="1">
        <w:r w:rsidRPr="00416D01">
          <w:rPr>
            <w:rFonts w:eastAsia="Times New Roman"/>
            <w:color w:val="000000"/>
            <w:sz w:val="18"/>
            <w:szCs w:val="18"/>
            <w:lang w:eastAsia="en-AU"/>
            <w14:ligatures w14:val="standardContextual"/>
          </w:rPr>
          <w:t>19D</w:t>
        </w:r>
        <w:r w:rsidRPr="00416D01">
          <w:rPr>
            <w:rFonts w:eastAsia="Times New Roman"/>
            <w:color w:val="000000"/>
            <w:sz w:val="18"/>
            <w:szCs w:val="18"/>
            <w:lang w:eastAsia="en-AU"/>
            <w14:ligatures w14:val="standardContextual"/>
          </w:rPr>
          <w:tab/>
          <w:t>Disqualified persons not to be involved in certain roles or functions at retirement village</w:t>
        </w:r>
      </w:hyperlink>
    </w:p>
    <w:p w14:paraId="2521C22F" w14:textId="77777777" w:rsidR="00416D01" w:rsidRPr="00416D01" w:rsidRDefault="00416D01" w:rsidP="00416D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0" w:history="1">
        <w:r w:rsidRPr="00416D01">
          <w:rPr>
            <w:rFonts w:eastAsia="Times New Roman"/>
            <w:color w:val="000000"/>
            <w:sz w:val="18"/>
            <w:szCs w:val="18"/>
            <w:lang w:eastAsia="en-AU"/>
            <w14:ligatures w14:val="standardContextual"/>
          </w:rPr>
          <w:t>19E</w:t>
        </w:r>
        <w:r w:rsidRPr="00416D01">
          <w:rPr>
            <w:rFonts w:eastAsia="Times New Roman"/>
            <w:color w:val="000000"/>
            <w:sz w:val="18"/>
            <w:szCs w:val="18"/>
            <w:lang w:eastAsia="en-AU"/>
            <w14:ligatures w14:val="standardContextual"/>
          </w:rPr>
          <w:tab/>
          <w:t>Unclaimed property</w:t>
        </w:r>
      </w:hyperlink>
    </w:p>
    <w:p w14:paraId="1B235E77"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Pr="00416D01">
          <w:rPr>
            <w:rFonts w:eastAsia="Times New Roman"/>
            <w:color w:val="000000"/>
            <w:sz w:val="22"/>
            <w:lang w:eastAsia="en-AU"/>
            <w14:ligatures w14:val="standardContextual"/>
          </w:rPr>
          <w:t>19</w:t>
        </w:r>
        <w:r w:rsidRPr="00416D01">
          <w:rPr>
            <w:rFonts w:eastAsia="Times New Roman"/>
            <w:color w:val="000000"/>
            <w:sz w:val="22"/>
            <w:lang w:eastAsia="en-AU"/>
            <w14:ligatures w14:val="standardContextual"/>
          </w:rPr>
          <w:tab/>
          <w:t>Amendment of regulation 20—Offence</w:t>
        </w:r>
      </w:hyperlink>
    </w:p>
    <w:p w14:paraId="36EBC975" w14:textId="77777777" w:rsidR="00416D01" w:rsidRPr="00416D01" w:rsidRDefault="00416D01" w:rsidP="00416D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2" w:history="1">
        <w:r w:rsidRPr="00416D01">
          <w:rPr>
            <w:rFonts w:eastAsia="Times New Roman"/>
            <w:color w:val="000000"/>
            <w:sz w:val="22"/>
            <w:lang w:eastAsia="en-AU"/>
            <w14:ligatures w14:val="standardContextual"/>
          </w:rPr>
          <w:t>20</w:t>
        </w:r>
        <w:r w:rsidRPr="00416D01">
          <w:rPr>
            <w:rFonts w:eastAsia="Times New Roman"/>
            <w:color w:val="000000"/>
            <w:sz w:val="22"/>
            <w:lang w:eastAsia="en-AU"/>
            <w14:ligatures w14:val="standardContextual"/>
          </w:rPr>
          <w:tab/>
          <w:t>Substitution of Schedule 2</w:t>
        </w:r>
      </w:hyperlink>
    </w:p>
    <w:p w14:paraId="0E9C5942" w14:textId="77777777" w:rsidR="00416D01" w:rsidRPr="00416D01" w:rsidRDefault="00416D01" w:rsidP="00416D01">
      <w:pPr>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id9833c83d_24e4_4c8f_bfe4_9059763924e9_2" w:history="1">
        <w:r w:rsidRPr="00416D01">
          <w:rPr>
            <w:rFonts w:eastAsia="Times New Roman"/>
            <w:color w:val="000000"/>
            <w:sz w:val="24"/>
            <w:szCs w:val="24"/>
            <w:lang w:eastAsia="en-AU"/>
            <w14:ligatures w14:val="standardContextual"/>
          </w:rPr>
          <w:t>Schedule 2—Form of disclosure statement</w:t>
        </w:r>
      </w:hyperlink>
    </w:p>
    <w:p w14:paraId="1F1904F5" w14:textId="77777777" w:rsidR="00416D01" w:rsidRPr="00416D01" w:rsidRDefault="00416D01" w:rsidP="00416D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DDFE586" w14:textId="77777777" w:rsidR="00416D01" w:rsidRPr="00416D01" w:rsidRDefault="00416D01" w:rsidP="00416D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416D01">
        <w:rPr>
          <w:rFonts w:eastAsia="Times New Roman"/>
          <w:b/>
          <w:bCs/>
          <w:color w:val="000000"/>
          <w:sz w:val="32"/>
          <w:szCs w:val="32"/>
          <w:lang w:eastAsia="en-AU"/>
          <w14:ligatures w14:val="standardContextual"/>
        </w:rPr>
        <w:t>Part 1—Preliminary</w:t>
      </w:r>
    </w:p>
    <w:p w14:paraId="31751A33"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1—Short title</w:t>
      </w:r>
    </w:p>
    <w:p w14:paraId="747AEC2B" w14:textId="2B10C490" w:rsidR="00BB5DE5" w:rsidRDefault="00416D01" w:rsidP="00416D0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xml:space="preserve">These regulations may be cited as the </w:t>
      </w:r>
      <w:r w:rsidRPr="00416D01">
        <w:rPr>
          <w:rFonts w:eastAsia="Times New Roman"/>
          <w:i/>
          <w:iCs/>
          <w:color w:val="000000"/>
          <w:sz w:val="23"/>
          <w:szCs w:val="23"/>
          <w:lang w:eastAsia="en-AU"/>
          <w14:ligatures w14:val="standardContextual"/>
        </w:rPr>
        <w:t>Retirement Villages (Miscellaneous) Amendment Regulations 2025</w:t>
      </w:r>
      <w:r w:rsidRPr="00416D01">
        <w:rPr>
          <w:rFonts w:eastAsia="Times New Roman"/>
          <w:color w:val="000000"/>
          <w:sz w:val="23"/>
          <w:szCs w:val="23"/>
          <w:lang w:eastAsia="en-AU"/>
          <w14:ligatures w14:val="standardContextual"/>
        </w:rPr>
        <w:t>.</w:t>
      </w:r>
    </w:p>
    <w:p w14:paraId="3D5186CE" w14:textId="77777777" w:rsidR="00BB5DE5" w:rsidRDefault="00BB5DE5" w:rsidP="00BB5DE5">
      <w:pPr>
        <w:spacing w:after="0" w:line="4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AC31F10"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lastRenderedPageBreak/>
        <w:t>2—Commencement</w:t>
      </w:r>
    </w:p>
    <w:p w14:paraId="1A8B82F4" w14:textId="77777777" w:rsidR="00416D01" w:rsidRPr="00416D01" w:rsidRDefault="00416D01" w:rsidP="00416D0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xml:space="preserve">These regulations come into operation on the day on which section 14 of the </w:t>
      </w:r>
      <w:hyperlink r:id="rId116" w:history="1">
        <w:r w:rsidRPr="00416D01">
          <w:rPr>
            <w:rFonts w:eastAsia="Times New Roman"/>
            <w:i/>
            <w:iCs/>
            <w:color w:val="000000"/>
            <w:sz w:val="23"/>
            <w:szCs w:val="23"/>
            <w:lang w:eastAsia="en-AU"/>
            <w14:ligatures w14:val="standardContextual"/>
          </w:rPr>
          <w:t>Retirement Villages (Miscellaneous) Amendment Act 2024</w:t>
        </w:r>
      </w:hyperlink>
      <w:r w:rsidRPr="00416D01">
        <w:rPr>
          <w:rFonts w:eastAsia="Times New Roman"/>
          <w:color w:val="000000"/>
          <w:sz w:val="23"/>
          <w:szCs w:val="23"/>
          <w:lang w:eastAsia="en-AU"/>
          <w14:ligatures w14:val="standardContextual"/>
        </w:rPr>
        <w:t xml:space="preserve"> comes into operation.</w:t>
      </w:r>
    </w:p>
    <w:p w14:paraId="752B91D2" w14:textId="77777777" w:rsidR="00416D01" w:rsidRPr="00416D01" w:rsidRDefault="00416D01" w:rsidP="00416D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416D01">
        <w:rPr>
          <w:rFonts w:eastAsia="Times New Roman"/>
          <w:b/>
          <w:bCs/>
          <w:color w:val="000000"/>
          <w:sz w:val="32"/>
          <w:szCs w:val="32"/>
          <w:lang w:eastAsia="en-AU"/>
          <w14:ligatures w14:val="standardContextual"/>
        </w:rPr>
        <w:t xml:space="preserve">Part 2—Amendment of </w:t>
      </w:r>
      <w:r w:rsidRPr="00416D01">
        <w:rPr>
          <w:rFonts w:eastAsia="Times New Roman"/>
          <w:b/>
          <w:bCs/>
          <w:i/>
          <w:iCs/>
          <w:color w:val="000000"/>
          <w:sz w:val="32"/>
          <w:szCs w:val="32"/>
          <w:lang w:eastAsia="en-AU"/>
          <w14:ligatures w14:val="standardContextual"/>
        </w:rPr>
        <w:t>Retirement Villages Regulations 2017</w:t>
      </w:r>
    </w:p>
    <w:p w14:paraId="2386148F"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3—Amendment of regulation 4—Payments excluded from definition of ingoing contribution</w:t>
      </w:r>
    </w:p>
    <w:p w14:paraId="69CF81BF"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Regulation 4(e)—delete "</w:t>
      </w:r>
      <w:r w:rsidRPr="00416D01">
        <w:rPr>
          <w:rFonts w:eastAsia="Times New Roman"/>
          <w:i/>
          <w:iCs/>
          <w:color w:val="000000"/>
          <w:sz w:val="23"/>
          <w:szCs w:val="23"/>
          <w:lang w:eastAsia="en-AU"/>
          <w14:ligatures w14:val="standardContextual"/>
        </w:rPr>
        <w:t>Aged Care Act 1997</w:t>
      </w:r>
      <w:r w:rsidRPr="00416D01">
        <w:rPr>
          <w:rFonts w:eastAsia="Times New Roman"/>
          <w:color w:val="000000"/>
          <w:sz w:val="23"/>
          <w:szCs w:val="23"/>
          <w:lang w:eastAsia="en-AU"/>
          <w14:ligatures w14:val="standardContextual"/>
        </w:rPr>
        <w:t>" and substitute:</w:t>
      </w:r>
    </w:p>
    <w:p w14:paraId="58B16762"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i/>
          <w:iCs/>
          <w:color w:val="000000"/>
          <w:sz w:val="23"/>
          <w:szCs w:val="23"/>
          <w:lang w:eastAsia="en-AU"/>
          <w14:ligatures w14:val="standardContextual"/>
        </w:rPr>
        <w:t>Aged Care Act 2024</w:t>
      </w:r>
    </w:p>
    <w:p w14:paraId="28D80321"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Regulation 4(f)—after "section 57" insert:</w:t>
      </w:r>
    </w:p>
    <w:p w14:paraId="01FCCB61"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or 57A</w:t>
      </w:r>
    </w:p>
    <w:p w14:paraId="5A12F92A"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4—Amendment of regulation 5—Residence contracts (section 20 of Act)</w:t>
      </w:r>
    </w:p>
    <w:p w14:paraId="24EDB18E"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Regulation 5(1)(b)(ii)—delete "not less than 12 point type face" and substitute:</w:t>
      </w:r>
    </w:p>
    <w:p w14:paraId="4DC15147"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 font size of not less than 12 points</w:t>
      </w:r>
    </w:p>
    <w:p w14:paraId="0C57EF95"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Regulation 5(2)—delete "section 20(2)(e) of the Act, the residence contract must include the following information in addition to the information required by section 20(2) of the Act" and substitute:</w:t>
      </w:r>
    </w:p>
    <w:p w14:paraId="248ED1FD"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section 20(1)(e) of the Act, the following information is prescribed</w:t>
      </w:r>
    </w:p>
    <w:p w14:paraId="161AACDB"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Regulation 5(2)(e)—after "the facilities" insert:</w:t>
      </w:r>
    </w:p>
    <w:p w14:paraId="18660E26"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provided or arranged by the operator</w:t>
      </w:r>
    </w:p>
    <w:p w14:paraId="1E399150"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Regulation 5(2)(f)—delete "details of services available" and substitute:</w:t>
      </w:r>
    </w:p>
    <w:p w14:paraId="218864C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details of services provided or arranged by the operator available</w:t>
      </w:r>
    </w:p>
    <w:p w14:paraId="08901C44"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Regulation 5(2)(g)(ii)—after "payable by the resident" insert:</w:t>
      </w:r>
    </w:p>
    <w:p w14:paraId="1B98FF9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to the operator</w:t>
      </w:r>
    </w:p>
    <w:p w14:paraId="579342F6" w14:textId="77777777" w:rsidR="00416D01" w:rsidRPr="00416D01" w:rsidRDefault="00416D01" w:rsidP="00416D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(6)</w:t>
      </w:r>
      <w:r w:rsidRPr="00416D01">
        <w:rPr>
          <w:rFonts w:eastAsia="Times New Roman"/>
          <w:color w:val="000000"/>
          <w:sz w:val="23"/>
          <w:szCs w:val="23"/>
          <w:lang w:eastAsia="en-AU"/>
          <w14:ligatures w14:val="standardContextual"/>
        </w:rPr>
        <w:tab/>
        <w:t>Regulation 5(2)(j)—delete paragraph (j)</w:t>
      </w:r>
    </w:p>
    <w:p w14:paraId="477CCD28"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5—Amendment of regulation 6—Disclosure statement (section 21 of Act)</w:t>
      </w:r>
    </w:p>
    <w:p w14:paraId="19D73FB1"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6—after "must" insert:</w:t>
      </w:r>
    </w:p>
    <w:p w14:paraId="71B319B4"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include the information and</w:t>
      </w:r>
    </w:p>
    <w:p w14:paraId="7EEDF543"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6—Insertion of regulations 6A, 6B and 6C</w:t>
      </w:r>
    </w:p>
    <w:p w14:paraId="09E71AAE"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After regulation 6 insert:</w:t>
      </w:r>
    </w:p>
    <w:p w14:paraId="01F74B20"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6A—Information to be provided before residence contract entered into</w:t>
      </w:r>
    </w:p>
    <w:p w14:paraId="0709A9CD" w14:textId="207F0993" w:rsidR="00BB5DE5" w:rsidRDefault="00416D01" w:rsidP="00416D0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For the purposes of section 22(1)(g) of the Act, the written dispute resolution policy required to be kept by the operator under section 45 of the Act is prescribed.</w:t>
      </w:r>
    </w:p>
    <w:p w14:paraId="449F0BA4"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8C3C02B"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lastRenderedPageBreak/>
        <w:t>6B—Premises condition report</w:t>
      </w:r>
    </w:p>
    <w:p w14:paraId="28AFFFEA"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For the purposes of section 23(1)(c) of the Act, a premises condition report for a residence must include the following information:</w:t>
      </w:r>
    </w:p>
    <w:p w14:paraId="02F9777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who is responsible under the residence contract at the end of the contract for reinstating the residence to the same condition as when the resident first entered into occupation;</w:t>
      </w:r>
    </w:p>
    <w:p w14:paraId="3769861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who is responsible under the residence contract at the end of the contract for any work to improve the residence in excess of that required to reinstate the premises to the condition it was when the resident first entered into occupation;</w:t>
      </w:r>
    </w:p>
    <w:p w14:paraId="664AA8E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if, at the time of the provision of the report by the operator, the operator intends to undertake improvements or repairs to the residence, a description of the intended work to be undertaken and an estimated completion date;</w:t>
      </w:r>
    </w:p>
    <w:p w14:paraId="593E1B4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that a dispute in relation to the premises condition report must be resolved in accordance with the village dispute resolution policy unless the resident, at the time of the dispute, agrees to take steps to resolve the dispute otherwise than in accordance with the dispute resolution policy.</w:t>
      </w:r>
    </w:p>
    <w:p w14:paraId="3EA95493"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For the purposes of section 23(2) of the Act, a premises condition report must—</w:t>
      </w:r>
    </w:p>
    <w:p w14:paraId="011E66D2"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clearly identify the residence that is the subject of the report; and</w:t>
      </w:r>
    </w:p>
    <w:p w14:paraId="065B2A7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use text printed in a font size of not less than 12 points (except where the text forms part of a graphic image such as a map or diagram); and</w:t>
      </w:r>
    </w:p>
    <w:p w14:paraId="7279804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display clearly the contents of any photographs, diagrams or other graphics that are included in the report; and</w:t>
      </w:r>
    </w:p>
    <w:p w14:paraId="3A3A459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be provided in hard copy or electronic format; and</w:t>
      </w:r>
    </w:p>
    <w:p w14:paraId="688BA15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(e)</w:t>
      </w:r>
      <w:r w:rsidRPr="00416D01">
        <w:rPr>
          <w:rFonts w:eastAsia="Times New Roman"/>
          <w:color w:val="000000"/>
          <w:sz w:val="23"/>
          <w:szCs w:val="23"/>
          <w:lang w:eastAsia="en-AU"/>
          <w14:ligatures w14:val="standardContextual"/>
        </w:rPr>
        <w:tab/>
        <w:t>include in bold font at the front of the report the following statement:</w:t>
      </w:r>
    </w:p>
    <w:p w14:paraId="4FB891DE" w14:textId="77777777" w:rsidR="00416D01" w:rsidRPr="00416D01" w:rsidRDefault="00416D01" w:rsidP="00416D01">
      <w:pPr>
        <w:keepLines/>
        <w:autoSpaceDE w:val="0"/>
        <w:autoSpaceDN w:val="0"/>
        <w:adjustRightInd w:val="0"/>
        <w:spacing w:before="120" w:after="0" w:line="240" w:lineRule="auto"/>
        <w:ind w:left="3573"/>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xml:space="preserve">A resident who fails to return a completed report to the operator within 10 business days of entering into occupation of the residence, in this case being </w:t>
      </w:r>
      <w:r w:rsidRPr="00416D01">
        <w:rPr>
          <w:rFonts w:eastAsia="Times New Roman"/>
          <w:i/>
          <w:iCs/>
          <w:color w:val="000000"/>
          <w:sz w:val="23"/>
          <w:szCs w:val="23"/>
          <w:lang w:eastAsia="en-AU"/>
          <w14:ligatures w14:val="standardContextual"/>
        </w:rPr>
        <w:t>[insert deadline]</w:t>
      </w:r>
      <w:r w:rsidRPr="00416D01">
        <w:rPr>
          <w:rFonts w:eastAsia="Times New Roman"/>
          <w:color w:val="000000"/>
          <w:sz w:val="23"/>
          <w:szCs w:val="23"/>
          <w:lang w:eastAsia="en-AU"/>
          <w14:ligatures w14:val="standardContextual"/>
        </w:rPr>
        <w:t>, is taken to have agreed to the premises condition report as provided to the resident by the operator (see section 23 of the Act).</w:t>
      </w:r>
    </w:p>
    <w:p w14:paraId="76C0CBA2" w14:textId="77777777" w:rsidR="00416D01" w:rsidRPr="00416D01" w:rsidRDefault="00416D01" w:rsidP="00416D01">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(which must include the date that is the deadline for the return of the completed report by the resident); and</w:t>
      </w:r>
    </w:p>
    <w:p w14:paraId="5D510BD2"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(f)</w:t>
      </w:r>
      <w:r w:rsidRPr="00416D01">
        <w:rPr>
          <w:rFonts w:eastAsia="Times New Roman"/>
          <w:color w:val="000000"/>
          <w:sz w:val="23"/>
          <w:szCs w:val="23"/>
          <w:lang w:eastAsia="en-AU"/>
          <w14:ligatures w14:val="standardContextual"/>
        </w:rPr>
        <w:tab/>
        <w:t>include provision for the person entering into occupation of the residence to agree or disagree with the information completed by the operator; and</w:t>
      </w:r>
    </w:p>
    <w:p w14:paraId="093F6ECE" w14:textId="1B1D1C9F" w:rsidR="00BB5DE5"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(g)</w:t>
      </w:r>
      <w:r w:rsidRPr="00416D01">
        <w:rPr>
          <w:rFonts w:eastAsia="Times New Roman"/>
          <w:color w:val="000000"/>
          <w:sz w:val="23"/>
          <w:szCs w:val="23"/>
          <w:lang w:eastAsia="en-AU"/>
          <w14:ligatures w14:val="standardContextual"/>
        </w:rPr>
        <w:tab/>
        <w:t>make provision for the inclusion of any subsequent agreement signed by the operator and the person entering into occupation of the residence in the event that there is disagreement about the initial report; and</w:t>
      </w:r>
    </w:p>
    <w:p w14:paraId="46DFAD78"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18A7D72" w14:textId="77777777" w:rsidR="00416D01" w:rsidRPr="00416D01" w:rsidRDefault="00416D01" w:rsidP="00416D01">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lastRenderedPageBreak/>
        <w:t>Example—</w:t>
      </w:r>
    </w:p>
    <w:p w14:paraId="18FB697D" w14:textId="77777777" w:rsidR="00416D01" w:rsidRPr="00416D01" w:rsidRDefault="00416D01" w:rsidP="00416D01">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 subsequent agreement may be included within the premises condition report or as a separate document attached to the premises condition report.</w:t>
      </w:r>
    </w:p>
    <w:p w14:paraId="000AA98B"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(h)</w:t>
      </w:r>
      <w:r w:rsidRPr="00416D01">
        <w:rPr>
          <w:rFonts w:eastAsia="Times New Roman"/>
          <w:color w:val="000000"/>
          <w:sz w:val="23"/>
          <w:szCs w:val="23"/>
          <w:lang w:eastAsia="en-AU"/>
          <w14:ligatures w14:val="standardContextual"/>
        </w:rPr>
        <w:tab/>
        <w:t>state the date, or dates, on which the inspection was carried out by the operator and by the resident; and</w:t>
      </w:r>
    </w:p>
    <w:p w14:paraId="3416F7C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be signed by, or on behalf of—</w:t>
      </w:r>
    </w:p>
    <w:p w14:paraId="702BCB81"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the operator; and</w:t>
      </w:r>
    </w:p>
    <w:p w14:paraId="5B2B0F45"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the person who enters into occupation of the residence (unless it is not reasonably practicable to do so).</w:t>
      </w:r>
    </w:p>
    <w:p w14:paraId="1DF5AA34"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On receipt of a completed premises condition report from a resident pursuant to section 23(3) of the Act, the operator of a retirement village must—</w:t>
      </w:r>
    </w:p>
    <w:p w14:paraId="748F421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provide a copy of the completed report to the resident within 10 business days; and</w:t>
      </w:r>
    </w:p>
    <w:p w14:paraId="36E744D9"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retain the completed report until payment of the resident's exit entitlement (if any) is paid in full.</w:t>
      </w:r>
    </w:p>
    <w:p w14:paraId="6149003D"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The operator of a retirement village must, on the written request of a resident, provide a copy of the completed premises condition report to the resident within 10 business days of the request.</w:t>
      </w:r>
    </w:p>
    <w:p w14:paraId="489B01F8"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6C—Vacated premises report</w:t>
      </w:r>
    </w:p>
    <w:p w14:paraId="7DA770D0"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The operator of a retirement village must, not more than 10 business days after a person ceases to reside in a residence in a retirement village, complete a vacated premises report providing detailed information about the condition of the fixtures, fittings and furnishings provided in the residence.</w:t>
      </w:r>
    </w:p>
    <w:p w14:paraId="1B9FE715"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The operator of a retirement village must—</w:t>
      </w:r>
    </w:p>
    <w:p w14:paraId="6070CC7F"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provide a copy of the completed vacated premises report to the former resident; and</w:t>
      </w:r>
    </w:p>
    <w:p w14:paraId="626202FF"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allow a reasonable period for the former resident to indicate whether they disagree with the report.</w:t>
      </w:r>
    </w:p>
    <w:p w14:paraId="6519C8D3"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The vacated premises report must—</w:t>
      </w:r>
    </w:p>
    <w:p w14:paraId="293A3ED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clearly identify the residence that is the subject of the report; and</w:t>
      </w:r>
    </w:p>
    <w:p w14:paraId="3A897F12"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use text printed in a font size of not less than 12 points (except where the text forms part of a graphic image such as a map or diagram); and</w:t>
      </w:r>
    </w:p>
    <w:p w14:paraId="47DC9B8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display clearly the contents of any photographs, diagrams or other graphics that are included in the report; and</w:t>
      </w:r>
    </w:p>
    <w:p w14:paraId="7547302E"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be provided in hard copy or electronic format; and</w:t>
      </w:r>
    </w:p>
    <w:p w14:paraId="47104002" w14:textId="71409C66" w:rsidR="00BB5DE5"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(e)</w:t>
      </w:r>
      <w:r w:rsidRPr="00416D01">
        <w:rPr>
          <w:rFonts w:eastAsia="Times New Roman"/>
          <w:color w:val="000000"/>
          <w:sz w:val="23"/>
          <w:szCs w:val="23"/>
          <w:lang w:eastAsia="en-AU"/>
          <w14:ligatures w14:val="standardContextual"/>
        </w:rPr>
        <w:tab/>
        <w:t>include provision for the former resident to agree or disagree with the information completed by the operator; and</w:t>
      </w:r>
    </w:p>
    <w:p w14:paraId="56BCDACE"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5746AC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(f)</w:t>
      </w:r>
      <w:r w:rsidRPr="00416D01">
        <w:rPr>
          <w:rFonts w:eastAsia="Times New Roman"/>
          <w:color w:val="000000"/>
          <w:sz w:val="23"/>
          <w:szCs w:val="23"/>
          <w:lang w:eastAsia="en-AU"/>
          <w14:ligatures w14:val="standardContextual"/>
        </w:rPr>
        <w:tab/>
        <w:t>make provision for the inclusion of any subsequent agreement signed by the operator and the former resident in the event that there is disagreement about the initial report; and</w:t>
      </w:r>
    </w:p>
    <w:p w14:paraId="6E30931A" w14:textId="77777777" w:rsidR="00416D01" w:rsidRPr="00416D01" w:rsidRDefault="00416D01" w:rsidP="00416D01">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Example—</w:t>
      </w:r>
    </w:p>
    <w:p w14:paraId="58884B99" w14:textId="77777777" w:rsidR="00416D01" w:rsidRPr="00416D01" w:rsidRDefault="00416D01" w:rsidP="00416D01">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 subsequent agreement may be included within the vacated premises report or as a separate document attached to the vacated premises report.</w:t>
      </w:r>
    </w:p>
    <w:p w14:paraId="7FC90FD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(g)</w:t>
      </w:r>
      <w:r w:rsidRPr="00416D01">
        <w:rPr>
          <w:rFonts w:eastAsia="Times New Roman"/>
          <w:color w:val="000000"/>
          <w:sz w:val="23"/>
          <w:szCs w:val="23"/>
          <w:lang w:eastAsia="en-AU"/>
          <w14:ligatures w14:val="standardContextual"/>
        </w:rPr>
        <w:tab/>
        <w:t>include a statement that disputes relating to the report must be resolved in accordance with the village dispute resolution policy unless the resident, at the time of the dispute, agrees to take steps to resolve the dispute otherwise than in accordance with the dispute resolution policy; and</w:t>
      </w:r>
    </w:p>
    <w:p w14:paraId="5F725E9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(h)</w:t>
      </w:r>
      <w:r w:rsidRPr="00416D01">
        <w:rPr>
          <w:rFonts w:eastAsia="Times New Roman"/>
          <w:color w:val="000000"/>
          <w:sz w:val="23"/>
          <w:szCs w:val="23"/>
          <w:lang w:eastAsia="en-AU"/>
          <w14:ligatures w14:val="standardContextual"/>
        </w:rPr>
        <w:tab/>
        <w:t>must be signed by, or on behalf of—</w:t>
      </w:r>
    </w:p>
    <w:p w14:paraId="41A471E5"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the operator; and</w:t>
      </w:r>
    </w:p>
    <w:p w14:paraId="5CB23542"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if reasonably practicable, the former resident.</w:t>
      </w:r>
    </w:p>
    <w:p w14:paraId="3BB2015D"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In the event of a dispute in relation to the content of a vacated premises report, the dispute is to be resolved in accordance with the dispute resolution policy for the retirement village unless the resident, at the time of the dispute, agrees to take steps to resolve the dispute otherwise than in accordance with the dispute resolution policy.</w:t>
      </w:r>
    </w:p>
    <w:p w14:paraId="36EB2534"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 xml:space="preserve">A reference in this regulation to a </w:t>
      </w:r>
      <w:r w:rsidRPr="00416D01">
        <w:rPr>
          <w:rFonts w:eastAsia="Times New Roman"/>
          <w:b/>
          <w:bCs/>
          <w:i/>
          <w:iCs/>
          <w:color w:val="000000"/>
          <w:sz w:val="23"/>
          <w:szCs w:val="23"/>
          <w:lang w:eastAsia="en-AU"/>
          <w14:ligatures w14:val="standardContextual"/>
        </w:rPr>
        <w:t>former resident</w:t>
      </w:r>
      <w:r w:rsidRPr="00416D01">
        <w:rPr>
          <w:rFonts w:eastAsia="Times New Roman"/>
          <w:color w:val="000000"/>
          <w:sz w:val="23"/>
          <w:szCs w:val="23"/>
          <w:lang w:eastAsia="en-AU"/>
          <w14:ligatures w14:val="standardContextual"/>
        </w:rPr>
        <w:t xml:space="preserve"> will be taken to include, as the case requires, the former resident's authorised representative or the executor or administrator of the former resident's estate.</w:t>
      </w:r>
    </w:p>
    <w:p w14:paraId="75FEFC40"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3" w:name="Elkera_Print_BK12"/>
      <w:r w:rsidRPr="00416D01">
        <w:rPr>
          <w:rFonts w:eastAsia="Times New Roman"/>
          <w:b/>
          <w:bCs/>
          <w:color w:val="000000"/>
          <w:sz w:val="26"/>
          <w:szCs w:val="26"/>
          <w:lang w:eastAsia="en-AU"/>
          <w14:ligatures w14:val="standardContextual"/>
        </w:rPr>
        <w:t>7—Amendment of regulation 7—Exit entitlements (section 27 of Act)</w:t>
      </w:r>
      <w:bookmarkEnd w:id="423"/>
    </w:p>
    <w:p w14:paraId="52202493"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7(1) and (2)—delete subregulations (1) and (2) and substitute:</w:t>
      </w:r>
    </w:p>
    <w:p w14:paraId="36280906"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For the purposes of section 27(5)(d) of the Act, the prescribed period in relation to the payment of an exit entitlement for a vacated residence is the period—</w:t>
      </w:r>
    </w:p>
    <w:p w14:paraId="38EEFB0E"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commencing on the first business day after vacant possession of the residence was delivered up; and</w:t>
      </w:r>
    </w:p>
    <w:p w14:paraId="432213B0"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ending 1 month before the exit entitlement becomes payable under section 27(2)(b) of the Act.</w:t>
      </w:r>
    </w:p>
    <w:p w14:paraId="0D5A2B58"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8—Amendment of regulation 8—Evidence required if resident leaves to enter residential aged care facility (section 30 of Act)</w:t>
      </w:r>
    </w:p>
    <w:p w14:paraId="573D91BB"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xml:space="preserve">Regulation 8—delete "Secretary under the </w:t>
      </w:r>
      <w:r w:rsidRPr="00416D01">
        <w:rPr>
          <w:rFonts w:eastAsia="Times New Roman"/>
          <w:i/>
          <w:iCs/>
          <w:color w:val="000000"/>
          <w:sz w:val="23"/>
          <w:szCs w:val="23"/>
          <w:lang w:eastAsia="en-AU"/>
          <w14:ligatures w14:val="standardContextual"/>
        </w:rPr>
        <w:t>Aged Care Act 1997</w:t>
      </w:r>
      <w:r w:rsidRPr="00416D01">
        <w:rPr>
          <w:rFonts w:eastAsia="Times New Roman"/>
          <w:color w:val="000000"/>
          <w:sz w:val="23"/>
          <w:szCs w:val="23"/>
          <w:lang w:eastAsia="en-AU"/>
          <w14:ligatures w14:val="standardContextual"/>
        </w:rPr>
        <w:t>" and substitute:</w:t>
      </w:r>
    </w:p>
    <w:p w14:paraId="700C86B3"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xml:space="preserve">System Governor under the </w:t>
      </w:r>
      <w:r w:rsidRPr="00416D01">
        <w:rPr>
          <w:rFonts w:eastAsia="Times New Roman"/>
          <w:i/>
          <w:iCs/>
          <w:color w:val="000000"/>
          <w:sz w:val="23"/>
          <w:szCs w:val="23"/>
          <w:lang w:eastAsia="en-AU"/>
          <w14:ligatures w14:val="standardContextual"/>
        </w:rPr>
        <w:t>Aged Care Act 2024</w:t>
      </w:r>
    </w:p>
    <w:p w14:paraId="2B988414"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9—Repeal of regulation 9</w:t>
      </w:r>
    </w:p>
    <w:p w14:paraId="150FC145" w14:textId="1B82E7E0" w:rsidR="00BB5DE5" w:rsidRDefault="00416D01" w:rsidP="00416D0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9—delete the regulation</w:t>
      </w:r>
    </w:p>
    <w:p w14:paraId="08062AFC"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8762AEB"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lastRenderedPageBreak/>
        <w:t>10—Amendment of regulation 10—Standards and principles for financial information (sections 33 and 40 of Act)</w:t>
      </w:r>
    </w:p>
    <w:p w14:paraId="08592B5A"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10(1)—delete "section 33(6)(a)" and substitute:</w:t>
      </w:r>
    </w:p>
    <w:p w14:paraId="5FE0D517"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section 33(6)</w:t>
      </w:r>
    </w:p>
    <w:p w14:paraId="4F5BB270"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11—Amendment of regulation 11—Meetings of residents (section 33 of Act)</w:t>
      </w:r>
    </w:p>
    <w:p w14:paraId="0BD95FC9"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11(1)—delete "section 33(6)(a)(vi)" and substitute:</w:t>
      </w:r>
    </w:p>
    <w:p w14:paraId="2D3C677B"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section 33(6)(c)</w:t>
      </w:r>
    </w:p>
    <w:p w14:paraId="015A9BC6"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12—Amendment of regulation 12—Residents' committees (section 38 of Act)</w:t>
      </w:r>
    </w:p>
    <w:p w14:paraId="0C16B65A"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Regulation 12(4)(a)—delete "a residents' committee meeting" and substitute:</w:t>
      </w:r>
    </w:p>
    <w:p w14:paraId="5E5E4FB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every meeting convened by the residents' committee</w:t>
      </w:r>
    </w:p>
    <w:p w14:paraId="63262871"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Regulation 12(4)(b)—delete "residents' committee meeting" and substitute:</w:t>
      </w:r>
    </w:p>
    <w:p w14:paraId="49EA554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meeting convened by the residents' committee</w:t>
      </w:r>
    </w:p>
    <w:p w14:paraId="3DD7A4DF"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Regulation 12(5)—delete "residents' committee meeting" and substitute:</w:t>
      </w:r>
    </w:p>
    <w:p w14:paraId="14DCCB71"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meeting convened by the residents' committee</w:t>
      </w:r>
    </w:p>
    <w:p w14:paraId="75756C03"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13—Amendment of regulation 15—Residence rules</w:t>
      </w:r>
    </w:p>
    <w:p w14:paraId="34BDB79C"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15—after its present contents (now to be designated as subregulation (1)) insert:</w:t>
      </w:r>
    </w:p>
    <w:p w14:paraId="6D39B3B6"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 xml:space="preserve">If the operator of a retirement village proposes to make an alteration to the residence rules for the village, the operator must undertake consultation with residents of the retirement village in accordance with </w:t>
      </w:r>
      <w:hyperlink w:anchor="id7b7af9d8_c3c7_47be_99e8_0cd072ad31" w:history="1">
        <w:r w:rsidRPr="00416D01">
          <w:rPr>
            <w:rFonts w:eastAsia="Times New Roman"/>
            <w:color w:val="000000"/>
            <w:sz w:val="23"/>
            <w:szCs w:val="23"/>
            <w:lang w:eastAsia="en-AU"/>
            <w14:ligatures w14:val="standardContextual"/>
          </w:rPr>
          <w:t>subregulation (4)</w:t>
        </w:r>
      </w:hyperlink>
      <w:r w:rsidRPr="00416D01">
        <w:rPr>
          <w:rFonts w:eastAsia="Times New Roman"/>
          <w:color w:val="000000"/>
          <w:sz w:val="23"/>
          <w:szCs w:val="23"/>
          <w:lang w:eastAsia="en-AU"/>
          <w14:ligatures w14:val="standardContextual"/>
        </w:rPr>
        <w:t xml:space="preserve"> before making a decision to make the alteration.</w:t>
      </w:r>
    </w:p>
    <w:p w14:paraId="59B0375D"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If an alteration to the residence rules for a retirement village is requested by notice in writing by—</w:t>
      </w:r>
    </w:p>
    <w:p w14:paraId="5848DA8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the residents' committee for the village; or</w:t>
      </w:r>
    </w:p>
    <w:p w14:paraId="7DF35A08"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at least 20% of residents in the village,</w:t>
      </w:r>
    </w:p>
    <w:p w14:paraId="7BD1D692"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the operator of the village must—</w:t>
      </w:r>
    </w:p>
    <w:p w14:paraId="3C218E02"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 xml:space="preserve">before making a decision on the alteration, undertake consultation on the requested alteration with residents of the retirement village in accordance with </w:t>
      </w:r>
      <w:hyperlink w:anchor="id7b7af9d8_c3c7_47be_99e8_0cd072ad31" w:history="1">
        <w:r w:rsidRPr="00416D01">
          <w:rPr>
            <w:rFonts w:eastAsia="Times New Roman"/>
            <w:color w:val="000000"/>
            <w:sz w:val="23"/>
            <w:szCs w:val="23"/>
            <w:lang w:eastAsia="en-AU"/>
            <w14:ligatures w14:val="standardContextual"/>
          </w:rPr>
          <w:t>subregulation (4)</w:t>
        </w:r>
      </w:hyperlink>
      <w:r w:rsidRPr="00416D01">
        <w:rPr>
          <w:rFonts w:eastAsia="Times New Roman"/>
          <w:color w:val="000000"/>
          <w:sz w:val="23"/>
          <w:szCs w:val="23"/>
          <w:lang w:eastAsia="en-AU"/>
          <w14:ligatures w14:val="standardContextual"/>
        </w:rPr>
        <w:t>; and</w:t>
      </w:r>
    </w:p>
    <w:p w14:paraId="6E51BD0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following that consultation, determine whether or not to make the alteration to the residence rules.</w:t>
      </w:r>
    </w:p>
    <w:p w14:paraId="50CD1792"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24" w:name="id7b7af9d8_c3c7_47be_99e8_0cd072ad31"/>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For the purposes of undertaking consultation in relation to a proposed or requested alteration to residence rules, the operator must—</w:t>
      </w:r>
      <w:bookmarkEnd w:id="424"/>
    </w:p>
    <w:p w14:paraId="670E2310"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provide each residence with all relevant information about the proposed or requested alteration; and</w:t>
      </w:r>
    </w:p>
    <w:p w14:paraId="246413A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allow a reasonable period for the residents to—</w:t>
      </w:r>
    </w:p>
    <w:p w14:paraId="2E52A44B"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consider the information provided; and</w:t>
      </w:r>
    </w:p>
    <w:p w14:paraId="337594AF" w14:textId="546F5CE8" w:rsidR="00BB5DE5"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ask questions (and receive responses from the operator); and</w:t>
      </w:r>
    </w:p>
    <w:p w14:paraId="4F4C0A7F"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0D5C355"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(iii)</w:t>
      </w:r>
      <w:r w:rsidRPr="00416D01">
        <w:rPr>
          <w:rFonts w:eastAsia="Times New Roman"/>
          <w:color w:val="000000"/>
          <w:sz w:val="23"/>
          <w:szCs w:val="23"/>
          <w:lang w:eastAsia="en-AU"/>
          <w14:ligatures w14:val="standardContextual"/>
        </w:rPr>
        <w:tab/>
        <w:t>provide feedback; and</w:t>
      </w:r>
    </w:p>
    <w:p w14:paraId="63B371D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consider all feedback provided by residents.</w:t>
      </w:r>
    </w:p>
    <w:p w14:paraId="76231666"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The operator must, following the consultation process in relation to a proposed or requested alteration to the residence rules, provide to the residents notice in writing of—</w:t>
      </w:r>
    </w:p>
    <w:p w14:paraId="3B1F4A5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 summary of the outcome of the consultation process; and</w:t>
      </w:r>
    </w:p>
    <w:p w14:paraId="3A735B59"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the decision made by the operator, along with the reasons for the decision.</w:t>
      </w:r>
    </w:p>
    <w:p w14:paraId="76842F35"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14—Substitution of regulation 16</w:t>
      </w:r>
    </w:p>
    <w:p w14:paraId="48140834"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Regulation 16—delete regulation 16 and substitute:</w:t>
      </w:r>
    </w:p>
    <w:p w14:paraId="438B87C9"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16—Safety information (section 43A of Act)</w:t>
      </w:r>
    </w:p>
    <w:p w14:paraId="5AE4FC24"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Pursuant to section 43A(4)(b) of the Act, the emergency plan for a retirement village must include—</w:t>
      </w:r>
    </w:p>
    <w:p w14:paraId="1DA9CDEB"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 list of the types of emergencies covered by the plan, including the following:</w:t>
      </w:r>
    </w:p>
    <w:p w14:paraId="164D65DF"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fire;</w:t>
      </w:r>
    </w:p>
    <w:p w14:paraId="3249EA03"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floods and storms;</w:t>
      </w:r>
    </w:p>
    <w:p w14:paraId="58A3524D"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(iii)</w:t>
      </w:r>
      <w:r w:rsidRPr="00416D01">
        <w:rPr>
          <w:rFonts w:eastAsia="Times New Roman"/>
          <w:color w:val="000000"/>
          <w:sz w:val="23"/>
          <w:szCs w:val="23"/>
          <w:lang w:eastAsia="en-AU"/>
          <w14:ligatures w14:val="standardContextual"/>
        </w:rPr>
        <w:tab/>
        <w:t>earthquakes;</w:t>
      </w:r>
    </w:p>
    <w:p w14:paraId="0C992C51"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(iv)</w:t>
      </w:r>
      <w:r w:rsidRPr="00416D01">
        <w:rPr>
          <w:rFonts w:eastAsia="Times New Roman"/>
          <w:color w:val="000000"/>
          <w:sz w:val="23"/>
          <w:szCs w:val="23"/>
          <w:lang w:eastAsia="en-AU"/>
          <w14:ligatures w14:val="standardContextual"/>
        </w:rPr>
        <w:tab/>
        <w:t>significant power outages;</w:t>
      </w:r>
    </w:p>
    <w:p w14:paraId="6B45D8D2"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(v)</w:t>
      </w:r>
      <w:r w:rsidRPr="00416D01">
        <w:rPr>
          <w:rFonts w:eastAsia="Times New Roman"/>
          <w:color w:val="000000"/>
          <w:sz w:val="23"/>
          <w:szCs w:val="23"/>
          <w:lang w:eastAsia="en-AU"/>
          <w14:ligatures w14:val="standardContextual"/>
        </w:rPr>
        <w:tab/>
        <w:t>natural disasters;</w:t>
      </w:r>
    </w:p>
    <w:p w14:paraId="719BCF5F"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the prescribed safety information for the village; and</w:t>
      </w:r>
    </w:p>
    <w:p w14:paraId="016F5CB0"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how residents are to be alerted in the event of an emergency; and</w:t>
      </w:r>
    </w:p>
    <w:p w14:paraId="2843721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the roles of the operator, staff and residents in relation to an emergency; and</w:t>
      </w:r>
    </w:p>
    <w:p w14:paraId="3E7C2E3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(e)</w:t>
      </w:r>
      <w:r w:rsidRPr="00416D01">
        <w:rPr>
          <w:rFonts w:eastAsia="Times New Roman"/>
          <w:color w:val="000000"/>
          <w:sz w:val="23"/>
          <w:szCs w:val="23"/>
          <w:lang w:eastAsia="en-AU"/>
          <w14:ligatures w14:val="standardContextual"/>
        </w:rPr>
        <w:tab/>
        <w:t>emergency contact information, including local emergency service organisations and key staff of the village; and</w:t>
      </w:r>
    </w:p>
    <w:p w14:paraId="3D054410"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(f)</w:t>
      </w:r>
      <w:r w:rsidRPr="00416D01">
        <w:rPr>
          <w:rFonts w:eastAsia="Times New Roman"/>
          <w:color w:val="000000"/>
          <w:sz w:val="23"/>
          <w:szCs w:val="23"/>
          <w:lang w:eastAsia="en-AU"/>
          <w14:ligatures w14:val="standardContextual"/>
        </w:rPr>
        <w:tab/>
        <w:t>consideration of any specific hazards relevant to the common areas of the village; and</w:t>
      </w:r>
    </w:p>
    <w:p w14:paraId="0E1100C4" w14:textId="77777777" w:rsidR="00416D01" w:rsidRPr="00416D01" w:rsidRDefault="00416D01" w:rsidP="00416D01">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Example—</w:t>
      </w:r>
    </w:p>
    <w:p w14:paraId="3D5728B5" w14:textId="77777777" w:rsidR="00416D01" w:rsidRPr="00416D01" w:rsidRDefault="00416D01" w:rsidP="00416D01">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Specific hazards may exist if a retirement village is in a bush-fire zone or on a flood plain, or where there are multi-level apartments that would require evacuation.</w:t>
      </w:r>
    </w:p>
    <w:p w14:paraId="53C188D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(g)</w:t>
      </w:r>
      <w:r w:rsidRPr="00416D01">
        <w:rPr>
          <w:rFonts w:eastAsia="Times New Roman"/>
          <w:color w:val="000000"/>
          <w:sz w:val="23"/>
          <w:szCs w:val="23"/>
          <w:lang w:eastAsia="en-AU"/>
          <w14:ligatures w14:val="standardContextual"/>
        </w:rPr>
        <w:tab/>
        <w:t>how communication will be maintained between the operator and residents in the village during and after an incident or emergency; and</w:t>
      </w:r>
    </w:p>
    <w:p w14:paraId="42AC4959"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(h)</w:t>
      </w:r>
      <w:r w:rsidRPr="00416D01">
        <w:rPr>
          <w:rFonts w:eastAsia="Times New Roman"/>
          <w:color w:val="000000"/>
          <w:sz w:val="23"/>
          <w:szCs w:val="23"/>
          <w:lang w:eastAsia="en-AU"/>
          <w14:ligatures w14:val="standardContextual"/>
        </w:rPr>
        <w:tab/>
        <w:t>arrangements that are in place and available to assist residents who may have mobility, hearing or visual impairments; and</w:t>
      </w:r>
    </w:p>
    <w:p w14:paraId="6686A49C" w14:textId="77777777" w:rsidR="00416D01" w:rsidRPr="00416D01" w:rsidRDefault="00416D01" w:rsidP="00416D01">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Example—</w:t>
      </w:r>
    </w:p>
    <w:p w14:paraId="5665E73C" w14:textId="1785F8D2" w:rsidR="00BB5DE5" w:rsidRDefault="00416D01" w:rsidP="00416D01">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An evacuation point may be identified for residents who are unable to use stairs during an evacuation in an emergency.</w:t>
      </w:r>
    </w:p>
    <w:p w14:paraId="09A75D05" w14:textId="77777777" w:rsidR="00BB5DE5" w:rsidRDefault="00BB5DE5" w:rsidP="00BB5DE5">
      <w:pPr>
        <w:spacing w:after="0" w:line="80" w:lineRule="exact"/>
        <w:jc w:val="left"/>
        <w:rPr>
          <w:rFonts w:eastAsia="Times New Roman"/>
          <w:color w:val="000000"/>
          <w:sz w:val="20"/>
          <w:szCs w:val="20"/>
          <w:lang w:eastAsia="en-AU"/>
          <w14:ligatures w14:val="standardContextual"/>
        </w:rPr>
      </w:pPr>
      <w:r>
        <w:rPr>
          <w:rFonts w:eastAsia="Times New Roman"/>
          <w:color w:val="000000"/>
          <w:sz w:val="20"/>
          <w:szCs w:val="20"/>
          <w:lang w:eastAsia="en-AU"/>
          <w14:ligatures w14:val="standardContextual"/>
        </w:rPr>
        <w:br w:type="page"/>
      </w:r>
    </w:p>
    <w:p w14:paraId="1E64DE9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(i)</w:t>
      </w:r>
      <w:r w:rsidRPr="00416D01">
        <w:rPr>
          <w:rFonts w:eastAsia="Times New Roman"/>
          <w:color w:val="000000"/>
          <w:sz w:val="23"/>
          <w:szCs w:val="23"/>
          <w:lang w:eastAsia="en-AU"/>
          <w14:ligatures w14:val="standardContextual"/>
        </w:rPr>
        <w:tab/>
        <w:t>processes to be followed after any incident or emergency, including—</w:t>
      </w:r>
    </w:p>
    <w:p w14:paraId="1EBBE8A7"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bookmarkStart w:id="425" w:name="id895a4989_e593_4f6c_83d3_261576f963"/>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a review of the emergency plan and the prescribed safety information for the village; and</w:t>
      </w:r>
      <w:bookmarkEnd w:id="425"/>
    </w:p>
    <w:p w14:paraId="29D8FF13"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 xml:space="preserve">the communication to residents of the village of the outcomes of the review under </w:t>
      </w:r>
      <w:hyperlink w:anchor="id895a4989_e593_4f6c_83d3_261576f963" w:history="1">
        <w:r w:rsidRPr="00416D01">
          <w:rPr>
            <w:rFonts w:eastAsia="Times New Roman"/>
            <w:color w:val="000000"/>
            <w:sz w:val="23"/>
            <w:szCs w:val="23"/>
            <w:lang w:eastAsia="en-AU"/>
            <w14:ligatures w14:val="standardContextual"/>
          </w:rPr>
          <w:t>subparagraph (i)</w:t>
        </w:r>
      </w:hyperlink>
      <w:r w:rsidRPr="00416D01">
        <w:rPr>
          <w:rFonts w:eastAsia="Times New Roman"/>
          <w:color w:val="000000"/>
          <w:sz w:val="23"/>
          <w:szCs w:val="23"/>
          <w:lang w:eastAsia="en-AU"/>
          <w14:ligatures w14:val="standardContextual"/>
        </w:rPr>
        <w:t>.</w:t>
      </w:r>
    </w:p>
    <w:p w14:paraId="04BE3C6B"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26" w:name="id76f8ef5a_8fc1_465d_8fff_f918966168"/>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The operator of a retirement village must ensure that the emergency plan for the retirement village is reviewed—</w:t>
      </w:r>
      <w:bookmarkEnd w:id="426"/>
    </w:p>
    <w:p w14:paraId="11209769"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at least once in a calendar year; and</w:t>
      </w:r>
    </w:p>
    <w:p w14:paraId="2A5D560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following any significant change to the retirement village scheme or to premises or land at the retirement village; and</w:t>
      </w:r>
    </w:p>
    <w:p w14:paraId="59B973C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following an emergency of a type covered by the plan.</w:t>
      </w:r>
    </w:p>
    <w:p w14:paraId="3A9B6618"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27" w:name="idcea329fa_9993_4aeb_9168_173fe1d86e"/>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Pursuant to section 43A(4)(c) of the Act, safety inspections of common areas under section 43A(2)(c) of the Act must be conducted—</w:t>
      </w:r>
      <w:bookmarkEnd w:id="427"/>
    </w:p>
    <w:p w14:paraId="76A8878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at least once in a calendar year; and</w:t>
      </w:r>
    </w:p>
    <w:p w14:paraId="3A641398"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following any significant change to the retirement village scheme or to premises or land at the retirement village; and</w:t>
      </w:r>
    </w:p>
    <w:p w14:paraId="2C50880F"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following an emergency of a type covered by the emergency plan for the retirement village.</w:t>
      </w:r>
    </w:p>
    <w:p w14:paraId="2880791F"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Pursuant to section 43A(4)(e) of the Act, prescribed safety information must be displayed in communal areas of a retirement village (if any) in such a location and manner that it may be readily accessed and viewed by residents and visitors to the village.</w:t>
      </w:r>
    </w:p>
    <w:p w14:paraId="63B373A6"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For the purposes of section 43A of the Act, prescribed safety information and the emergency plan for a retirement village must—</w:t>
      </w:r>
    </w:p>
    <w:p w14:paraId="76689BE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be written in plain English format; and</w:t>
      </w:r>
    </w:p>
    <w:p w14:paraId="26316BF2"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use text printed in a font size of not less than 12 points (except where the text forms part of a graphic image such as a map or diagram); and</w:t>
      </w:r>
    </w:p>
    <w:p w14:paraId="5106EEF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be provided to each residence of the village within 10 business days of being published (including on the publication of each subsequent update); and</w:t>
      </w:r>
    </w:p>
    <w:p w14:paraId="120A619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on request by a resident of the village, be provided free of charge to the resident within 10 business days of the request being made.</w:t>
      </w:r>
    </w:p>
    <w:p w14:paraId="334E6187"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15—Amendment of regulation 17—Remarketing policy</w:t>
      </w:r>
    </w:p>
    <w:p w14:paraId="61004E0F"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Regulation 17(1)—delete "The operator's" and substitute:</w:t>
      </w:r>
    </w:p>
    <w:p w14:paraId="63BF835E"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Subject to this regulation, the operator's</w:t>
      </w:r>
    </w:p>
    <w:p w14:paraId="451F98E5" w14:textId="77777777" w:rsidR="00416D01" w:rsidRPr="00416D01" w:rsidRDefault="00416D01" w:rsidP="00416D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Regulation 17(1)(a)—delete "under section 27(3) of the Act"</w:t>
      </w:r>
    </w:p>
    <w:p w14:paraId="68396AAC" w14:textId="60B0441A" w:rsidR="00BB5DE5" w:rsidRDefault="00416D01" w:rsidP="00416D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Regulation 17(1)(g)—delete ", and the extent to which the resident may or will assume responsibility for any aspect of the remarketing process in accordance with regulation 9"</w:t>
      </w:r>
    </w:p>
    <w:p w14:paraId="65318D5C"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DBE2E62" w14:textId="77777777" w:rsidR="00416D01" w:rsidRPr="00416D01" w:rsidRDefault="00416D01" w:rsidP="00416D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(4)</w:t>
      </w:r>
      <w:r w:rsidRPr="00416D01">
        <w:rPr>
          <w:rFonts w:eastAsia="Times New Roman"/>
          <w:color w:val="000000"/>
          <w:sz w:val="23"/>
          <w:szCs w:val="23"/>
          <w:lang w:eastAsia="en-AU"/>
          <w14:ligatures w14:val="standardContextual"/>
        </w:rPr>
        <w:tab/>
        <w:t>Regulation 17(1)(h)—delete paragraph (h)</w:t>
      </w:r>
    </w:p>
    <w:p w14:paraId="04066702"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Regulation 17(1)(i)(ii)—delete "inquires about the sale of the residence received by the operator" and substitute:</w:t>
      </w:r>
    </w:p>
    <w:p w14:paraId="04AA5F84"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inquiries received by the operator about the sale of the residence or sale of the right to reside in the residence (as the case requires)</w:t>
      </w:r>
    </w:p>
    <w:p w14:paraId="171F0FBD"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(6)</w:t>
      </w:r>
      <w:r w:rsidRPr="00416D01">
        <w:rPr>
          <w:rFonts w:eastAsia="Times New Roman"/>
          <w:color w:val="000000"/>
          <w:sz w:val="23"/>
          <w:szCs w:val="23"/>
          <w:lang w:eastAsia="en-AU"/>
          <w14:ligatures w14:val="standardContextual"/>
        </w:rPr>
        <w:tab/>
        <w:t>Regulation 17(1)(i)(iv)—delete "for sale in the retirement village" and substitute:</w:t>
      </w:r>
    </w:p>
    <w:p w14:paraId="1DAB95C3"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in the retirement village for sale or for which the right to reside in the residence is for sale (as the case requires)</w:t>
      </w:r>
    </w:p>
    <w:p w14:paraId="5A9D13FC"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(7)</w:t>
      </w:r>
      <w:r w:rsidRPr="00416D01">
        <w:rPr>
          <w:rFonts w:eastAsia="Times New Roman"/>
          <w:color w:val="000000"/>
          <w:sz w:val="23"/>
          <w:szCs w:val="23"/>
          <w:lang w:eastAsia="en-AU"/>
          <w14:ligatures w14:val="standardContextual"/>
        </w:rPr>
        <w:tab/>
        <w:t>Regulation 17—after subregulation (2) insert:</w:t>
      </w:r>
    </w:p>
    <w:p w14:paraId="57148296"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28" w:name="idd463c887_c18d_451d_b886_8496f7d6e0"/>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A remarketing policy applying in relation to a retirement village may make different provision according to the classes of residences in the village, or the matters or circumstances, to which it is expressed to apply.</w:t>
      </w:r>
      <w:bookmarkEnd w:id="428"/>
    </w:p>
    <w:p w14:paraId="48E29EBE"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A remarketing policy may specify provisions of the policy (including a provision imposed under subregulation (1)) that will not apply in relation to a residence if—</w:t>
      </w:r>
    </w:p>
    <w:p w14:paraId="38F0A83B"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the residence contract for the residence provides that—</w:t>
      </w:r>
    </w:p>
    <w:p w14:paraId="0372A4AC"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no exit entitlement is payable to the resident; or</w:t>
      </w:r>
    </w:p>
    <w:p w14:paraId="602407AA"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the exit entitlement, or any part of the exit entitlement, of the resident is not contingent on the sale of the right to reside in the residence; or</w:t>
      </w:r>
    </w:p>
    <w:p w14:paraId="6146F2E7"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(iii)</w:t>
      </w:r>
      <w:r w:rsidRPr="00416D01">
        <w:rPr>
          <w:rFonts w:eastAsia="Times New Roman"/>
          <w:color w:val="000000"/>
          <w:sz w:val="23"/>
          <w:szCs w:val="23"/>
          <w:lang w:eastAsia="en-AU"/>
          <w14:ligatures w14:val="standardContextual"/>
        </w:rPr>
        <w:tab/>
        <w:t>the sale of the right to reside in the residence will occur as specified in the contract and without going to market; or</w:t>
      </w:r>
    </w:p>
    <w:p w14:paraId="79E1623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other circumstances of a kind determined by the Registrar exist in relation to the residence.</w:t>
      </w:r>
    </w:p>
    <w:p w14:paraId="5681605F"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16—Insertion of regulation 17A</w:t>
      </w:r>
    </w:p>
    <w:p w14:paraId="3C5B038A"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After regulation 17 insert:</w:t>
      </w:r>
    </w:p>
    <w:p w14:paraId="0AA3959C"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17A—Provision of payee details</w:t>
      </w:r>
    </w:p>
    <w:p w14:paraId="40AF384B" w14:textId="77777777" w:rsidR="00416D01" w:rsidRPr="00416D01" w:rsidRDefault="00416D01" w:rsidP="00416D01">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For the purposes of sections 24(5b) and 27(18) of the Act, payee details must be provided to the operator in writing and must include—</w:t>
      </w:r>
    </w:p>
    <w:p w14:paraId="1D0F7F0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the resident's name, residential address and contact details; and</w:t>
      </w:r>
    </w:p>
    <w:p w14:paraId="7689B51D"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all necessary banking information for the operator to make the payment (such as, if payment is to be made by electronic funds transfer, the account name, account number and BSB number for the account into which payment will be made); and</w:t>
      </w:r>
    </w:p>
    <w:p w14:paraId="1BF61DD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any other information reasonably required by the operator to enable the payment to be made.</w:t>
      </w:r>
    </w:p>
    <w:p w14:paraId="4BE4525E"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9" w:name="Elkera_Print_BK24"/>
      <w:r w:rsidRPr="00416D01">
        <w:rPr>
          <w:rFonts w:eastAsia="Times New Roman"/>
          <w:b/>
          <w:bCs/>
          <w:color w:val="000000"/>
          <w:sz w:val="26"/>
          <w:szCs w:val="26"/>
          <w:lang w:eastAsia="en-AU"/>
          <w14:ligatures w14:val="standardContextual"/>
        </w:rPr>
        <w:t>17—Amendment of regulation 18—Dispute resolution policy (section 45 of Act)</w:t>
      </w:r>
      <w:bookmarkEnd w:id="429"/>
    </w:p>
    <w:p w14:paraId="1138CB00" w14:textId="2C6E3F08" w:rsidR="00BB5DE5" w:rsidRDefault="00416D01" w:rsidP="00416D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Regulation 18(a)—delete paragraph (a)</w:t>
      </w:r>
    </w:p>
    <w:p w14:paraId="1C74D021"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AD0733A"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(2)</w:t>
      </w:r>
      <w:r w:rsidRPr="00416D01">
        <w:rPr>
          <w:rFonts w:eastAsia="Times New Roman"/>
          <w:color w:val="000000"/>
          <w:sz w:val="23"/>
          <w:szCs w:val="23"/>
          <w:lang w:eastAsia="en-AU"/>
          <w14:ligatures w14:val="standardContextual"/>
        </w:rPr>
        <w:tab/>
        <w:t>Regulation 18(b)—after "resident" insert:</w:t>
      </w:r>
    </w:p>
    <w:p w14:paraId="39E142B3"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including how and to whom (which may be a specified person or the person for the time being holding or acting in a specified position at the retirement village) the complaint must be submitted</w:t>
      </w:r>
    </w:p>
    <w:p w14:paraId="11C8A393"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Regulation 18(c)—delete "including that an operator will respond within a time that must be specified in the dispute resolution policy" and substitute:</w:t>
      </w:r>
    </w:p>
    <w:p w14:paraId="5937EA02"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including the time within which—</w:t>
      </w:r>
    </w:p>
    <w:p w14:paraId="511943FD"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an acknowledgement of the complaint will be given to the resident; and</w:t>
      </w:r>
    </w:p>
    <w:p w14:paraId="51522503"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the operator will respond to substance of the complaint;</w:t>
      </w:r>
    </w:p>
    <w:p w14:paraId="5762D7B4"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Regulation 18(d)—after "another resident" insert:</w:t>
      </w:r>
    </w:p>
    <w:p w14:paraId="05F9F8A6"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and the circumstances and manner in which the operator may provide assistance in the resolution of the dispute</w:t>
      </w:r>
    </w:p>
    <w:p w14:paraId="61C4AD21"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Regulation 18(j)—after "that variation" insert:</w:t>
      </w:r>
    </w:p>
    <w:p w14:paraId="5132A700"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(other than a variation that is necessary to comply with any Act or law, such as an update as to whom a complaint must be submitted)</w:t>
      </w:r>
    </w:p>
    <w:p w14:paraId="1F3D86F0"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(6)</w:t>
      </w:r>
      <w:r w:rsidRPr="00416D01">
        <w:rPr>
          <w:rFonts w:eastAsia="Times New Roman"/>
          <w:color w:val="000000"/>
          <w:sz w:val="23"/>
          <w:szCs w:val="23"/>
          <w:lang w:eastAsia="en-AU"/>
          <w14:ligatures w14:val="standardContextual"/>
        </w:rPr>
        <w:tab/>
        <w:t>Regulation 18—after its present contents as amended by this regulation (now to be designated as subregulation (1)) insert:</w:t>
      </w:r>
    </w:p>
    <w:p w14:paraId="166E7A29"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The operator of a retirement village must, on making a variation to the dispute resolution policy for the village and whether the variation required the agreement of a majority of residents or not, provide to each residence of the village notice in writing of the variation.</w:t>
      </w:r>
    </w:p>
    <w:p w14:paraId="2751299F"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18—Insertion of regulations 19A, 19B, 19C, 19D and 19E</w:t>
      </w:r>
    </w:p>
    <w:p w14:paraId="6FB69179"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After regulation 19 insert:</w:t>
      </w:r>
    </w:p>
    <w:p w14:paraId="49F7D18F"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19A—Consent to lease of land in retirement village</w:t>
      </w:r>
    </w:p>
    <w:p w14:paraId="432F2581"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30" w:name="ide9b3eb34_edd3_4d3c_bb01_08d04deade"/>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For the purposes of sections 57(2) and 57A(2) of the Act, the consent of a former resident must be—</w:t>
      </w:r>
      <w:bookmarkEnd w:id="430"/>
    </w:p>
    <w:p w14:paraId="02BE957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provided in writing; and</w:t>
      </w:r>
    </w:p>
    <w:p w14:paraId="6477BFC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informed consent.</w:t>
      </w:r>
    </w:p>
    <w:p w14:paraId="61052A2F"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 xml:space="preserve">In </w:t>
      </w:r>
      <w:hyperlink w:anchor="ide9b3eb34_edd3_4d3c_bb01_08d04deade" w:history="1">
        <w:r w:rsidRPr="00416D01">
          <w:rPr>
            <w:rFonts w:eastAsia="Times New Roman"/>
            <w:color w:val="000000"/>
            <w:sz w:val="23"/>
            <w:szCs w:val="23"/>
            <w:lang w:eastAsia="en-AU"/>
            <w14:ligatures w14:val="standardContextual"/>
          </w:rPr>
          <w:t>subregulation (1)</w:t>
        </w:r>
      </w:hyperlink>
      <w:r w:rsidRPr="00416D01">
        <w:rPr>
          <w:rFonts w:eastAsia="Times New Roman"/>
          <w:color w:val="000000"/>
          <w:sz w:val="23"/>
          <w:szCs w:val="23"/>
          <w:lang w:eastAsia="en-AU"/>
          <w14:ligatures w14:val="standardContextual"/>
        </w:rPr>
        <w:t xml:space="preserve">, consent is </w:t>
      </w:r>
      <w:r w:rsidRPr="00416D01">
        <w:rPr>
          <w:rFonts w:eastAsia="Times New Roman"/>
          <w:b/>
          <w:bCs/>
          <w:i/>
          <w:iCs/>
          <w:color w:val="000000"/>
          <w:sz w:val="23"/>
          <w:szCs w:val="23"/>
          <w:lang w:eastAsia="en-AU"/>
          <w14:ligatures w14:val="standardContextual"/>
        </w:rPr>
        <w:t>informed consent</w:t>
      </w:r>
      <w:r w:rsidRPr="00416D01">
        <w:rPr>
          <w:rFonts w:eastAsia="Times New Roman"/>
          <w:color w:val="000000"/>
          <w:sz w:val="23"/>
          <w:szCs w:val="23"/>
          <w:lang w:eastAsia="en-AU"/>
          <w14:ligatures w14:val="standardContextual"/>
        </w:rPr>
        <w:t xml:space="preserve"> if it is provided after the operator has—</w:t>
      </w:r>
    </w:p>
    <w:p w14:paraId="1E302558"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provided to the former resident (or their representative) detailed information in writing about the proposed lease or licence (as the case requires); and</w:t>
      </w:r>
    </w:p>
    <w:p w14:paraId="38155365"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allowed a reasonable period (which must be not less than 10 business days) within which the former resident (or their representative) may ask questions about the proposal; and</w:t>
      </w:r>
    </w:p>
    <w:p w14:paraId="252D2CE6" w14:textId="2FEDE250" w:rsidR="00BB5DE5"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answered in writing any questions the former resident (or their representative) has asked the operator in response to the proposal.</w:t>
      </w:r>
    </w:p>
    <w:p w14:paraId="540FE0B7"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12039E9"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lastRenderedPageBreak/>
        <w:t>19B—Termination of retirement village scheme on application to Supreme Court</w:t>
      </w:r>
    </w:p>
    <w:p w14:paraId="5C5A8EFD" w14:textId="77777777" w:rsidR="00416D01" w:rsidRPr="00416D01" w:rsidRDefault="00416D01" w:rsidP="00416D01">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For the purposes of section 58(2b), the following information is prescribed:</w:t>
      </w:r>
    </w:p>
    <w:p w14:paraId="192C569B"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 map showing the land that is the subject of the proposed termination;</w:t>
      </w:r>
    </w:p>
    <w:p w14:paraId="550331DA"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the reasons for the proposed termination and the proposed future use of the land that will be removed from the retirement village scheme;</w:t>
      </w:r>
    </w:p>
    <w:p w14:paraId="769C653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the implementation plan and timing for the proposed termination (including the consultation process and the timing for providing questions and comments);</w:t>
      </w:r>
    </w:p>
    <w:p w14:paraId="68E3D3D5"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any reasonably foreseeable effects on the residences in the retirement village and village amenity (for individual residents and the village generally);</w:t>
      </w:r>
    </w:p>
    <w:p w14:paraId="07427F1B"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(e)</w:t>
      </w:r>
      <w:r w:rsidRPr="00416D01">
        <w:rPr>
          <w:rFonts w:eastAsia="Times New Roman"/>
          <w:color w:val="000000"/>
          <w:sz w:val="23"/>
          <w:szCs w:val="23"/>
          <w:lang w:eastAsia="en-AU"/>
          <w14:ligatures w14:val="standardContextual"/>
        </w:rPr>
        <w:tab/>
        <w:t>the process and manner in which a resident may submit questions, comments or requests for further information in relation to the notice.</w:t>
      </w:r>
    </w:p>
    <w:p w14:paraId="1D12D16E"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19C—Termination of part of retirement village scheme on application to Minister</w:t>
      </w:r>
    </w:p>
    <w:p w14:paraId="75F91949"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For the purposes of section 59A(3)(a), the following information is prescribed:</w:t>
      </w:r>
    </w:p>
    <w:p w14:paraId="704C0BCA"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 map showing the land that is the subject of the proposed termination;</w:t>
      </w:r>
    </w:p>
    <w:p w14:paraId="306D3168"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the reasons for the proposed termination and the proposed future use of the land that will be removed from the retirement village scheme;</w:t>
      </w:r>
    </w:p>
    <w:p w14:paraId="680D2158"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the implementation plan and timing for the proposed termination (including the consultation process and the timing for providing questions and comments);</w:t>
      </w:r>
    </w:p>
    <w:p w14:paraId="5AC52082"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any reasonably foreseeable effects on the residences in the retirement village and village amenity (for individual residents and the village generally);</w:t>
      </w:r>
    </w:p>
    <w:p w14:paraId="577CF88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(e)</w:t>
      </w:r>
      <w:r w:rsidRPr="00416D01">
        <w:rPr>
          <w:rFonts w:eastAsia="Times New Roman"/>
          <w:color w:val="000000"/>
          <w:sz w:val="23"/>
          <w:szCs w:val="23"/>
          <w:lang w:eastAsia="en-AU"/>
          <w14:ligatures w14:val="standardContextual"/>
        </w:rPr>
        <w:tab/>
        <w:t>the process and manner in which a resident may submit questions, comments or requests for further information in relation to the notice.</w:t>
      </w:r>
    </w:p>
    <w:p w14:paraId="705698E5"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For the purposes of section 59A(4)(d), the following information must be submitted with an application under section 59A(1) of the Act:</w:t>
      </w:r>
    </w:p>
    <w:p w14:paraId="45348B3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a map showing the land that is the subject of the proposed termination;</w:t>
      </w:r>
    </w:p>
    <w:p w14:paraId="0BCCB656" w14:textId="34E9123D" w:rsidR="00BB5DE5"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the reasons for the proposed termination and the proposed future use of the land that will be removed from the retirement village scheme;</w:t>
      </w:r>
    </w:p>
    <w:p w14:paraId="6C6D8872"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77BCB6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(c)</w:t>
      </w:r>
      <w:r w:rsidRPr="00416D01">
        <w:rPr>
          <w:rFonts w:eastAsia="Times New Roman"/>
          <w:color w:val="000000"/>
          <w:sz w:val="23"/>
          <w:szCs w:val="23"/>
          <w:lang w:eastAsia="en-AU"/>
          <w14:ligatures w14:val="standardContextual"/>
        </w:rPr>
        <w:tab/>
        <w:t>a description of the consultation process that was undertaken under section 59A(3) of the Act and the outcomes of that consultation (including any reasons provided by any residents in opposing the proposed termination);</w:t>
      </w:r>
    </w:p>
    <w:p w14:paraId="7337C15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any reasonably foreseeable effects on the residences in the retirement village and village amenity (for individual residents and the village generally);</w:t>
      </w:r>
    </w:p>
    <w:p w14:paraId="3D009E37"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(e)</w:t>
      </w:r>
      <w:r w:rsidRPr="00416D01">
        <w:rPr>
          <w:rFonts w:eastAsia="Times New Roman"/>
          <w:color w:val="000000"/>
          <w:sz w:val="23"/>
          <w:szCs w:val="23"/>
          <w:lang w:eastAsia="en-AU"/>
          <w14:ligatures w14:val="standardContextual"/>
        </w:rPr>
        <w:tab/>
        <w:t>contact details of the applicant.</w:t>
      </w:r>
    </w:p>
    <w:p w14:paraId="5BC270A1"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19D—Disqualified persons not to be involved in certain roles or functions at retirement village</w:t>
      </w:r>
    </w:p>
    <w:p w14:paraId="4D67C9B9"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For the purposes of section 60(2) and (3) of the Act, the following requirements apply for the purposes of an operator being satisfied that a person is not a disqualified person (within the meaning of section 60 of the Act):</w:t>
      </w:r>
    </w:p>
    <w:p w14:paraId="21B29401"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431" w:name="id99811863_5b1c_474d_9dfe_585d4c2d0a"/>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the person must provide to the operator—</w:t>
      </w:r>
      <w:bookmarkEnd w:id="431"/>
    </w:p>
    <w:p w14:paraId="5AE49D03"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w:t>
      </w:r>
      <w:r w:rsidRPr="00416D01">
        <w:rPr>
          <w:rFonts w:eastAsia="Times New Roman"/>
          <w:color w:val="000000"/>
          <w:sz w:val="23"/>
          <w:szCs w:val="23"/>
          <w:lang w:eastAsia="en-AU"/>
          <w14:ligatures w14:val="standardContextual"/>
        </w:rPr>
        <w:tab/>
        <w:t>a criminal history report prepared by South Australia Police or the ACC (or an ACC accredited agency or broker) with respect to the person (being a report that is less than 6 months old); and</w:t>
      </w:r>
    </w:p>
    <w:p w14:paraId="0F687434" w14:textId="77777777" w:rsidR="00416D01" w:rsidRPr="00416D01" w:rsidRDefault="00416D01" w:rsidP="00416D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(ii)</w:t>
      </w:r>
      <w:r w:rsidRPr="00416D01">
        <w:rPr>
          <w:rFonts w:eastAsia="Times New Roman"/>
          <w:color w:val="000000"/>
          <w:sz w:val="23"/>
          <w:szCs w:val="23"/>
          <w:lang w:eastAsia="en-AU"/>
          <w14:ligatures w14:val="standardContextual"/>
        </w:rPr>
        <w:tab/>
        <w:t>a statutory declaration from the person as to whether prescribed circumstances exist in relation to the person;</w:t>
      </w:r>
    </w:p>
    <w:p w14:paraId="353EA8E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 xml:space="preserve">the operator must have regard to the materials provided by the person under </w:t>
      </w:r>
      <w:hyperlink w:anchor="id99811863_5b1c_474d_9dfe_585d4c2d0a" w:history="1">
        <w:r w:rsidRPr="00416D01">
          <w:rPr>
            <w:rFonts w:eastAsia="Times New Roman"/>
            <w:color w:val="000000"/>
            <w:sz w:val="23"/>
            <w:szCs w:val="23"/>
            <w:lang w:eastAsia="en-AU"/>
            <w14:ligatures w14:val="standardContextual"/>
          </w:rPr>
          <w:t>paragraph (a)</w:t>
        </w:r>
      </w:hyperlink>
      <w:r w:rsidRPr="00416D01">
        <w:rPr>
          <w:rFonts w:eastAsia="Times New Roman"/>
          <w:color w:val="000000"/>
          <w:sz w:val="23"/>
          <w:szCs w:val="23"/>
          <w:lang w:eastAsia="en-AU"/>
          <w14:ligatures w14:val="standardContextual"/>
        </w:rPr>
        <w:t xml:space="preserve"> in determining whether the person is a disqualified person under section 60 of the Act.</w:t>
      </w:r>
    </w:p>
    <w:p w14:paraId="3FE1D692"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 xml:space="preserve">For the purposes of paragraph (d) in the definition of </w:t>
      </w:r>
      <w:r w:rsidRPr="00416D01">
        <w:rPr>
          <w:rFonts w:eastAsia="Times New Roman"/>
          <w:b/>
          <w:bCs/>
          <w:i/>
          <w:iCs/>
          <w:color w:val="000000"/>
          <w:sz w:val="23"/>
          <w:szCs w:val="23"/>
          <w:lang w:eastAsia="en-AU"/>
          <w14:ligatures w14:val="standardContextual"/>
        </w:rPr>
        <w:t>prescribed circumstances</w:t>
      </w:r>
      <w:r w:rsidRPr="00416D01">
        <w:rPr>
          <w:rFonts w:eastAsia="Times New Roman"/>
          <w:color w:val="000000"/>
          <w:sz w:val="23"/>
          <w:szCs w:val="23"/>
          <w:lang w:eastAsia="en-AU"/>
          <w14:ligatures w14:val="standardContextual"/>
        </w:rPr>
        <w:t xml:space="preserve"> in section 60(6) of the Act, the following circumstances in relation to a person are prescribed:</w:t>
      </w:r>
    </w:p>
    <w:p w14:paraId="55F16B2A"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 xml:space="preserve">where a banning order under the </w:t>
      </w:r>
      <w:r w:rsidRPr="00416D01">
        <w:rPr>
          <w:rFonts w:eastAsia="Times New Roman"/>
          <w:i/>
          <w:iCs/>
          <w:color w:val="000000"/>
          <w:sz w:val="23"/>
          <w:szCs w:val="23"/>
          <w:lang w:eastAsia="en-AU"/>
          <w14:ligatures w14:val="standardContextual"/>
        </w:rPr>
        <w:t>Aged Care Quality and Safety Act 2018</w:t>
      </w:r>
      <w:r w:rsidRPr="00416D01">
        <w:rPr>
          <w:rFonts w:eastAsia="Times New Roman"/>
          <w:color w:val="000000"/>
          <w:sz w:val="23"/>
          <w:szCs w:val="23"/>
          <w:lang w:eastAsia="en-AU"/>
          <w14:ligatures w14:val="standardContextual"/>
        </w:rPr>
        <w:t xml:space="preserve"> of the Commonwealth against the person is in force;</w:t>
      </w:r>
    </w:p>
    <w:p w14:paraId="29A9191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 xml:space="preserve">where a banning order under the </w:t>
      </w:r>
      <w:r w:rsidRPr="00416D01">
        <w:rPr>
          <w:rFonts w:eastAsia="Times New Roman"/>
          <w:i/>
          <w:iCs/>
          <w:color w:val="000000"/>
          <w:sz w:val="23"/>
          <w:szCs w:val="23"/>
          <w:lang w:eastAsia="en-AU"/>
          <w14:ligatures w14:val="standardContextual"/>
        </w:rPr>
        <w:t>National Disability Insurance Scheme Act 2013</w:t>
      </w:r>
      <w:r w:rsidRPr="00416D01">
        <w:rPr>
          <w:rFonts w:eastAsia="Times New Roman"/>
          <w:color w:val="000000"/>
          <w:sz w:val="23"/>
          <w:szCs w:val="23"/>
          <w:lang w:eastAsia="en-AU"/>
          <w14:ligatures w14:val="standardContextual"/>
        </w:rPr>
        <w:t xml:space="preserve"> of the Commonwealth against the person is in force.</w:t>
      </w:r>
    </w:p>
    <w:p w14:paraId="5733E08B"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In this regulation—</w:t>
      </w:r>
    </w:p>
    <w:p w14:paraId="7C3A0AE3"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16D01">
        <w:rPr>
          <w:rFonts w:eastAsia="Times New Roman"/>
          <w:b/>
          <w:bCs/>
          <w:i/>
          <w:iCs/>
          <w:color w:val="000000"/>
          <w:sz w:val="23"/>
          <w:szCs w:val="23"/>
          <w:lang w:eastAsia="en-AU"/>
          <w14:ligatures w14:val="standardContextual"/>
        </w:rPr>
        <w:t>ACC</w:t>
      </w:r>
      <w:r w:rsidRPr="00416D01">
        <w:rPr>
          <w:rFonts w:eastAsia="Times New Roman"/>
          <w:color w:val="000000"/>
          <w:sz w:val="23"/>
          <w:szCs w:val="23"/>
          <w:lang w:eastAsia="en-AU"/>
          <w14:ligatures w14:val="standardContextual"/>
        </w:rPr>
        <w:t xml:space="preserve"> means the Australian Crime Commission established under the </w:t>
      </w:r>
      <w:r w:rsidRPr="00416D01">
        <w:rPr>
          <w:rFonts w:eastAsia="Times New Roman"/>
          <w:i/>
          <w:iCs/>
          <w:color w:val="000000"/>
          <w:sz w:val="23"/>
          <w:szCs w:val="23"/>
          <w:lang w:eastAsia="en-AU"/>
          <w14:ligatures w14:val="standardContextual"/>
        </w:rPr>
        <w:t>Australian Crime Commission Act 2002</w:t>
      </w:r>
      <w:r w:rsidRPr="00416D01">
        <w:rPr>
          <w:rFonts w:eastAsia="Times New Roman"/>
          <w:color w:val="000000"/>
          <w:sz w:val="23"/>
          <w:szCs w:val="23"/>
          <w:lang w:eastAsia="en-AU"/>
          <w14:ligatures w14:val="standardContextual"/>
        </w:rPr>
        <w:t xml:space="preserve"> of the Commonwealth.</w:t>
      </w:r>
    </w:p>
    <w:p w14:paraId="59C090DD" w14:textId="77777777" w:rsidR="00416D01" w:rsidRPr="00416D01" w:rsidRDefault="00416D01" w:rsidP="00416D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19E—Unclaimed property</w:t>
      </w:r>
    </w:p>
    <w:p w14:paraId="4B82456D"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32" w:name="ida7ba2ca3_3f6a_4512_bb1b_220f95120a"/>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Subject to this regulation, if property is left at a residence in the village or elsewhere in the village after the resident has ceased to reside in the residence, the operator of the retirement village must—</w:t>
      </w:r>
      <w:bookmarkEnd w:id="432"/>
    </w:p>
    <w:p w14:paraId="5FAE49F3" w14:textId="51086E71" w:rsidR="00BB5DE5"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securely store the property and make it available for collection by the former resident; and</w:t>
      </w:r>
    </w:p>
    <w:p w14:paraId="4B81D12C"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C57E9EF"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433" w:name="id1f08607f_bfef_4c8e_9576_d1d5ce16fa"/>
      <w:r w:rsidRPr="00416D01">
        <w:rPr>
          <w:rFonts w:eastAsia="Times New Roman"/>
          <w:color w:val="000000"/>
          <w:sz w:val="23"/>
          <w:szCs w:val="23"/>
          <w:lang w:eastAsia="en-AU"/>
          <w14:ligatures w14:val="standardContextual"/>
        </w:rPr>
        <w:lastRenderedPageBreak/>
        <w:tab/>
        <w:t>(b)</w:t>
      </w:r>
      <w:r w:rsidRPr="00416D01">
        <w:rPr>
          <w:rFonts w:eastAsia="Times New Roman"/>
          <w:color w:val="000000"/>
          <w:sz w:val="23"/>
          <w:szCs w:val="23"/>
          <w:lang w:eastAsia="en-AU"/>
          <w14:ligatures w14:val="standardContextual"/>
        </w:rPr>
        <w:tab/>
        <w:t>by notice in writing to the former resident request that the property be collected.</w:t>
      </w:r>
      <w:bookmarkEnd w:id="433"/>
    </w:p>
    <w:p w14:paraId="13B65CEE"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 xml:space="preserve">If an item of property (other than a personal document) has not been collected after 30 days following a request to collect the property made in accordance with </w:t>
      </w:r>
      <w:hyperlink w:anchor="id1f08607f_bfef_4c8e_9576_d1d5ce16fa" w:history="1">
        <w:r w:rsidRPr="00416D01">
          <w:rPr>
            <w:rFonts w:eastAsia="Times New Roman"/>
            <w:color w:val="000000"/>
            <w:sz w:val="23"/>
            <w:szCs w:val="23"/>
            <w:lang w:eastAsia="en-AU"/>
            <w14:ligatures w14:val="standardContextual"/>
          </w:rPr>
          <w:t>subregulation (1)(b)</w:t>
        </w:r>
      </w:hyperlink>
      <w:r w:rsidRPr="00416D01">
        <w:rPr>
          <w:rFonts w:eastAsia="Times New Roman"/>
          <w:color w:val="000000"/>
          <w:sz w:val="23"/>
          <w:szCs w:val="23"/>
          <w:lang w:eastAsia="en-AU"/>
          <w14:ligatures w14:val="standardContextual"/>
        </w:rPr>
        <w:t>, the operator of the retirement village may—</w:t>
      </w:r>
    </w:p>
    <w:p w14:paraId="5617C78A"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in relation to an item of property reasonably valued at less than $100—give the item to a charitable organisation or otherwise dispose of it; or</w:t>
      </w:r>
    </w:p>
    <w:p w14:paraId="694ED1FF"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in any other case—sell the item.</w:t>
      </w:r>
    </w:p>
    <w:p w14:paraId="0FDB0DD0"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(3)</w:t>
      </w:r>
      <w:r w:rsidRPr="00416D01">
        <w:rPr>
          <w:rFonts w:eastAsia="Times New Roman"/>
          <w:color w:val="000000"/>
          <w:sz w:val="23"/>
          <w:szCs w:val="23"/>
          <w:lang w:eastAsia="en-AU"/>
          <w14:ligatures w14:val="standardContextual"/>
        </w:rPr>
        <w:tab/>
        <w:t xml:space="preserve">If a personal document has not been collected after 30 days following a request to collect the document made in accordance with </w:t>
      </w:r>
      <w:hyperlink w:anchor="id1f08607f_bfef_4c8e_9576_d1d5ce16fa" w:history="1">
        <w:r w:rsidRPr="00416D01">
          <w:rPr>
            <w:rFonts w:eastAsia="Times New Roman"/>
            <w:color w:val="000000"/>
            <w:sz w:val="23"/>
            <w:szCs w:val="23"/>
            <w:lang w:eastAsia="en-AU"/>
            <w14:ligatures w14:val="standardContextual"/>
          </w:rPr>
          <w:t>subregulation (1)(b)</w:t>
        </w:r>
      </w:hyperlink>
      <w:r w:rsidRPr="00416D01">
        <w:rPr>
          <w:rFonts w:eastAsia="Times New Roman"/>
          <w:color w:val="000000"/>
          <w:sz w:val="23"/>
          <w:szCs w:val="23"/>
          <w:lang w:eastAsia="en-AU"/>
          <w14:ligatures w14:val="standardContextual"/>
        </w:rPr>
        <w:t>, the operator of the retirement village must—</w:t>
      </w:r>
    </w:p>
    <w:p w14:paraId="61ADA6CC"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forward the document to the former resident's forwarding address; or</w:t>
      </w:r>
    </w:p>
    <w:p w14:paraId="5DE4CFD3"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if the operator does not have a forwarding address, return the document to its place of origin (if any) or, if the document's place of origin cannot be found, dispose of it in a secure manner (unless disposal of the document is prohibited under another Act or law).</w:t>
      </w:r>
    </w:p>
    <w:p w14:paraId="2E05CB30"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(4)</w:t>
      </w:r>
      <w:r w:rsidRPr="00416D01">
        <w:rPr>
          <w:rFonts w:eastAsia="Times New Roman"/>
          <w:color w:val="000000"/>
          <w:sz w:val="23"/>
          <w:szCs w:val="23"/>
          <w:lang w:eastAsia="en-AU"/>
          <w14:ligatures w14:val="standardContextual"/>
        </w:rPr>
        <w:tab/>
        <w:t>Despite any other provision of this regulation, an operator may, at any time after recovering vacant possession of a residence, remove from the premises and destroy or dispose of property left at the residence consisting of perishable goods or goods that would be unsafe or unhealthy to store.</w:t>
      </w:r>
    </w:p>
    <w:p w14:paraId="2F50BBBE"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34" w:name="id7de74a7d_03d4_43d1_9bc4_a3e3c288b2"/>
      <w:r w:rsidRPr="00416D01">
        <w:rPr>
          <w:rFonts w:eastAsia="Times New Roman"/>
          <w:color w:val="000000"/>
          <w:sz w:val="23"/>
          <w:szCs w:val="23"/>
          <w:lang w:eastAsia="en-AU"/>
          <w14:ligatures w14:val="standardContextual"/>
        </w:rPr>
        <w:tab/>
        <w:t>(5)</w:t>
      </w:r>
      <w:r w:rsidRPr="00416D01">
        <w:rPr>
          <w:rFonts w:eastAsia="Times New Roman"/>
          <w:color w:val="000000"/>
          <w:sz w:val="23"/>
          <w:szCs w:val="23"/>
          <w:lang w:eastAsia="en-AU"/>
          <w14:ligatures w14:val="standardContextual"/>
        </w:rPr>
        <w:tab/>
        <w:t>An operator may charge a former resident the reasonable costs incurred by the operator in dealing with property in accordance with this regulation, and any other reasonable costs incurred by the operator as a result of the property being left at the residence, and those costs may be—</w:t>
      </w:r>
      <w:bookmarkEnd w:id="434"/>
    </w:p>
    <w:p w14:paraId="473F308E"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deducted from any amount payable as the exit entitlement for the residence; or</w:t>
      </w:r>
    </w:p>
    <w:p w14:paraId="5E368AD4"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435" w:name="idea4103b1_fee0_4fa9_9d73_62e3b37c6f"/>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retained by the operator from any proceeds following the sale of the property.</w:t>
      </w:r>
      <w:bookmarkEnd w:id="435"/>
    </w:p>
    <w:p w14:paraId="6D78DFA6"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(6)</w:t>
      </w:r>
      <w:r w:rsidRPr="00416D01">
        <w:rPr>
          <w:rFonts w:eastAsia="Times New Roman"/>
          <w:color w:val="000000"/>
          <w:sz w:val="23"/>
          <w:szCs w:val="23"/>
          <w:lang w:eastAsia="en-AU"/>
          <w14:ligatures w14:val="standardContextual"/>
        </w:rPr>
        <w:tab/>
        <w:t xml:space="preserve">An operator who sells property in accordance with this regulation must pay to the former resident the proceeds of the sale less any amount retained by the operator under </w:t>
      </w:r>
      <w:hyperlink w:anchor="idea4103b1_fee0_4fa9_9d73_62e3b37c6f" w:history="1">
        <w:r w:rsidRPr="00416D01">
          <w:rPr>
            <w:rFonts w:eastAsia="Times New Roman"/>
            <w:color w:val="000000"/>
            <w:sz w:val="23"/>
            <w:szCs w:val="23"/>
            <w:lang w:eastAsia="en-AU"/>
            <w14:ligatures w14:val="standardContextual"/>
          </w:rPr>
          <w:t>subregulation (5)(b)</w:t>
        </w:r>
      </w:hyperlink>
      <w:r w:rsidRPr="00416D01">
        <w:rPr>
          <w:rFonts w:eastAsia="Times New Roman"/>
          <w:color w:val="000000"/>
          <w:sz w:val="23"/>
          <w:szCs w:val="23"/>
          <w:lang w:eastAsia="en-AU"/>
          <w14:ligatures w14:val="standardContextual"/>
        </w:rPr>
        <w:t>.</w:t>
      </w:r>
    </w:p>
    <w:p w14:paraId="5128CE14"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(7)</w:t>
      </w:r>
      <w:r w:rsidRPr="00416D01">
        <w:rPr>
          <w:rFonts w:eastAsia="Times New Roman"/>
          <w:color w:val="000000"/>
          <w:sz w:val="23"/>
          <w:szCs w:val="23"/>
          <w:lang w:eastAsia="en-AU"/>
          <w14:ligatures w14:val="standardContextual"/>
        </w:rPr>
        <w:tab/>
        <w:t xml:space="preserve">A notice for collection of property under </w:t>
      </w:r>
      <w:hyperlink w:anchor="id1f08607f_bfef_4c8e_9576_d1d5ce16fa" w:history="1">
        <w:r w:rsidRPr="00416D01">
          <w:rPr>
            <w:rFonts w:eastAsia="Times New Roman"/>
            <w:color w:val="000000"/>
            <w:sz w:val="23"/>
            <w:szCs w:val="23"/>
            <w:lang w:eastAsia="en-AU"/>
            <w14:ligatures w14:val="standardContextual"/>
          </w:rPr>
          <w:t>subregulation (1)(b)</w:t>
        </w:r>
      </w:hyperlink>
      <w:r w:rsidRPr="00416D01">
        <w:rPr>
          <w:rFonts w:eastAsia="Times New Roman"/>
          <w:color w:val="000000"/>
          <w:sz w:val="23"/>
          <w:szCs w:val="23"/>
          <w:lang w:eastAsia="en-AU"/>
          <w14:ligatures w14:val="standardContextual"/>
        </w:rPr>
        <w:t xml:space="preserve"> must—</w:t>
      </w:r>
    </w:p>
    <w:p w14:paraId="2576A8F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(a)</w:t>
      </w:r>
      <w:r w:rsidRPr="00416D01">
        <w:rPr>
          <w:rFonts w:eastAsia="Times New Roman"/>
          <w:color w:val="000000"/>
          <w:sz w:val="23"/>
          <w:szCs w:val="23"/>
          <w:lang w:eastAsia="en-AU"/>
          <w14:ligatures w14:val="standardContextual"/>
        </w:rPr>
        <w:tab/>
        <w:t>identify the property; and</w:t>
      </w:r>
    </w:p>
    <w:p w14:paraId="543CBB16"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(b)</w:t>
      </w:r>
      <w:r w:rsidRPr="00416D01">
        <w:rPr>
          <w:rFonts w:eastAsia="Times New Roman"/>
          <w:color w:val="000000"/>
          <w:sz w:val="23"/>
          <w:szCs w:val="23"/>
          <w:lang w:eastAsia="en-AU"/>
          <w14:ligatures w14:val="standardContextual"/>
        </w:rPr>
        <w:tab/>
        <w:t>specify where the property may be collected from; and</w:t>
      </w:r>
    </w:p>
    <w:p w14:paraId="38E20D0A" w14:textId="77777777" w:rsidR="00416D01" w:rsidRPr="00416D01"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(c)</w:t>
      </w:r>
      <w:r w:rsidRPr="00416D01">
        <w:rPr>
          <w:rFonts w:eastAsia="Times New Roman"/>
          <w:color w:val="000000"/>
          <w:sz w:val="23"/>
          <w:szCs w:val="23"/>
          <w:lang w:eastAsia="en-AU"/>
          <w14:ligatures w14:val="standardContextual"/>
        </w:rPr>
        <w:tab/>
        <w:t>specify the time period within which the property must be collected and that, if not collected, it may be sold or disposed of; and</w:t>
      </w:r>
    </w:p>
    <w:p w14:paraId="531B0E80" w14:textId="3118E341" w:rsidR="00BB5DE5" w:rsidRDefault="00416D01" w:rsidP="00416D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(d)</w:t>
      </w:r>
      <w:r w:rsidRPr="00416D01">
        <w:rPr>
          <w:rFonts w:eastAsia="Times New Roman"/>
          <w:color w:val="000000"/>
          <w:sz w:val="23"/>
          <w:szCs w:val="23"/>
          <w:lang w:eastAsia="en-AU"/>
          <w14:ligatures w14:val="standardContextual"/>
        </w:rPr>
        <w:tab/>
        <w:t>specify any costs applying in relation to the removal and storage of the property.</w:t>
      </w:r>
    </w:p>
    <w:p w14:paraId="22D3125A"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008247C"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lastRenderedPageBreak/>
        <w:tab/>
        <w:t>(8)</w:t>
      </w:r>
      <w:r w:rsidRPr="00416D01">
        <w:rPr>
          <w:rFonts w:eastAsia="Times New Roman"/>
          <w:color w:val="000000"/>
          <w:sz w:val="23"/>
          <w:szCs w:val="23"/>
          <w:lang w:eastAsia="en-AU"/>
          <w14:ligatures w14:val="standardContextual"/>
        </w:rPr>
        <w:tab/>
        <w:t>Nothing in this regulation prevents the operator and former resident from entering into an agreement in relation to dealing with unclaimed property of the former resident, in which case a provision of this regulation that is inconsistent with the agreement will not apply.</w:t>
      </w:r>
    </w:p>
    <w:p w14:paraId="636C76AC"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(9)</w:t>
      </w:r>
      <w:r w:rsidRPr="00416D01">
        <w:rPr>
          <w:rFonts w:eastAsia="Times New Roman"/>
          <w:color w:val="000000"/>
          <w:sz w:val="23"/>
          <w:szCs w:val="23"/>
          <w:lang w:eastAsia="en-AU"/>
          <w14:ligatures w14:val="standardContextual"/>
        </w:rPr>
        <w:tab/>
        <w:t>This regulation is in addition to, and does not derogate from, any other Act or law.</w:t>
      </w:r>
    </w:p>
    <w:p w14:paraId="53118537" w14:textId="77777777" w:rsidR="00416D01" w:rsidRPr="00416D01" w:rsidRDefault="00416D01" w:rsidP="00416D01">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Example—</w:t>
      </w:r>
    </w:p>
    <w:p w14:paraId="62307BED" w14:textId="77777777" w:rsidR="00416D01" w:rsidRPr="00416D01" w:rsidRDefault="00416D01" w:rsidP="00416D01">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 xml:space="preserve">An operator may rely on the provisions of the </w:t>
      </w:r>
      <w:hyperlink r:id="rId117" w:history="1">
        <w:r w:rsidRPr="00416D01">
          <w:rPr>
            <w:rFonts w:eastAsia="Times New Roman"/>
            <w:i/>
            <w:iCs/>
            <w:color w:val="000000"/>
            <w:sz w:val="20"/>
            <w:szCs w:val="20"/>
            <w:lang w:eastAsia="en-AU"/>
            <w14:ligatures w14:val="standardContextual"/>
          </w:rPr>
          <w:t>Unclaimed Goods Act 1987</w:t>
        </w:r>
      </w:hyperlink>
      <w:r w:rsidRPr="00416D01">
        <w:rPr>
          <w:rFonts w:eastAsia="Times New Roman"/>
          <w:color w:val="000000"/>
          <w:sz w:val="20"/>
          <w:szCs w:val="20"/>
          <w:lang w:eastAsia="en-AU"/>
          <w14:ligatures w14:val="standardContextual"/>
        </w:rPr>
        <w:t xml:space="preserve"> to dispose of property left at a residence.</w:t>
      </w:r>
    </w:p>
    <w:p w14:paraId="790F10FB" w14:textId="77777777" w:rsidR="00416D01" w:rsidRPr="00416D01" w:rsidRDefault="00416D01" w:rsidP="00416D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(10)</w:t>
      </w:r>
      <w:r w:rsidRPr="00416D01">
        <w:rPr>
          <w:rFonts w:eastAsia="Times New Roman"/>
          <w:color w:val="000000"/>
          <w:sz w:val="23"/>
          <w:szCs w:val="23"/>
          <w:lang w:eastAsia="en-AU"/>
          <w14:ligatures w14:val="standardContextual"/>
        </w:rPr>
        <w:tab/>
        <w:t xml:space="preserve">A reference in this regulation to a </w:t>
      </w:r>
      <w:r w:rsidRPr="00416D01">
        <w:rPr>
          <w:rFonts w:eastAsia="Times New Roman"/>
          <w:b/>
          <w:bCs/>
          <w:i/>
          <w:iCs/>
          <w:color w:val="000000"/>
          <w:sz w:val="23"/>
          <w:szCs w:val="23"/>
          <w:lang w:eastAsia="en-AU"/>
          <w14:ligatures w14:val="standardContextual"/>
        </w:rPr>
        <w:t>former resident</w:t>
      </w:r>
      <w:r w:rsidRPr="00416D01">
        <w:rPr>
          <w:rFonts w:eastAsia="Times New Roman"/>
          <w:color w:val="000000"/>
          <w:sz w:val="23"/>
          <w:szCs w:val="23"/>
          <w:lang w:eastAsia="en-AU"/>
          <w14:ligatures w14:val="standardContextual"/>
        </w:rPr>
        <w:t xml:space="preserve"> will be taken to include, as the case requires, the former resident's authorised representative or the executor or administrator of the former resident's estate.</w:t>
      </w:r>
    </w:p>
    <w:p w14:paraId="520B5DE0"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(11)</w:t>
      </w:r>
      <w:r w:rsidRPr="00416D01">
        <w:rPr>
          <w:rFonts w:eastAsia="Times New Roman"/>
          <w:color w:val="000000"/>
          <w:sz w:val="23"/>
          <w:szCs w:val="23"/>
          <w:lang w:eastAsia="en-AU"/>
          <w14:ligatures w14:val="standardContextual"/>
        </w:rPr>
        <w:tab/>
        <w:t>In this regulation—</w:t>
      </w:r>
    </w:p>
    <w:p w14:paraId="191D3B69"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16D01">
        <w:rPr>
          <w:rFonts w:eastAsia="Times New Roman"/>
          <w:b/>
          <w:bCs/>
          <w:i/>
          <w:iCs/>
          <w:color w:val="000000"/>
          <w:sz w:val="23"/>
          <w:szCs w:val="23"/>
          <w:lang w:eastAsia="en-AU"/>
          <w14:ligatures w14:val="standardContextual"/>
        </w:rPr>
        <w:t>personal documents</w:t>
      </w:r>
      <w:r w:rsidRPr="00416D01">
        <w:rPr>
          <w:rFonts w:eastAsia="Times New Roman"/>
          <w:color w:val="000000"/>
          <w:sz w:val="23"/>
          <w:szCs w:val="23"/>
          <w:lang w:eastAsia="en-AU"/>
          <w14:ligatures w14:val="standardContextual"/>
        </w:rPr>
        <w:t xml:space="preserve"> means official documents, photographs, correspondence or other documents that it would be reasonable to expect a person might wish to keep.</w:t>
      </w:r>
    </w:p>
    <w:p w14:paraId="117CE73D"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6" w:name="Elkera_Print_TOC31"/>
      <w:bookmarkStart w:id="437" w:name="Elkera_Print_BK31"/>
      <w:r w:rsidRPr="00416D01">
        <w:rPr>
          <w:rFonts w:eastAsia="Times New Roman"/>
          <w:b/>
          <w:bCs/>
          <w:color w:val="000000"/>
          <w:sz w:val="26"/>
          <w:szCs w:val="26"/>
          <w:lang w:eastAsia="en-AU"/>
          <w14:ligatures w14:val="standardContextual"/>
        </w:rPr>
        <w:t>19—Amendment of regulation 20—Offence</w:t>
      </w:r>
      <w:bookmarkEnd w:id="436"/>
      <w:bookmarkEnd w:id="437"/>
    </w:p>
    <w:p w14:paraId="7FBFDC8F"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(1)</w:t>
      </w:r>
      <w:r w:rsidRPr="00416D01">
        <w:rPr>
          <w:rFonts w:eastAsia="Times New Roman"/>
          <w:color w:val="000000"/>
          <w:sz w:val="23"/>
          <w:szCs w:val="23"/>
          <w:lang w:eastAsia="en-AU"/>
          <w14:ligatures w14:val="standardContextual"/>
        </w:rPr>
        <w:tab/>
        <w:t>Regulation 20, expiation fee—delete "$210" and substitute:</w:t>
      </w:r>
    </w:p>
    <w:p w14:paraId="7E7D4C23"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$315</w:t>
      </w:r>
    </w:p>
    <w:p w14:paraId="27DED407" w14:textId="77777777" w:rsidR="00416D01" w:rsidRPr="00416D01" w:rsidRDefault="00416D01" w:rsidP="00416D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Section 20—after its present contents (now to be designated as subregulation (1)) insert:</w:t>
      </w:r>
    </w:p>
    <w:p w14:paraId="2A78C704" w14:textId="77777777" w:rsidR="00416D01" w:rsidRPr="00416D01" w:rsidRDefault="00416D01" w:rsidP="00416D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ab/>
        <w:t>(2)</w:t>
      </w:r>
      <w:r w:rsidRPr="00416D01">
        <w:rPr>
          <w:rFonts w:eastAsia="Times New Roman"/>
          <w:color w:val="000000"/>
          <w:sz w:val="23"/>
          <w:szCs w:val="23"/>
          <w:lang w:eastAsia="en-AU"/>
          <w14:ligatures w14:val="standardContextual"/>
        </w:rPr>
        <w:tab/>
        <w:t>This regulation does not apply in relation to Schedule 1.</w:t>
      </w:r>
    </w:p>
    <w:p w14:paraId="7677C050" w14:textId="77777777" w:rsidR="00416D01" w:rsidRPr="00416D01" w:rsidRDefault="00416D01" w:rsidP="00416D01">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6B19B16D" w14:textId="77777777" w:rsidR="00416D01" w:rsidRPr="00416D01" w:rsidRDefault="00416D01" w:rsidP="00416D01">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It is an offence under section 63 of the Act for an operator, village manager, senior manager or any other person employed or engaged to work at a retirement village to breach a code of conduct under Schedule 1.</w:t>
      </w:r>
    </w:p>
    <w:p w14:paraId="53B87FE2" w14:textId="77777777" w:rsidR="00416D01" w:rsidRPr="00416D01" w:rsidRDefault="00416D01" w:rsidP="00416D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8" w:name="Elkera_Print_BK32"/>
      <w:r w:rsidRPr="00416D01">
        <w:rPr>
          <w:rFonts w:eastAsia="Times New Roman"/>
          <w:b/>
          <w:bCs/>
          <w:color w:val="000000"/>
          <w:sz w:val="26"/>
          <w:szCs w:val="26"/>
          <w:lang w:eastAsia="en-AU"/>
          <w14:ligatures w14:val="standardContextual"/>
        </w:rPr>
        <w:t>20—Substitution of Schedule 2</w:t>
      </w:r>
      <w:bookmarkEnd w:id="438"/>
    </w:p>
    <w:p w14:paraId="680EE07C" w14:textId="77777777" w:rsidR="00416D01" w:rsidRPr="00416D01" w:rsidRDefault="00416D01" w:rsidP="00416D0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Schedule 2—delete the Schedule and substitute:</w:t>
      </w:r>
    </w:p>
    <w:p w14:paraId="1DC6D7A8" w14:textId="77777777" w:rsidR="00416D01" w:rsidRPr="00416D01" w:rsidRDefault="00416D01" w:rsidP="00416D01">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416D01">
        <w:rPr>
          <w:rFonts w:eastAsia="Times New Roman"/>
          <w:b/>
          <w:bCs/>
          <w:color w:val="000000"/>
          <w:sz w:val="32"/>
          <w:szCs w:val="32"/>
          <w:lang w:eastAsia="en-AU"/>
          <w14:ligatures w14:val="standardContextual"/>
        </w:rPr>
        <w:t>Schedule 2—Form of disclosure statement</w:t>
      </w:r>
    </w:p>
    <w:p w14:paraId="704BFD01" w14:textId="77777777" w:rsidR="00416D01" w:rsidRPr="00416D01" w:rsidRDefault="00416D01" w:rsidP="00416D01">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r w:rsidRPr="00416D01">
        <w:rPr>
          <w:rFonts w:eastAsia="Times New Roman"/>
          <w:b/>
          <w:bCs/>
          <w:color w:val="000000"/>
          <w:sz w:val="26"/>
          <w:szCs w:val="26"/>
          <w:lang w:eastAsia="en-AU"/>
          <w14:ligatures w14:val="standardContextual"/>
        </w:rPr>
        <w:t>Form—</w:t>
      </w:r>
      <w:r w:rsidRPr="00416D01">
        <w:rPr>
          <w:rFonts w:eastAsia="Times New Roman"/>
          <w:b/>
          <w:bCs/>
          <w:i/>
          <w:iCs/>
          <w:color w:val="000000"/>
          <w:sz w:val="26"/>
          <w:szCs w:val="26"/>
          <w:lang w:eastAsia="en-AU"/>
          <w14:ligatures w14:val="standardContextual"/>
        </w:rPr>
        <w:t>Retirement Villages Act 2016</w:t>
      </w:r>
    </w:p>
    <w:p w14:paraId="2E35F950"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67AA45E8" w14:textId="77777777" w:rsidR="00416D01" w:rsidRPr="00416D01" w:rsidRDefault="00416D01" w:rsidP="00416D01">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b/>
        <w:t>(i)</w:t>
      </w:r>
      <w:r w:rsidRPr="00416D01">
        <w:rPr>
          <w:rFonts w:eastAsia="Times New Roman"/>
          <w:color w:val="000000"/>
          <w:sz w:val="20"/>
          <w:szCs w:val="20"/>
          <w:lang w:eastAsia="en-AU"/>
          <w14:ligatures w14:val="standardContextual"/>
        </w:rPr>
        <w:tab/>
      </w:r>
      <w:r w:rsidRPr="00416D01">
        <w:rPr>
          <w:rFonts w:eastAsia="Times New Roman"/>
          <w:i/>
          <w:iCs/>
          <w:color w:val="000000"/>
          <w:sz w:val="20"/>
          <w:szCs w:val="20"/>
          <w:lang w:eastAsia="en-AU"/>
          <w14:ligatures w14:val="standardContextual"/>
        </w:rPr>
        <w:t>the disclosure statement is not a replacement for the residence contract but is intended only as a summary of certain information contained in the contract; and</w:t>
      </w:r>
    </w:p>
    <w:p w14:paraId="0A48B8F1" w14:textId="77777777" w:rsidR="00416D01" w:rsidRPr="00416D01" w:rsidRDefault="00416D01" w:rsidP="00416D01">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b/>
        <w:t>(ii)</w:t>
      </w:r>
      <w:r w:rsidRPr="00416D01">
        <w:rPr>
          <w:rFonts w:eastAsia="Times New Roman"/>
          <w:color w:val="000000"/>
          <w:sz w:val="20"/>
          <w:szCs w:val="20"/>
          <w:lang w:eastAsia="en-AU"/>
          <w14:ligatures w14:val="standardContextual"/>
        </w:rPr>
        <w:tab/>
      </w:r>
      <w:r w:rsidRPr="00416D01">
        <w:rPr>
          <w:rFonts w:eastAsia="Times New Roman"/>
          <w:i/>
          <w:iCs/>
          <w:color w:val="000000"/>
          <w:sz w:val="20"/>
          <w:szCs w:val="20"/>
          <w:lang w:eastAsia="en-AU"/>
          <w14:ligatures w14:val="standardContextual"/>
        </w:rPr>
        <w:t>the estimated exit entitlements and exit fees included in this statement are estimates only and are subject to change depending on circumstances prevailing at the relevant time in the future, such as the amount of a new ingoing contribution; and</w:t>
      </w:r>
    </w:p>
    <w:p w14:paraId="22EB98FE" w14:textId="77777777" w:rsidR="00416D01" w:rsidRPr="00416D01" w:rsidRDefault="00416D01" w:rsidP="00416D01">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b/>
        <w:t>(iii)</w:t>
      </w:r>
      <w:r w:rsidRPr="00416D01">
        <w:rPr>
          <w:rFonts w:eastAsia="Times New Roman"/>
          <w:color w:val="000000"/>
          <w:sz w:val="20"/>
          <w:szCs w:val="20"/>
          <w:lang w:eastAsia="en-AU"/>
          <w14:ligatures w14:val="standardContextual"/>
        </w:rPr>
        <w:tab/>
      </w:r>
      <w:r w:rsidRPr="00416D01">
        <w:rPr>
          <w:rFonts w:eastAsia="Times New Roman"/>
          <w:i/>
          <w:iCs/>
          <w:color w:val="000000"/>
          <w:sz w:val="20"/>
          <w:szCs w:val="20"/>
          <w:lang w:eastAsia="en-AU"/>
          <w14:ligatures w14:val="standardContextual"/>
        </w:rPr>
        <w:t>prospective residents must ensure that they understand the terms of the residence contract; and</w:t>
      </w:r>
    </w:p>
    <w:p w14:paraId="43591EE4" w14:textId="1903AEE0" w:rsidR="00BB5DE5" w:rsidRDefault="00416D01" w:rsidP="00416D01">
      <w:pPr>
        <w:keepLines/>
        <w:tabs>
          <w:tab w:val="center" w:pos="3176"/>
          <w:tab w:val="left" w:pos="3573"/>
        </w:tabs>
        <w:autoSpaceDE w:val="0"/>
        <w:autoSpaceDN w:val="0"/>
        <w:adjustRightInd w:val="0"/>
        <w:spacing w:before="120" w:after="0" w:line="240" w:lineRule="auto"/>
        <w:ind w:left="3573" w:hanging="794"/>
        <w:jc w:val="left"/>
        <w:rPr>
          <w:rFonts w:eastAsia="Times New Roman"/>
          <w:i/>
          <w:iCs/>
          <w:color w:val="000000"/>
          <w:sz w:val="20"/>
          <w:szCs w:val="20"/>
          <w:lang w:eastAsia="en-AU"/>
          <w14:ligatures w14:val="standardContextual"/>
        </w:rPr>
      </w:pPr>
      <w:r w:rsidRPr="00416D01">
        <w:rPr>
          <w:rFonts w:eastAsia="Times New Roman"/>
          <w:color w:val="000000"/>
          <w:sz w:val="20"/>
          <w:szCs w:val="20"/>
          <w:lang w:eastAsia="en-AU"/>
          <w14:ligatures w14:val="standardContextual"/>
        </w:rPr>
        <w:tab/>
        <w:t>(iv)</w:t>
      </w:r>
      <w:r w:rsidRPr="00416D01">
        <w:rPr>
          <w:rFonts w:eastAsia="Times New Roman"/>
          <w:color w:val="000000"/>
          <w:sz w:val="20"/>
          <w:szCs w:val="20"/>
          <w:lang w:eastAsia="en-AU"/>
          <w14:ligatures w14:val="standardContextual"/>
        </w:rPr>
        <w:tab/>
      </w:r>
      <w:r w:rsidRPr="00416D01">
        <w:rPr>
          <w:rFonts w:eastAsia="Times New Roman"/>
          <w:i/>
          <w:iCs/>
          <w:color w:val="000000"/>
          <w:sz w:val="20"/>
          <w:szCs w:val="20"/>
          <w:lang w:eastAsia="en-AU"/>
          <w14:ligatures w14:val="standardContextual"/>
        </w:rPr>
        <w:t>it is recommended that prospective residents seek legal and financial advice in relation to the residence contract.</w:t>
      </w:r>
    </w:p>
    <w:p w14:paraId="3D5877DB" w14:textId="77777777" w:rsidR="00BB5DE5" w:rsidRDefault="00BB5DE5">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4D02E9C4"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lastRenderedPageBreak/>
        <w:t>Name of operator:</w:t>
      </w:r>
      <w:r w:rsidRPr="00416D01">
        <w:rPr>
          <w:rFonts w:eastAsia="Times New Roman"/>
          <w:i/>
          <w:iCs/>
          <w:color w:val="000000"/>
          <w:sz w:val="23"/>
          <w:szCs w:val="23"/>
          <w:lang w:eastAsia="en-AU"/>
          <w14:ligatures w14:val="standardContextual"/>
        </w:rPr>
        <w:t>[insert name]</w:t>
      </w:r>
    </w:p>
    <w:p w14:paraId="03CEF559"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Name and address of retirement village:</w:t>
      </w:r>
      <w:r w:rsidRPr="00416D01">
        <w:rPr>
          <w:rFonts w:eastAsia="Times New Roman"/>
          <w:i/>
          <w:iCs/>
          <w:color w:val="000000"/>
          <w:sz w:val="23"/>
          <w:szCs w:val="23"/>
          <w:lang w:eastAsia="en-AU"/>
          <w14:ligatures w14:val="standardContextual"/>
        </w:rPr>
        <w:t>[insert name and location of the retirement village]</w:t>
      </w:r>
    </w:p>
    <w:p w14:paraId="35A71573"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Name of prospective resident:</w:t>
      </w:r>
      <w:r w:rsidRPr="00416D01">
        <w:rPr>
          <w:rFonts w:eastAsia="Times New Roman"/>
          <w:i/>
          <w:iCs/>
          <w:color w:val="000000"/>
          <w:sz w:val="23"/>
          <w:szCs w:val="23"/>
          <w:lang w:eastAsia="en-AU"/>
          <w14:ligatures w14:val="standardContextual"/>
        </w:rPr>
        <w:t>[insert name of prospective resident or residents]</w:t>
      </w:r>
    </w:p>
    <w:p w14:paraId="65EEA681"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0F7698E1"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i/>
          <w:iCs/>
          <w:color w:val="000000"/>
          <w:sz w:val="20"/>
          <w:szCs w:val="20"/>
          <w:lang w:eastAsia="en-AU"/>
          <w14:ligatures w14:val="standardContextual"/>
        </w:rPr>
        <w:t>[An operator may omit this note from the disclosure statement if it is not applicable]</w:t>
      </w:r>
      <w:r w:rsidRPr="00416D01">
        <w:rPr>
          <w:rFonts w:eastAsia="Times New Roman"/>
          <w:color w:val="000000"/>
          <w:sz w:val="20"/>
          <w:szCs w:val="20"/>
          <w:lang w:eastAsia="en-AU"/>
          <w14:ligatures w14:val="standardContextual"/>
        </w:rPr>
        <w:t xml:space="preserve"> If a resident who is the sole signatory to a residence contract dies, the right to occupy the residence cannot be passed onto any other person (including the person's relatives and anyone living with the resident at the time of their death).</w:t>
      </w:r>
    </w:p>
    <w:p w14:paraId="53D3A66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Description of residence:</w:t>
      </w:r>
      <w:r w:rsidRPr="00416D01">
        <w:rPr>
          <w:rFonts w:eastAsia="Times New Roman"/>
          <w:i/>
          <w:iCs/>
          <w:color w:val="000000"/>
          <w:sz w:val="23"/>
          <w:szCs w:val="23"/>
          <w:lang w:eastAsia="en-AU"/>
          <w14:ligatures w14:val="standardContextual"/>
        </w:rPr>
        <w:t>[insert description of the particular residence to be occupied by the resident]</w:t>
      </w:r>
    </w:p>
    <w:p w14:paraId="79A4E117"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Residence completion date:</w:t>
      </w:r>
      <w:r w:rsidRPr="00416D01">
        <w:rPr>
          <w:rFonts w:eastAsia="Times New Roman"/>
          <w:i/>
          <w:iCs/>
          <w:color w:val="000000"/>
          <w:sz w:val="23"/>
          <w:szCs w:val="23"/>
          <w:lang w:eastAsia="en-AU"/>
          <w14:ligatures w14:val="standardContextual"/>
        </w:rPr>
        <w:t>[if residence is to be constructed or is under construction, insert anticipated completion date of the construction]</w:t>
      </w:r>
    </w:p>
    <w:p w14:paraId="455C175B"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Village composition:</w:t>
      </w:r>
      <w:r w:rsidRPr="00416D01">
        <w:rPr>
          <w:rFonts w:eastAsia="Times New Roman"/>
          <w:i/>
          <w:iCs/>
          <w:color w:val="000000"/>
          <w:sz w:val="23"/>
          <w:szCs w:val="23"/>
          <w:lang w:eastAsia="en-AU"/>
          <w14:ligatures w14:val="standardContextual"/>
        </w:rPr>
        <w:t xml:space="preserve">[insert information about residents and types of occupancy] </w:t>
      </w:r>
    </w:p>
    <w:p w14:paraId="78F8DC64"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Insurance arrangements in place for the retirement village:</w:t>
      </w:r>
      <w:r w:rsidRPr="00416D01">
        <w:rPr>
          <w:rFonts w:eastAsia="Times New Roman"/>
          <w:i/>
          <w:iCs/>
          <w:color w:val="000000"/>
          <w:sz w:val="23"/>
          <w:szCs w:val="23"/>
          <w:lang w:eastAsia="en-AU"/>
          <w14:ligatures w14:val="standardContextual"/>
        </w:rPr>
        <w:t>[insert name of insurer and type of insurance]</w:t>
      </w:r>
    </w:p>
    <w:p w14:paraId="7E2BDC77" w14:textId="77777777" w:rsidR="00416D01" w:rsidRPr="00416D01" w:rsidRDefault="00416D01" w:rsidP="00416D01">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r w:rsidRPr="00416D01">
        <w:rPr>
          <w:rFonts w:eastAsia="Times New Roman"/>
          <w:b/>
          <w:bCs/>
          <w:color w:val="000000"/>
          <w:sz w:val="26"/>
          <w:szCs w:val="26"/>
          <w:lang w:eastAsia="en-AU"/>
          <w14:ligatures w14:val="standardContextual"/>
        </w:rPr>
        <w:t>Fees and charges prior to occupation</w:t>
      </w:r>
    </w:p>
    <w:p w14:paraId="73B5B00C"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Ingoing contribution:</w:t>
      </w:r>
      <w:r w:rsidRPr="00416D01">
        <w:rPr>
          <w:rFonts w:eastAsia="Times New Roman"/>
          <w:i/>
          <w:iCs/>
          <w:color w:val="000000"/>
          <w:sz w:val="23"/>
          <w:szCs w:val="23"/>
          <w:lang w:eastAsia="en-AU"/>
          <w14:ligatures w14:val="standardContextual"/>
        </w:rPr>
        <w:t>[include a description of the fee, the amount or manner of calculation of the fee and what is to be done with the fee]</w:t>
      </w:r>
    </w:p>
    <w:p w14:paraId="1C2FAF14"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Other fees and charges:</w:t>
      </w:r>
      <w:r w:rsidRPr="00416D01">
        <w:rPr>
          <w:rFonts w:eastAsia="Times New Roman"/>
          <w:i/>
          <w:iCs/>
          <w:color w:val="000000"/>
          <w:sz w:val="23"/>
          <w:szCs w:val="23"/>
          <w:lang w:eastAsia="en-AU"/>
          <w14:ligatures w14:val="standardContextual"/>
        </w:rPr>
        <w:t>[include a description of the fee, the amount or manner of calculation of the fee and what is to be done with the fee]</w:t>
      </w:r>
    </w:p>
    <w:p w14:paraId="6C5C4956"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Due on:</w:t>
      </w:r>
      <w:r w:rsidRPr="00416D01">
        <w:rPr>
          <w:rFonts w:eastAsia="Times New Roman"/>
          <w:i/>
          <w:iCs/>
          <w:color w:val="000000"/>
          <w:sz w:val="23"/>
          <w:szCs w:val="23"/>
          <w:lang w:eastAsia="en-AU"/>
          <w14:ligatures w14:val="standardContextual"/>
        </w:rPr>
        <w:t>[insert date or dates on which fees and charges are due]</w:t>
      </w:r>
    </w:p>
    <w:p w14:paraId="2B76557D" w14:textId="77777777" w:rsidR="00416D01" w:rsidRPr="00416D01" w:rsidRDefault="00416D01" w:rsidP="00416D01">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r w:rsidRPr="00416D01">
        <w:rPr>
          <w:rFonts w:eastAsia="Times New Roman"/>
          <w:b/>
          <w:bCs/>
          <w:color w:val="000000"/>
          <w:sz w:val="26"/>
          <w:szCs w:val="26"/>
          <w:lang w:eastAsia="en-AU"/>
          <w14:ligatures w14:val="standardContextual"/>
        </w:rPr>
        <w:t>Fees and charges during occupation</w:t>
      </w:r>
    </w:p>
    <w:p w14:paraId="75BA6FF4"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Recurrent charges:</w:t>
      </w:r>
      <w:r w:rsidRPr="00416D01">
        <w:rPr>
          <w:rFonts w:eastAsia="Times New Roman"/>
          <w:i/>
          <w:iCs/>
          <w:color w:val="000000"/>
          <w:sz w:val="23"/>
          <w:szCs w:val="23"/>
          <w:lang w:eastAsia="en-AU"/>
          <w14:ligatures w14:val="standardContextual"/>
        </w:rPr>
        <w:t>[include a description of the fee, the amount or manner of calculation of the fee and what is to be done with the fee]</w:t>
      </w:r>
    </w:p>
    <w:p w14:paraId="0C65D1CA"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Fees and charges for additional or personal services and facilities:</w:t>
      </w:r>
      <w:r w:rsidRPr="00416D01">
        <w:rPr>
          <w:rFonts w:eastAsia="Times New Roman"/>
          <w:i/>
          <w:iCs/>
          <w:color w:val="000000"/>
          <w:sz w:val="23"/>
          <w:szCs w:val="23"/>
          <w:lang w:eastAsia="en-AU"/>
          <w14:ligatures w14:val="standardContextual"/>
        </w:rPr>
        <w:t>[include a description of the fee, the amount or manner of calculation of the fee and what is to be done with the fee]</w:t>
      </w:r>
    </w:p>
    <w:p w14:paraId="392DE675"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Other fees and charges under the contract:</w:t>
      </w:r>
      <w:r w:rsidRPr="00416D01">
        <w:rPr>
          <w:rFonts w:eastAsia="Times New Roman"/>
          <w:i/>
          <w:iCs/>
          <w:color w:val="000000"/>
          <w:sz w:val="23"/>
          <w:szCs w:val="23"/>
          <w:lang w:eastAsia="en-AU"/>
          <w14:ligatures w14:val="standardContextual"/>
        </w:rPr>
        <w:t>[include a description of the fee, the amount or manner of calculation of the fee and what is to be done with the fee]</w:t>
      </w:r>
    </w:p>
    <w:p w14:paraId="30EEF98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Utilities, services or facilities provided or available to residents in which the operator has an interest or in relation to which the operator would obtain a fee or reward:</w:t>
      </w:r>
      <w:r w:rsidRPr="00416D01">
        <w:rPr>
          <w:rFonts w:eastAsia="Times New Roman"/>
          <w:i/>
          <w:iCs/>
          <w:color w:val="000000"/>
          <w:sz w:val="23"/>
          <w:szCs w:val="23"/>
          <w:lang w:eastAsia="en-AU"/>
          <w14:ligatures w14:val="standardContextual"/>
        </w:rPr>
        <w:t>[eg. electricity, Internet or telephone]</w:t>
      </w:r>
    </w:p>
    <w:p w14:paraId="5AE8C1BB"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Limitations or requirements that apply or will apply in relation to a resident's choice of provider for utilities, services and facilities</w:t>
      </w:r>
      <w:r w:rsidRPr="00416D01">
        <w:rPr>
          <w:rFonts w:eastAsia="Times New Roman"/>
          <w:color w:val="000000"/>
          <w:sz w:val="23"/>
          <w:szCs w:val="23"/>
          <w:lang w:eastAsia="en-AU"/>
          <w14:ligatures w14:val="standardContextual"/>
        </w:rPr>
        <w:t xml:space="preserve">: </w:t>
      </w:r>
      <w:r w:rsidRPr="00416D01">
        <w:rPr>
          <w:rFonts w:eastAsia="Times New Roman"/>
          <w:i/>
          <w:iCs/>
          <w:color w:val="000000"/>
          <w:sz w:val="23"/>
          <w:szCs w:val="23"/>
          <w:lang w:eastAsia="en-AU"/>
          <w14:ligatures w14:val="standardContextual"/>
        </w:rPr>
        <w:t>[include a description of the utility, service or facility and the limitation or requirement]</w:t>
      </w:r>
    </w:p>
    <w:p w14:paraId="2E5D1A85" w14:textId="2CAF6B92" w:rsidR="00BB5DE5" w:rsidRDefault="00416D01" w:rsidP="00416D01">
      <w:pPr>
        <w:keepLines/>
        <w:autoSpaceDE w:val="0"/>
        <w:autoSpaceDN w:val="0"/>
        <w:adjustRightInd w:val="0"/>
        <w:spacing w:before="120" w:after="0" w:line="240" w:lineRule="auto"/>
        <w:ind w:left="1588"/>
        <w:jc w:val="left"/>
        <w:rPr>
          <w:rFonts w:eastAsia="Times New Roman"/>
          <w:i/>
          <w:iCs/>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Other fees and charges relating to occupation of the residence for which the resident is responsible:</w:t>
      </w:r>
      <w:r w:rsidRPr="00416D01">
        <w:rPr>
          <w:rFonts w:eastAsia="Times New Roman"/>
          <w:i/>
          <w:iCs/>
          <w:color w:val="000000"/>
          <w:sz w:val="23"/>
          <w:szCs w:val="23"/>
          <w:lang w:eastAsia="en-AU"/>
          <w14:ligatures w14:val="standardContextual"/>
        </w:rPr>
        <w:t>[eg. electricity, council rates, water or gas for which the resident is responsible, in addition to recurrent charges]</w:t>
      </w:r>
    </w:p>
    <w:p w14:paraId="60BE99BA" w14:textId="77777777" w:rsidR="00BB5DE5" w:rsidRDefault="00BB5DE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44CF3642"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lastRenderedPageBreak/>
        <w:t>Special levy:</w:t>
      </w:r>
      <w:r w:rsidRPr="00416D01">
        <w:rPr>
          <w:rFonts w:eastAsia="Times New Roman"/>
          <w:color w:val="000000"/>
          <w:sz w:val="23"/>
          <w:szCs w:val="23"/>
          <w:lang w:eastAsia="en-AU"/>
          <w14:ligatures w14:val="standardContextual"/>
        </w:rPr>
        <w:t xml:space="preserve"> </w:t>
      </w:r>
      <w:r w:rsidRPr="00416D01">
        <w:rPr>
          <w:rFonts w:eastAsia="Times New Roman"/>
          <w:i/>
          <w:iCs/>
          <w:color w:val="000000"/>
          <w:sz w:val="23"/>
          <w:szCs w:val="23"/>
          <w:lang w:eastAsia="en-AU"/>
          <w14:ligatures w14:val="standardContextual"/>
        </w:rPr>
        <w:t>[insert information about any existing special levy in place and payable by residents of the retirement village, including the purpose of the special levy, the amount and frequency of payments and the proposed date of final payment]</w:t>
      </w:r>
    </w:p>
    <w:p w14:paraId="5C6168ED"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20033BF8"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At a future time a resident may be required to pay a fee, charge or other amount to the operator to enable the operator to recover an unforseen expense of the retirement village (a special levy).</w:t>
      </w:r>
    </w:p>
    <w:p w14:paraId="372053D7"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Major capital expenditure:</w:t>
      </w:r>
      <w:r w:rsidRPr="00416D01">
        <w:rPr>
          <w:rFonts w:eastAsia="Times New Roman"/>
          <w:color w:val="000000"/>
          <w:sz w:val="23"/>
          <w:szCs w:val="23"/>
          <w:lang w:eastAsia="en-AU"/>
          <w14:ligatures w14:val="standardContextual"/>
        </w:rPr>
        <w:t xml:space="preserve"> </w:t>
      </w:r>
      <w:r w:rsidRPr="00416D01">
        <w:rPr>
          <w:rFonts w:eastAsia="Times New Roman"/>
          <w:i/>
          <w:iCs/>
          <w:color w:val="000000"/>
          <w:sz w:val="23"/>
          <w:szCs w:val="23"/>
          <w:lang w:eastAsia="en-AU"/>
          <w14:ligatures w14:val="standardContextual"/>
        </w:rPr>
        <w:t>[insert information about any major capital item expenditure project in place or planned for the next 2 years, including the cost of the project and how it will be funded]</w:t>
      </w:r>
    </w:p>
    <w:p w14:paraId="6E3D222A"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3A5494E7"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In determining whether a project is a major capital item expenditure project, regard is to be had to the size, nature and gross revenue of the retirement village.</w:t>
      </w:r>
    </w:p>
    <w:p w14:paraId="59E12E45" w14:textId="77777777" w:rsidR="00416D01" w:rsidRPr="00416D01" w:rsidRDefault="00416D01" w:rsidP="00416D01">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r w:rsidRPr="00416D01">
        <w:rPr>
          <w:rFonts w:eastAsia="Times New Roman"/>
          <w:b/>
          <w:bCs/>
          <w:color w:val="000000"/>
          <w:sz w:val="26"/>
          <w:szCs w:val="26"/>
          <w:lang w:eastAsia="en-AU"/>
          <w14:ligatures w14:val="standardContextual"/>
        </w:rPr>
        <w:t>Fees and charges on vacating the retirement village</w:t>
      </w:r>
    </w:p>
    <w:p w14:paraId="2EB8EA6E"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Manner of calculation of exit entitlement</w:t>
      </w:r>
    </w:p>
    <w:p w14:paraId="07063DE1"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Manner of calculation of amount from which exit fees will be deducted:</w:t>
      </w:r>
    </w:p>
    <w:p w14:paraId="158091E5"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i/>
          <w:iCs/>
          <w:color w:val="000000"/>
          <w:sz w:val="23"/>
          <w:szCs w:val="23"/>
          <w:lang w:eastAsia="en-AU"/>
          <w14:ligatures w14:val="standardContextual"/>
        </w:rPr>
        <w:t>[eg. whether the repayment is based on the ingoing contribution, the ingoing contribution of the next resident or on some other basis, and whether the resident will share in any capital gain or loss]</w:t>
      </w:r>
    </w:p>
    <w:p w14:paraId="0069B7AA"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Estimated exit entitlement at 2, 5 and 10 years:</w:t>
      </w:r>
      <w:r w:rsidRPr="00416D01">
        <w:rPr>
          <w:rFonts w:eastAsia="Times New Roman"/>
          <w:color w:val="000000"/>
          <w:sz w:val="23"/>
          <w:szCs w:val="23"/>
          <w:lang w:eastAsia="en-AU"/>
          <w14:ligatures w14:val="standardContextual"/>
        </w:rPr>
        <w:t xml:space="preserve"> </w:t>
      </w:r>
      <w:r w:rsidRPr="00416D01">
        <w:rPr>
          <w:rFonts w:eastAsia="Times New Roman"/>
          <w:i/>
          <w:iCs/>
          <w:color w:val="000000"/>
          <w:sz w:val="23"/>
          <w:szCs w:val="23"/>
          <w:lang w:eastAsia="en-AU"/>
          <w14:ligatures w14:val="standardContextual"/>
        </w:rPr>
        <w:t>[insert estimated exit entitlements and exit fees payable under the residence contract in the event that the right to occupation of the residence under the contract is terminated at 2 years, 5 years and 10 years after the contract is entered into, include the manner of calculation used]</w:t>
      </w:r>
    </w:p>
    <w:p w14:paraId="72B7B472" w14:textId="77777777" w:rsidR="00416D01" w:rsidRPr="00416D01" w:rsidRDefault="00416D01" w:rsidP="00416D01">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p>
    <w:p w14:paraId="0C926265"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Fees and charges</w:t>
      </w:r>
    </w:p>
    <w:p w14:paraId="66D56A9F"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Termination during settling-in period</w:t>
      </w:r>
    </w:p>
    <w:p w14:paraId="24683CDD"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Amount of fair market rent determined under section 44(5)(a) of the Act:</w:t>
      </w:r>
      <w:r w:rsidRPr="00416D01">
        <w:rPr>
          <w:rFonts w:eastAsia="Times New Roman"/>
          <w:i/>
          <w:iCs/>
          <w:color w:val="000000"/>
          <w:sz w:val="23"/>
          <w:szCs w:val="23"/>
          <w:lang w:eastAsia="en-AU"/>
          <w14:ligatures w14:val="standardContextual"/>
        </w:rPr>
        <w:t>[insert amount]</w:t>
      </w:r>
    </w:p>
    <w:p w14:paraId="4DF3C1BA"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Any other fees or charges:</w:t>
      </w:r>
      <w:r w:rsidRPr="00416D01">
        <w:rPr>
          <w:rFonts w:eastAsia="Times New Roman"/>
          <w:i/>
          <w:iCs/>
          <w:color w:val="000000"/>
          <w:sz w:val="23"/>
          <w:szCs w:val="23"/>
          <w:lang w:eastAsia="en-AU"/>
          <w14:ligatures w14:val="standardContextual"/>
        </w:rPr>
        <w:t>[include a description of the fee, the amount or manner of calculation of the fee and what is to be done with the fee]</w:t>
      </w:r>
    </w:p>
    <w:p w14:paraId="1B5BD570"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2D17ED80"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Section 44(5) of the Act limits the fees and charges that may be charged following termination during the settling-in period.</w:t>
      </w:r>
    </w:p>
    <w:p w14:paraId="09FF09BE"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Termination after settling-in period</w:t>
      </w:r>
    </w:p>
    <w:p w14:paraId="18256105" w14:textId="0DF32092" w:rsidR="00BB5DE5" w:rsidRDefault="00416D01" w:rsidP="00416D01">
      <w:pPr>
        <w:keepLines/>
        <w:autoSpaceDE w:val="0"/>
        <w:autoSpaceDN w:val="0"/>
        <w:adjustRightInd w:val="0"/>
        <w:spacing w:before="120" w:after="0" w:line="240" w:lineRule="auto"/>
        <w:ind w:left="1588"/>
        <w:jc w:val="left"/>
        <w:rPr>
          <w:rFonts w:eastAsia="Times New Roman"/>
          <w:i/>
          <w:iCs/>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Exit fees:</w:t>
      </w:r>
      <w:r w:rsidRPr="00416D01">
        <w:rPr>
          <w:rFonts w:eastAsia="Times New Roman"/>
          <w:i/>
          <w:iCs/>
          <w:color w:val="000000"/>
          <w:sz w:val="23"/>
          <w:szCs w:val="23"/>
          <w:lang w:eastAsia="en-AU"/>
          <w14:ligatures w14:val="standardContextual"/>
        </w:rPr>
        <w:t>[including, for example, any deferred management fees, refurbishment costs and remarketing costs. Include a description of the fee, the amount or manner of calculation of the fee and what is to be done with the fee]</w:t>
      </w:r>
    </w:p>
    <w:p w14:paraId="43353EC8" w14:textId="77777777" w:rsidR="00BB5DE5" w:rsidRDefault="00BB5DE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6D07A99F"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lastRenderedPageBreak/>
        <w:t>Any other fees or charges:</w:t>
      </w:r>
      <w:r w:rsidRPr="00416D01">
        <w:rPr>
          <w:rFonts w:eastAsia="Times New Roman"/>
          <w:i/>
          <w:iCs/>
          <w:color w:val="000000"/>
          <w:sz w:val="23"/>
          <w:szCs w:val="23"/>
          <w:lang w:eastAsia="en-AU"/>
          <w14:ligatures w14:val="standardContextual"/>
        </w:rPr>
        <w:t>[including, for example, fees for which a resident remains responsible until after the resident ceases to reside in the retirement village. Include a description of the fee, the amount or manner of calculation of the fee and what is to be done with the fee]</w:t>
      </w:r>
    </w:p>
    <w:p w14:paraId="5A032A6D"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467F8691"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Exit fee means the amount of money that is, under a residence contract, payable by a resident of a retirement village on the resident ceasing to reside in the retirement village or on the sale of the resident's right to reside in the retirement village.</w:t>
      </w:r>
    </w:p>
    <w:p w14:paraId="255A42E4" w14:textId="77777777" w:rsidR="00416D01" w:rsidRPr="00416D01" w:rsidRDefault="00416D01" w:rsidP="00416D01">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p>
    <w:p w14:paraId="12C4F2FB"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Timing of payment of exit entitlement</w:t>
      </w:r>
    </w:p>
    <w:p w14:paraId="28AA4BF8" w14:textId="77777777" w:rsidR="00416D01" w:rsidRPr="00416D01" w:rsidRDefault="00416D01" w:rsidP="00416D0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Timing of payment under residence contract:</w:t>
      </w:r>
      <w:r w:rsidRPr="00416D01">
        <w:rPr>
          <w:rFonts w:eastAsia="Times New Roman"/>
          <w:i/>
          <w:iCs/>
          <w:color w:val="000000"/>
          <w:sz w:val="23"/>
          <w:szCs w:val="23"/>
          <w:lang w:eastAsia="en-AU"/>
          <w14:ligatures w14:val="standardContextual"/>
        </w:rPr>
        <w:t>[when a resident will be entitled to payment of an exit entitlement, eg. on relicensing of the residence, sale of the resident's right to reside in a residence at the retirement village or some other event]</w:t>
      </w:r>
    </w:p>
    <w:p w14:paraId="28313932" w14:textId="77777777" w:rsidR="00416D01" w:rsidRPr="00416D01" w:rsidRDefault="00416D01" w:rsidP="00416D0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16D01">
        <w:rPr>
          <w:rFonts w:eastAsia="Times New Roman"/>
          <w:b/>
          <w:bCs/>
          <w:color w:val="000000"/>
          <w:sz w:val="20"/>
          <w:szCs w:val="20"/>
          <w:lang w:eastAsia="en-AU"/>
          <w14:ligatures w14:val="standardContextual"/>
        </w:rPr>
        <w:t>Note—</w:t>
      </w:r>
    </w:p>
    <w:p w14:paraId="036BED50"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Section 30 of the Act provides that if a resident leaves to enter residential aged care, the resident may apply to the operator for daily accommodation payments to be made to the relevant aged care facility (up to a limit determined under the section), if the resident meets the requirements set out in that section. If this occurs, the operator may recover the amounts paid by deducting them from the exit entitlement.</w:t>
      </w:r>
    </w:p>
    <w:p w14:paraId="5E7BC7BD" w14:textId="77777777" w:rsidR="00416D01" w:rsidRPr="00416D01" w:rsidRDefault="00416D01" w:rsidP="00416D0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16D01">
        <w:rPr>
          <w:rFonts w:eastAsia="Times New Roman"/>
          <w:color w:val="000000"/>
          <w:sz w:val="20"/>
          <w:szCs w:val="20"/>
          <w:lang w:eastAsia="en-AU"/>
          <w14:ligatures w14:val="standardContextual"/>
        </w:rPr>
        <w:t>Section 27 of the Act provides for the circumstances in which a resident may recover the amount of an exit entitlement as a debt from the operator, including if a period of 12 months has elapsed (following the relevant period) since the resident has ceased to reside in the retirement village.</w:t>
      </w:r>
    </w:p>
    <w:p w14:paraId="4DAA87E8"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b/>
          <w:bCs/>
          <w:color w:val="000000"/>
          <w:sz w:val="23"/>
          <w:szCs w:val="23"/>
          <w:lang w:eastAsia="en-AU"/>
          <w14:ligatures w14:val="standardContextual"/>
        </w:rPr>
        <w:t>Acknowledgement of receipt of disclosure statement</w:t>
      </w:r>
    </w:p>
    <w:p w14:paraId="222CBEDA"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Signature of operator:</w:t>
      </w:r>
    </w:p>
    <w:p w14:paraId="29A2766E"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Date:</w:t>
      </w:r>
    </w:p>
    <w:p w14:paraId="58A62D81"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Signature of resident:</w:t>
      </w:r>
    </w:p>
    <w:p w14:paraId="7A2C9C01" w14:textId="77777777" w:rsidR="00416D01" w:rsidRPr="00416D01" w:rsidRDefault="00416D01" w:rsidP="00416D0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Date:</w:t>
      </w:r>
    </w:p>
    <w:p w14:paraId="1C69D305" w14:textId="77777777" w:rsidR="00416D01" w:rsidRPr="00416D01" w:rsidRDefault="00416D01" w:rsidP="00416D0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16D01">
        <w:rPr>
          <w:rFonts w:eastAsia="Times New Roman"/>
          <w:b/>
          <w:bCs/>
          <w:color w:val="000000"/>
          <w:sz w:val="26"/>
          <w:szCs w:val="26"/>
          <w:lang w:eastAsia="en-AU"/>
          <w14:ligatures w14:val="standardContextual"/>
        </w:rPr>
        <w:t>Made by the Governor</w:t>
      </w:r>
    </w:p>
    <w:p w14:paraId="22D115A6" w14:textId="77777777" w:rsidR="00416D01" w:rsidRPr="00416D01" w:rsidRDefault="00416D01" w:rsidP="00416D0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with the advice and consent of the Executive Council</w:t>
      </w:r>
    </w:p>
    <w:p w14:paraId="4A3848F0" w14:textId="4AD742F8" w:rsidR="00416D01" w:rsidRPr="00416D01" w:rsidRDefault="00416D01" w:rsidP="00416D0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 xml:space="preserve">on </w:t>
      </w:r>
      <w:r w:rsidR="00767D9F">
        <w:rPr>
          <w:rFonts w:eastAsia="Times New Roman"/>
          <w:color w:val="000000"/>
          <w:sz w:val="23"/>
          <w:szCs w:val="23"/>
          <w:lang w:eastAsia="en-AU"/>
          <w14:ligatures w14:val="standardContextual"/>
        </w:rPr>
        <w:t>14 August 2025</w:t>
      </w:r>
    </w:p>
    <w:p w14:paraId="6C52EB89" w14:textId="7233DDF7" w:rsidR="00416D01" w:rsidRPr="00416D01" w:rsidRDefault="00416D01" w:rsidP="00416D0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16D01">
        <w:rPr>
          <w:rFonts w:eastAsia="Times New Roman"/>
          <w:color w:val="000000"/>
          <w:sz w:val="23"/>
          <w:szCs w:val="23"/>
          <w:lang w:eastAsia="en-AU"/>
          <w14:ligatures w14:val="standardContextual"/>
        </w:rPr>
        <w:t>No </w:t>
      </w:r>
      <w:r w:rsidR="00767D9F">
        <w:rPr>
          <w:rFonts w:eastAsia="Times New Roman"/>
          <w:color w:val="000000"/>
          <w:sz w:val="23"/>
          <w:szCs w:val="23"/>
          <w:lang w:eastAsia="en-AU"/>
          <w14:ligatures w14:val="standardContextual"/>
        </w:rPr>
        <w:t>90</w:t>
      </w:r>
      <w:r w:rsidRPr="00416D01">
        <w:rPr>
          <w:rFonts w:eastAsia="Times New Roman"/>
          <w:color w:val="000000"/>
          <w:sz w:val="23"/>
          <w:szCs w:val="23"/>
          <w:lang w:eastAsia="en-AU"/>
          <w14:ligatures w14:val="standardContextual"/>
        </w:rPr>
        <w:t> of </w:t>
      </w:r>
      <w:r w:rsidR="00767D9F">
        <w:rPr>
          <w:rFonts w:eastAsia="Times New Roman"/>
          <w:color w:val="000000"/>
          <w:sz w:val="23"/>
          <w:szCs w:val="23"/>
          <w:lang w:eastAsia="en-AU"/>
          <w14:ligatures w14:val="standardContextual"/>
        </w:rPr>
        <w:t>2025</w:t>
      </w:r>
    </w:p>
    <w:p w14:paraId="2F811199" w14:textId="333C3A3B" w:rsidR="00416D01" w:rsidRDefault="00416D01">
      <w:pPr>
        <w:spacing w:after="0" w:line="240" w:lineRule="auto"/>
        <w:jc w:val="left"/>
        <w:rPr>
          <w:rFonts w:eastAsia="Times New Roman"/>
          <w:szCs w:val="17"/>
        </w:rPr>
      </w:pPr>
      <w:r>
        <w:br w:type="page"/>
      </w:r>
    </w:p>
    <w:p w14:paraId="324485E7" w14:textId="77777777" w:rsidR="00080391" w:rsidRPr="00080391" w:rsidRDefault="00080391" w:rsidP="0008039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80391">
        <w:rPr>
          <w:rFonts w:eastAsia="Times New Roman"/>
          <w:color w:val="000000"/>
          <w:sz w:val="28"/>
          <w:szCs w:val="28"/>
          <w:lang w:eastAsia="en-AU"/>
          <w14:ligatures w14:val="standardContextual"/>
        </w:rPr>
        <w:lastRenderedPageBreak/>
        <w:t>South Australia</w:t>
      </w:r>
    </w:p>
    <w:p w14:paraId="09D1C829" w14:textId="77777777" w:rsidR="00080391" w:rsidRPr="00080391" w:rsidRDefault="00080391" w:rsidP="00E34B09">
      <w:pPr>
        <w:pStyle w:val="Heading3"/>
        <w:rPr>
          <w:lang w:eastAsia="en-AU"/>
        </w:rPr>
      </w:pPr>
      <w:bookmarkStart w:id="439" w:name="_Toc206061756"/>
      <w:r w:rsidRPr="00080391">
        <w:rPr>
          <w:lang w:eastAsia="en-AU"/>
        </w:rPr>
        <w:t>Residential Tenancies Regulations 2025</w:t>
      </w:r>
      <w:bookmarkEnd w:id="439"/>
    </w:p>
    <w:p w14:paraId="4FF88D2F" w14:textId="77777777" w:rsidR="00080391" w:rsidRPr="00080391" w:rsidRDefault="00080391" w:rsidP="0008039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80391">
        <w:rPr>
          <w:rFonts w:eastAsia="Times New Roman"/>
          <w:color w:val="000000"/>
          <w:sz w:val="24"/>
          <w:szCs w:val="24"/>
          <w:lang w:eastAsia="en-AU"/>
          <w14:ligatures w14:val="standardContextual"/>
        </w:rPr>
        <w:t xml:space="preserve">under the </w:t>
      </w:r>
      <w:r w:rsidRPr="00080391">
        <w:rPr>
          <w:rFonts w:eastAsia="Times New Roman"/>
          <w:i/>
          <w:iCs/>
          <w:color w:val="000000"/>
          <w:sz w:val="24"/>
          <w:szCs w:val="24"/>
          <w:lang w:eastAsia="en-AU"/>
          <w14:ligatures w14:val="standardContextual"/>
        </w:rPr>
        <w:t>Residential Tenancies Act 1995</w:t>
      </w:r>
    </w:p>
    <w:p w14:paraId="0D4D1812" w14:textId="77777777" w:rsidR="00080391" w:rsidRPr="00080391" w:rsidRDefault="00080391" w:rsidP="0008039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1A135C4"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080391">
        <w:rPr>
          <w:rFonts w:eastAsia="Times New Roman"/>
          <w:b/>
          <w:bCs/>
          <w:color w:val="000000"/>
          <w:sz w:val="32"/>
          <w:szCs w:val="32"/>
          <w:lang w:eastAsia="en-AU"/>
          <w14:ligatures w14:val="standardContextual"/>
        </w:rPr>
        <w:t>Contents</w:t>
      </w:r>
    </w:p>
    <w:p w14:paraId="00988822" w14:textId="77777777" w:rsidR="00080391" w:rsidRPr="00080391" w:rsidRDefault="00080391" w:rsidP="0008039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080391">
          <w:rPr>
            <w:rFonts w:eastAsia="Times New Roman"/>
            <w:color w:val="000000"/>
            <w:sz w:val="28"/>
            <w:szCs w:val="28"/>
            <w:lang w:eastAsia="en-AU"/>
            <w14:ligatures w14:val="standardContextual"/>
          </w:rPr>
          <w:t>Part 1—Preliminary</w:t>
        </w:r>
      </w:hyperlink>
    </w:p>
    <w:p w14:paraId="76AB315A"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080391">
          <w:rPr>
            <w:rFonts w:eastAsia="Times New Roman"/>
            <w:color w:val="000000"/>
            <w:sz w:val="22"/>
            <w:lang w:eastAsia="en-AU"/>
            <w14:ligatures w14:val="standardContextual"/>
          </w:rPr>
          <w:t>1</w:t>
        </w:r>
        <w:r w:rsidRPr="00080391">
          <w:rPr>
            <w:rFonts w:eastAsia="Times New Roman"/>
            <w:color w:val="000000"/>
            <w:sz w:val="22"/>
            <w:lang w:eastAsia="en-AU"/>
            <w14:ligatures w14:val="standardContextual"/>
          </w:rPr>
          <w:tab/>
          <w:t>Short title</w:t>
        </w:r>
      </w:hyperlink>
    </w:p>
    <w:p w14:paraId="209141F5"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080391">
          <w:rPr>
            <w:rFonts w:eastAsia="Times New Roman"/>
            <w:color w:val="000000"/>
            <w:sz w:val="22"/>
            <w:lang w:eastAsia="en-AU"/>
            <w14:ligatures w14:val="standardContextual"/>
          </w:rPr>
          <w:t>2</w:t>
        </w:r>
        <w:r w:rsidRPr="00080391">
          <w:rPr>
            <w:rFonts w:eastAsia="Times New Roman"/>
            <w:color w:val="000000"/>
            <w:sz w:val="22"/>
            <w:lang w:eastAsia="en-AU"/>
            <w14:ligatures w14:val="standardContextual"/>
          </w:rPr>
          <w:tab/>
          <w:t>Commencement</w:t>
        </w:r>
      </w:hyperlink>
    </w:p>
    <w:p w14:paraId="7F9C278C"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080391">
          <w:rPr>
            <w:rFonts w:eastAsia="Times New Roman"/>
            <w:color w:val="000000"/>
            <w:sz w:val="22"/>
            <w:lang w:eastAsia="en-AU"/>
            <w14:ligatures w14:val="standardContextual"/>
          </w:rPr>
          <w:t>3</w:t>
        </w:r>
        <w:r w:rsidRPr="00080391">
          <w:rPr>
            <w:rFonts w:eastAsia="Times New Roman"/>
            <w:color w:val="000000"/>
            <w:sz w:val="22"/>
            <w:lang w:eastAsia="en-AU"/>
            <w14:ligatures w14:val="standardContextual"/>
          </w:rPr>
          <w:tab/>
          <w:t>Interpretation</w:t>
        </w:r>
      </w:hyperlink>
    </w:p>
    <w:p w14:paraId="24A61402" w14:textId="77777777" w:rsidR="00080391" w:rsidRPr="00080391" w:rsidRDefault="00080391" w:rsidP="0008039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 w:history="1">
        <w:r w:rsidRPr="00080391">
          <w:rPr>
            <w:rFonts w:eastAsia="Times New Roman"/>
            <w:color w:val="000000"/>
            <w:sz w:val="28"/>
            <w:szCs w:val="28"/>
            <w:lang w:eastAsia="en-AU"/>
            <w14:ligatures w14:val="standardContextual"/>
          </w:rPr>
          <w:t>Part 2—General provisions</w:t>
        </w:r>
      </w:hyperlink>
    </w:p>
    <w:p w14:paraId="125A44CE"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080391">
          <w:rPr>
            <w:rFonts w:eastAsia="Times New Roman"/>
            <w:color w:val="000000"/>
            <w:sz w:val="22"/>
            <w:lang w:eastAsia="en-AU"/>
            <w14:ligatures w14:val="standardContextual"/>
          </w:rPr>
          <w:t>4</w:t>
        </w:r>
        <w:r w:rsidRPr="00080391">
          <w:rPr>
            <w:rFonts w:eastAsia="Times New Roman"/>
            <w:color w:val="000000"/>
            <w:sz w:val="22"/>
            <w:lang w:eastAsia="en-AU"/>
            <w14:ligatures w14:val="standardContextual"/>
          </w:rPr>
          <w:tab/>
          <w:t>Provision of inspection sheets by landlord</w:t>
        </w:r>
      </w:hyperlink>
    </w:p>
    <w:p w14:paraId="2C0E4F8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080391">
          <w:rPr>
            <w:rFonts w:eastAsia="Times New Roman"/>
            <w:color w:val="000000"/>
            <w:sz w:val="22"/>
            <w:lang w:eastAsia="en-AU"/>
            <w14:ligatures w14:val="standardContextual"/>
          </w:rPr>
          <w:t>5</w:t>
        </w:r>
        <w:r w:rsidRPr="00080391">
          <w:rPr>
            <w:rFonts w:eastAsia="Times New Roman"/>
            <w:color w:val="000000"/>
            <w:sz w:val="22"/>
            <w:lang w:eastAsia="en-AU"/>
            <w14:ligatures w14:val="standardContextual"/>
          </w:rPr>
          <w:tab/>
          <w:t>Drug related conduct (section 3 of Act)</w:t>
        </w:r>
      </w:hyperlink>
    </w:p>
    <w:p w14:paraId="3C0DCCD4"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080391">
          <w:rPr>
            <w:rFonts w:eastAsia="Times New Roman"/>
            <w:color w:val="000000"/>
            <w:sz w:val="22"/>
            <w:lang w:eastAsia="en-AU"/>
            <w14:ligatures w14:val="standardContextual"/>
          </w:rPr>
          <w:t>6</w:t>
        </w:r>
        <w:r w:rsidRPr="00080391">
          <w:rPr>
            <w:rFonts w:eastAsia="Times New Roman"/>
            <w:color w:val="000000"/>
            <w:sz w:val="22"/>
            <w:lang w:eastAsia="en-AU"/>
            <w14:ligatures w14:val="standardContextual"/>
          </w:rPr>
          <w:tab/>
          <w:t>Short fixed term tenancies (section 4 of Act)</w:t>
        </w:r>
      </w:hyperlink>
    </w:p>
    <w:p w14:paraId="7877B23C"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080391">
          <w:rPr>
            <w:rFonts w:eastAsia="Times New Roman"/>
            <w:color w:val="000000"/>
            <w:sz w:val="22"/>
            <w:lang w:eastAsia="en-AU"/>
            <w14:ligatures w14:val="standardContextual"/>
          </w:rPr>
          <w:t>7</w:t>
        </w:r>
        <w:r w:rsidRPr="00080391">
          <w:rPr>
            <w:rFonts w:eastAsia="Times New Roman"/>
            <w:color w:val="000000"/>
            <w:sz w:val="22"/>
            <w:lang w:eastAsia="en-AU"/>
            <w14:ligatures w14:val="standardContextual"/>
          </w:rPr>
          <w:tab/>
          <w:t>Exempted agreements (section 5 of Act)</w:t>
        </w:r>
      </w:hyperlink>
    </w:p>
    <w:p w14:paraId="22FDA41B"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833ef50_7d0f_4e59_b4f7_3bd15bda12" w:history="1">
        <w:r w:rsidRPr="00080391">
          <w:rPr>
            <w:rFonts w:eastAsia="Times New Roman"/>
            <w:color w:val="000000"/>
            <w:sz w:val="22"/>
            <w:lang w:eastAsia="en-AU"/>
            <w14:ligatures w14:val="standardContextual"/>
          </w:rPr>
          <w:t>8</w:t>
        </w:r>
        <w:r w:rsidRPr="00080391">
          <w:rPr>
            <w:rFonts w:eastAsia="Times New Roman"/>
            <w:color w:val="000000"/>
            <w:sz w:val="22"/>
            <w:lang w:eastAsia="en-AU"/>
            <w14:ligatures w14:val="standardContextual"/>
          </w:rPr>
          <w:tab/>
          <w:t>Prospective tenant—requirements relating to provision of information</w:t>
        </w:r>
      </w:hyperlink>
    </w:p>
    <w:p w14:paraId="778D607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080391">
          <w:rPr>
            <w:rFonts w:eastAsia="Times New Roman"/>
            <w:color w:val="000000"/>
            <w:sz w:val="22"/>
            <w:lang w:eastAsia="en-AU"/>
            <w14:ligatures w14:val="standardContextual"/>
          </w:rPr>
          <w:t>9</w:t>
        </w:r>
        <w:r w:rsidRPr="00080391">
          <w:rPr>
            <w:rFonts w:eastAsia="Times New Roman"/>
            <w:color w:val="000000"/>
            <w:sz w:val="22"/>
            <w:lang w:eastAsia="en-AU"/>
            <w14:ligatures w14:val="standardContextual"/>
          </w:rPr>
          <w:tab/>
          <w:t>Advertising premises—prescribed information and material facts (section 47C of Act)</w:t>
        </w:r>
      </w:hyperlink>
    </w:p>
    <w:p w14:paraId="05BAD26F"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080391">
          <w:rPr>
            <w:rFonts w:eastAsia="Times New Roman"/>
            <w:color w:val="000000"/>
            <w:sz w:val="22"/>
            <w:lang w:eastAsia="en-AU"/>
            <w14:ligatures w14:val="standardContextual"/>
          </w:rPr>
          <w:t>10</w:t>
        </w:r>
        <w:r w:rsidRPr="00080391">
          <w:rPr>
            <w:rFonts w:eastAsia="Times New Roman"/>
            <w:color w:val="000000"/>
            <w:sz w:val="22"/>
            <w:lang w:eastAsia="en-AU"/>
            <w14:ligatures w14:val="standardContextual"/>
          </w:rPr>
          <w:tab/>
          <w:t>Information relating to supply of certain electricity (section 48(1)(ea) of Act)</w:t>
        </w:r>
      </w:hyperlink>
    </w:p>
    <w:p w14:paraId="6B27A31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080391">
          <w:rPr>
            <w:rFonts w:eastAsia="Times New Roman"/>
            <w:color w:val="000000"/>
            <w:sz w:val="22"/>
            <w:lang w:eastAsia="en-AU"/>
            <w14:ligatures w14:val="standardContextual"/>
          </w:rPr>
          <w:t>11</w:t>
        </w:r>
        <w:r w:rsidRPr="00080391">
          <w:rPr>
            <w:rFonts w:eastAsia="Times New Roman"/>
            <w:color w:val="000000"/>
            <w:sz w:val="22"/>
            <w:lang w:eastAsia="en-AU"/>
            <w14:ligatures w14:val="standardContextual"/>
          </w:rPr>
          <w:tab/>
          <w:t>Residential tenancy agreements—prescribed requirements (section 49 of Act)</w:t>
        </w:r>
      </w:hyperlink>
    </w:p>
    <w:p w14:paraId="6AA8C774"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080391">
          <w:rPr>
            <w:rFonts w:eastAsia="Times New Roman"/>
            <w:color w:val="000000"/>
            <w:sz w:val="22"/>
            <w:lang w:eastAsia="en-AU"/>
            <w14:ligatures w14:val="standardContextual"/>
          </w:rPr>
          <w:t>12</w:t>
        </w:r>
        <w:r w:rsidRPr="00080391">
          <w:rPr>
            <w:rFonts w:eastAsia="Times New Roman"/>
            <w:color w:val="000000"/>
            <w:sz w:val="22"/>
            <w:lang w:eastAsia="en-AU"/>
            <w14:ligatures w14:val="standardContextual"/>
          </w:rPr>
          <w:tab/>
          <w:t>Other amounts recoverable by landlord (section 53 of Act)</w:t>
        </w:r>
      </w:hyperlink>
    </w:p>
    <w:p w14:paraId="67F8912B"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080391">
          <w:rPr>
            <w:rFonts w:eastAsia="Times New Roman"/>
            <w:color w:val="000000"/>
            <w:sz w:val="22"/>
            <w:lang w:eastAsia="en-AU"/>
            <w14:ligatures w14:val="standardContextual"/>
          </w:rPr>
          <w:t>13</w:t>
        </w:r>
        <w:r w:rsidRPr="00080391">
          <w:rPr>
            <w:rFonts w:eastAsia="Times New Roman"/>
            <w:color w:val="000000"/>
            <w:sz w:val="22"/>
            <w:lang w:eastAsia="en-AU"/>
            <w14:ligatures w14:val="standardContextual"/>
          </w:rPr>
          <w:tab/>
          <w:t>Limit of amount of bond—rent level (section 61 of Act)</w:t>
        </w:r>
      </w:hyperlink>
    </w:p>
    <w:p w14:paraId="45E60B44"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080391">
          <w:rPr>
            <w:rFonts w:eastAsia="Times New Roman"/>
            <w:color w:val="000000"/>
            <w:sz w:val="22"/>
            <w:lang w:eastAsia="en-AU"/>
            <w14:ligatures w14:val="standardContextual"/>
          </w:rPr>
          <w:t>14</w:t>
        </w:r>
        <w:r w:rsidRPr="00080391">
          <w:rPr>
            <w:rFonts w:eastAsia="Times New Roman"/>
            <w:color w:val="000000"/>
            <w:sz w:val="22"/>
            <w:lang w:eastAsia="en-AU"/>
            <w14:ligatures w14:val="standardContextual"/>
          </w:rPr>
          <w:tab/>
          <w:t>Transmission of bond to Commissioner etc (sections 62 and 105L of Act)</w:t>
        </w:r>
      </w:hyperlink>
    </w:p>
    <w:p w14:paraId="254B1815"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080391">
          <w:rPr>
            <w:rFonts w:eastAsia="Times New Roman"/>
            <w:color w:val="000000"/>
            <w:sz w:val="22"/>
            <w:lang w:eastAsia="en-AU"/>
            <w14:ligatures w14:val="standardContextual"/>
          </w:rPr>
          <w:t>15</w:t>
        </w:r>
        <w:r w:rsidRPr="00080391">
          <w:rPr>
            <w:rFonts w:eastAsia="Times New Roman"/>
            <w:color w:val="000000"/>
            <w:sz w:val="22"/>
            <w:lang w:eastAsia="en-AU"/>
            <w14:ligatures w14:val="standardContextual"/>
          </w:rPr>
          <w:tab/>
          <w:t>Bond—prescribed periods, third party payments and guarantees (sections 63 and 105M of Act)</w:t>
        </w:r>
      </w:hyperlink>
    </w:p>
    <w:p w14:paraId="4CE79214"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080391">
          <w:rPr>
            <w:rFonts w:eastAsia="Times New Roman"/>
            <w:color w:val="000000"/>
            <w:sz w:val="22"/>
            <w:lang w:eastAsia="en-AU"/>
            <w14:ligatures w14:val="standardContextual"/>
          </w:rPr>
          <w:t>16</w:t>
        </w:r>
        <w:r w:rsidRPr="00080391">
          <w:rPr>
            <w:rFonts w:eastAsia="Times New Roman"/>
            <w:color w:val="000000"/>
            <w:sz w:val="22"/>
            <w:lang w:eastAsia="en-AU"/>
            <w14:ligatures w14:val="standardContextual"/>
          </w:rPr>
          <w:tab/>
          <w:t>Altering locks for premises—relevant orders and protected persons (section 66A of Act)</w:t>
        </w:r>
      </w:hyperlink>
    </w:p>
    <w:p w14:paraId="6ADBE8CC"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080391">
          <w:rPr>
            <w:rFonts w:eastAsia="Times New Roman"/>
            <w:color w:val="000000"/>
            <w:sz w:val="22"/>
            <w:lang w:eastAsia="en-AU"/>
            <w14:ligatures w14:val="standardContextual"/>
          </w:rPr>
          <w:t>17</w:t>
        </w:r>
        <w:r w:rsidRPr="00080391">
          <w:rPr>
            <w:rFonts w:eastAsia="Times New Roman"/>
            <w:color w:val="000000"/>
            <w:sz w:val="22"/>
            <w:lang w:eastAsia="en-AU"/>
            <w14:ligatures w14:val="standardContextual"/>
          </w:rPr>
          <w:tab/>
          <w:t>Testing and remediation in relation to drug contamination (section 67B of Act)</w:t>
        </w:r>
      </w:hyperlink>
    </w:p>
    <w:p w14:paraId="117ECAA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Pr="00080391">
          <w:rPr>
            <w:rFonts w:eastAsia="Times New Roman"/>
            <w:color w:val="000000"/>
            <w:sz w:val="22"/>
            <w:lang w:eastAsia="en-AU"/>
            <w14:ligatures w14:val="standardContextual"/>
          </w:rPr>
          <w:t>18</w:t>
        </w:r>
        <w:r w:rsidRPr="00080391">
          <w:rPr>
            <w:rFonts w:eastAsia="Times New Roman"/>
            <w:color w:val="000000"/>
            <w:sz w:val="22"/>
            <w:lang w:eastAsia="en-AU"/>
            <w14:ligatures w14:val="standardContextual"/>
          </w:rPr>
          <w:tab/>
          <w:t>Items for which community housing provider is not responsible (section 68 of Act)</w:t>
        </w:r>
      </w:hyperlink>
    </w:p>
    <w:p w14:paraId="48313BEA"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080391">
          <w:rPr>
            <w:rFonts w:eastAsia="Times New Roman"/>
            <w:color w:val="000000"/>
            <w:sz w:val="22"/>
            <w:lang w:eastAsia="en-AU"/>
            <w14:ligatures w14:val="standardContextual"/>
          </w:rPr>
          <w:t>19</w:t>
        </w:r>
        <w:r w:rsidRPr="00080391">
          <w:rPr>
            <w:rFonts w:eastAsia="Times New Roman"/>
            <w:color w:val="000000"/>
            <w:sz w:val="22"/>
            <w:lang w:eastAsia="en-AU"/>
            <w14:ligatures w14:val="standardContextual"/>
          </w:rPr>
          <w:tab/>
          <w:t>Minimum efficiency standards—requirements (sections 68A and 105PA of Act)</w:t>
        </w:r>
      </w:hyperlink>
    </w:p>
    <w:p w14:paraId="23D4524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Pr="00080391">
          <w:rPr>
            <w:rFonts w:eastAsia="Times New Roman"/>
            <w:color w:val="000000"/>
            <w:sz w:val="22"/>
            <w:lang w:eastAsia="en-AU"/>
            <w14:ligatures w14:val="standardContextual"/>
          </w:rPr>
          <w:t>20</w:t>
        </w:r>
        <w:r w:rsidRPr="00080391">
          <w:rPr>
            <w:rFonts w:eastAsia="Times New Roman"/>
            <w:color w:val="000000"/>
            <w:sz w:val="22"/>
            <w:lang w:eastAsia="en-AU"/>
            <w14:ligatures w14:val="standardContextual"/>
          </w:rPr>
          <w:tab/>
          <w:t>Alteration of premises for provision of infrastructure or a service (section 70 of Act)</w:t>
        </w:r>
      </w:hyperlink>
    </w:p>
    <w:p w14:paraId="23655891"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Pr="00080391">
          <w:rPr>
            <w:rFonts w:eastAsia="Times New Roman"/>
            <w:color w:val="000000"/>
            <w:sz w:val="22"/>
            <w:lang w:eastAsia="en-AU"/>
            <w14:ligatures w14:val="standardContextual"/>
          </w:rPr>
          <w:t>21</w:t>
        </w:r>
        <w:r w:rsidRPr="00080391">
          <w:rPr>
            <w:rFonts w:eastAsia="Times New Roman"/>
            <w:color w:val="000000"/>
            <w:sz w:val="22"/>
            <w:lang w:eastAsia="en-AU"/>
            <w14:ligatures w14:val="standardContextual"/>
          </w:rPr>
          <w:tab/>
          <w:t>Right of entry—notice of proposed entry and requirements relating to records (section 72 of Act)</w:t>
        </w:r>
      </w:hyperlink>
    </w:p>
    <w:p w14:paraId="0203864D"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 w:history="1">
        <w:r w:rsidRPr="00080391">
          <w:rPr>
            <w:rFonts w:eastAsia="Times New Roman"/>
            <w:color w:val="000000"/>
            <w:sz w:val="22"/>
            <w:lang w:eastAsia="en-AU"/>
            <w14:ligatures w14:val="standardContextual"/>
          </w:rPr>
          <w:t>22</w:t>
        </w:r>
        <w:r w:rsidRPr="00080391">
          <w:rPr>
            <w:rFonts w:eastAsia="Times New Roman"/>
            <w:color w:val="000000"/>
            <w:sz w:val="22"/>
            <w:lang w:eastAsia="en-AU"/>
            <w14:ligatures w14:val="standardContextual"/>
          </w:rPr>
          <w:tab/>
          <w:t>Notice of termination—landlords (Part 5 Division 2 of Act)</w:t>
        </w:r>
      </w:hyperlink>
    </w:p>
    <w:p w14:paraId="5C43E05C"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Pr="00080391">
          <w:rPr>
            <w:rFonts w:eastAsia="Times New Roman"/>
            <w:color w:val="000000"/>
            <w:sz w:val="22"/>
            <w:lang w:eastAsia="en-AU"/>
            <w14:ligatures w14:val="standardContextual"/>
          </w:rPr>
          <w:t>23</w:t>
        </w:r>
        <w:r w:rsidRPr="00080391">
          <w:rPr>
            <w:rFonts w:eastAsia="Times New Roman"/>
            <w:color w:val="000000"/>
            <w:sz w:val="22"/>
            <w:lang w:eastAsia="en-AU"/>
            <w14:ligatures w14:val="standardContextual"/>
          </w:rPr>
          <w:tab/>
          <w:t>Grounds of termination (section 81 of Act)</w:t>
        </w:r>
      </w:hyperlink>
    </w:p>
    <w:p w14:paraId="3302FF9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Pr="00080391">
          <w:rPr>
            <w:rFonts w:eastAsia="Times New Roman"/>
            <w:color w:val="000000"/>
            <w:sz w:val="22"/>
            <w:lang w:eastAsia="en-AU"/>
            <w14:ligatures w14:val="standardContextual"/>
          </w:rPr>
          <w:t>24</w:t>
        </w:r>
        <w:r w:rsidRPr="00080391">
          <w:rPr>
            <w:rFonts w:eastAsia="Times New Roman"/>
            <w:color w:val="000000"/>
            <w:sz w:val="22"/>
            <w:lang w:eastAsia="en-AU"/>
            <w14:ligatures w14:val="standardContextual"/>
          </w:rPr>
          <w:tab/>
          <w:t>Grounds of termination (section 83 of Act)</w:t>
        </w:r>
      </w:hyperlink>
    </w:p>
    <w:p w14:paraId="1514305B"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bd416a9_a45d_496d_9617_f7ee56b60cf0_4" w:history="1">
        <w:r w:rsidRPr="00080391">
          <w:rPr>
            <w:rFonts w:eastAsia="Times New Roman"/>
            <w:color w:val="000000"/>
            <w:sz w:val="22"/>
            <w:lang w:eastAsia="en-AU"/>
            <w14:ligatures w14:val="standardContextual"/>
          </w:rPr>
          <w:t>25</w:t>
        </w:r>
        <w:r w:rsidRPr="00080391">
          <w:rPr>
            <w:rFonts w:eastAsia="Times New Roman"/>
            <w:color w:val="000000"/>
            <w:sz w:val="22"/>
            <w:lang w:eastAsia="en-AU"/>
            <w14:ligatures w14:val="standardContextual"/>
          </w:rPr>
          <w:tab/>
          <w:t>Grounds of termination (section 83A of Act)</w:t>
        </w:r>
      </w:hyperlink>
    </w:p>
    <w:p w14:paraId="428FC722"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080391">
          <w:rPr>
            <w:rFonts w:eastAsia="Times New Roman"/>
            <w:color w:val="000000"/>
            <w:sz w:val="22"/>
            <w:lang w:eastAsia="en-AU"/>
            <w14:ligatures w14:val="standardContextual"/>
          </w:rPr>
          <w:t>26</w:t>
        </w:r>
        <w:r w:rsidRPr="00080391">
          <w:rPr>
            <w:rFonts w:eastAsia="Times New Roman"/>
            <w:color w:val="000000"/>
            <w:sz w:val="22"/>
            <w:lang w:eastAsia="en-AU"/>
            <w14:ligatures w14:val="standardContextual"/>
          </w:rPr>
          <w:tab/>
          <w:t>Vacation of premises and liability to pay rent (section 83A(4) of Act)</w:t>
        </w:r>
      </w:hyperlink>
    </w:p>
    <w:p w14:paraId="20D74669"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Pr="00080391">
          <w:rPr>
            <w:rFonts w:eastAsia="Times New Roman"/>
            <w:color w:val="000000"/>
            <w:sz w:val="22"/>
            <w:lang w:eastAsia="en-AU"/>
            <w14:ligatures w14:val="standardContextual"/>
          </w:rPr>
          <w:t>27</w:t>
        </w:r>
        <w:r w:rsidRPr="00080391">
          <w:rPr>
            <w:rFonts w:eastAsia="Times New Roman"/>
            <w:color w:val="000000"/>
            <w:sz w:val="22"/>
            <w:lang w:eastAsia="en-AU"/>
            <w14:ligatures w14:val="standardContextual"/>
          </w:rPr>
          <w:tab/>
          <w:t>Compensation for termination—prescribed circumstances (section 84A of Act)</w:t>
        </w:r>
      </w:hyperlink>
    </w:p>
    <w:p w14:paraId="7DB4E290"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2" w:history="1">
        <w:r w:rsidRPr="00080391">
          <w:rPr>
            <w:rFonts w:eastAsia="Times New Roman"/>
            <w:color w:val="000000"/>
            <w:sz w:val="22"/>
            <w:lang w:eastAsia="en-AU"/>
            <w14:ligatures w14:val="standardContextual"/>
          </w:rPr>
          <w:t>28</w:t>
        </w:r>
        <w:r w:rsidRPr="00080391">
          <w:rPr>
            <w:rFonts w:eastAsia="Times New Roman"/>
            <w:color w:val="000000"/>
            <w:sz w:val="22"/>
            <w:lang w:eastAsia="en-AU"/>
            <w14:ligatures w14:val="standardContextual"/>
          </w:rPr>
          <w:tab/>
          <w:t>Notice of termination—tenants (Part 5 Division 3 of Act)</w:t>
        </w:r>
      </w:hyperlink>
    </w:p>
    <w:p w14:paraId="1F64A5E6"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f511420_0274_4d39_8d2a_042546641d0b_e" w:history="1">
        <w:r w:rsidRPr="00080391">
          <w:rPr>
            <w:rFonts w:eastAsia="Times New Roman"/>
            <w:color w:val="000000"/>
            <w:sz w:val="22"/>
            <w:lang w:eastAsia="en-AU"/>
            <w14:ligatures w14:val="standardContextual"/>
          </w:rPr>
          <w:t>29</w:t>
        </w:r>
        <w:r w:rsidRPr="00080391">
          <w:rPr>
            <w:rFonts w:eastAsia="Times New Roman"/>
            <w:color w:val="000000"/>
            <w:sz w:val="22"/>
            <w:lang w:eastAsia="en-AU"/>
            <w14:ligatures w14:val="standardContextual"/>
          </w:rPr>
          <w:tab/>
          <w:t>Termination by tenant—prescribed circumstances (section 85C of Act)</w:t>
        </w:r>
      </w:hyperlink>
    </w:p>
    <w:p w14:paraId="733D3E7F"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5" w:history="1">
        <w:r w:rsidRPr="00080391">
          <w:rPr>
            <w:rFonts w:eastAsia="Times New Roman"/>
            <w:color w:val="000000"/>
            <w:sz w:val="22"/>
            <w:lang w:eastAsia="en-AU"/>
            <w14:ligatures w14:val="standardContextual"/>
          </w:rPr>
          <w:t>30</w:t>
        </w:r>
        <w:r w:rsidRPr="00080391">
          <w:rPr>
            <w:rFonts w:eastAsia="Times New Roman"/>
            <w:color w:val="000000"/>
            <w:sz w:val="22"/>
            <w:lang w:eastAsia="en-AU"/>
            <w14:ligatures w14:val="standardContextual"/>
          </w:rPr>
          <w:tab/>
          <w:t>Termination by tenant on ground of domestic abuse (section 85D of Act)</w:t>
        </w:r>
      </w:hyperlink>
    </w:p>
    <w:p w14:paraId="0F937517"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6" w:history="1">
        <w:r w:rsidRPr="00080391">
          <w:rPr>
            <w:rFonts w:eastAsia="Times New Roman"/>
            <w:color w:val="000000"/>
            <w:sz w:val="22"/>
            <w:lang w:eastAsia="en-AU"/>
            <w14:ligatures w14:val="standardContextual"/>
          </w:rPr>
          <w:t>31</w:t>
        </w:r>
        <w:r w:rsidRPr="00080391">
          <w:rPr>
            <w:rFonts w:eastAsia="Times New Roman"/>
            <w:color w:val="000000"/>
            <w:sz w:val="22"/>
            <w:lang w:eastAsia="en-AU"/>
            <w14:ligatures w14:val="standardContextual"/>
          </w:rPr>
          <w:tab/>
          <w:t>Tribunal orders in relation to circumstances of domestic abuse—prescribed grounds (section 90B of Act)</w:t>
        </w:r>
      </w:hyperlink>
    </w:p>
    <w:p w14:paraId="26FFBD03"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4943a43_27d5_45db_8aca_881fff6e3a" w:history="1">
        <w:r w:rsidRPr="00080391">
          <w:rPr>
            <w:rFonts w:eastAsia="Times New Roman"/>
            <w:color w:val="000000"/>
            <w:sz w:val="22"/>
            <w:lang w:eastAsia="en-AU"/>
            <w14:ligatures w14:val="standardContextual"/>
          </w:rPr>
          <w:t>32</w:t>
        </w:r>
        <w:r w:rsidRPr="00080391">
          <w:rPr>
            <w:rFonts w:eastAsia="Times New Roman"/>
            <w:color w:val="000000"/>
            <w:sz w:val="22"/>
            <w:lang w:eastAsia="en-AU"/>
            <w14:ligatures w14:val="standardContextual"/>
          </w:rPr>
          <w:tab/>
          <w:t>Form of notice of termination—prescribed grounds and required information (section 91 of Act)</w:t>
        </w:r>
      </w:hyperlink>
    </w:p>
    <w:p w14:paraId="3C02E4C5"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9" w:history="1">
        <w:r w:rsidRPr="00080391">
          <w:rPr>
            <w:rFonts w:eastAsia="Times New Roman"/>
            <w:color w:val="000000"/>
            <w:sz w:val="22"/>
            <w:lang w:eastAsia="en-AU"/>
            <w14:ligatures w14:val="standardContextual"/>
          </w:rPr>
          <w:t>33</w:t>
        </w:r>
        <w:r w:rsidRPr="00080391">
          <w:rPr>
            <w:rFonts w:eastAsia="Times New Roman"/>
            <w:color w:val="000000"/>
            <w:sz w:val="22"/>
            <w:lang w:eastAsia="en-AU"/>
            <w14:ligatures w14:val="standardContextual"/>
          </w:rPr>
          <w:tab/>
          <w:t>Prohibition on letting premises after notice of termination—prescribed grounds (section 91A of Act)</w:t>
        </w:r>
      </w:hyperlink>
    </w:p>
    <w:p w14:paraId="560F3ABF"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0" w:history="1">
        <w:r w:rsidRPr="00080391">
          <w:rPr>
            <w:rFonts w:eastAsia="Times New Roman"/>
            <w:color w:val="000000"/>
            <w:sz w:val="22"/>
            <w:lang w:eastAsia="en-AU"/>
            <w14:ligatures w14:val="standardContextual"/>
          </w:rPr>
          <w:t>34</w:t>
        </w:r>
        <w:r w:rsidRPr="00080391">
          <w:rPr>
            <w:rFonts w:eastAsia="Times New Roman"/>
            <w:color w:val="000000"/>
            <w:sz w:val="22"/>
            <w:lang w:eastAsia="en-AU"/>
            <w14:ligatures w14:val="standardContextual"/>
          </w:rPr>
          <w:tab/>
          <w:t>Abandoned property—prescribed period (section 97B of Act)</w:t>
        </w:r>
      </w:hyperlink>
    </w:p>
    <w:p w14:paraId="214DA1C8"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1" w:history="1">
        <w:r w:rsidRPr="00080391">
          <w:rPr>
            <w:rFonts w:eastAsia="Times New Roman"/>
            <w:color w:val="000000"/>
            <w:sz w:val="22"/>
            <w:lang w:eastAsia="en-AU"/>
            <w14:ligatures w14:val="standardContextual"/>
          </w:rPr>
          <w:t>35</w:t>
        </w:r>
        <w:r w:rsidRPr="00080391">
          <w:rPr>
            <w:rFonts w:eastAsia="Times New Roman"/>
            <w:color w:val="000000"/>
            <w:sz w:val="22"/>
            <w:lang w:eastAsia="en-AU"/>
            <w14:ligatures w14:val="standardContextual"/>
          </w:rPr>
          <w:tab/>
          <w:t>Abandoned personal documents—prescribed period (section 97C of Act)</w:t>
        </w:r>
      </w:hyperlink>
    </w:p>
    <w:p w14:paraId="3A443AD1"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2" w:history="1">
        <w:r w:rsidRPr="00080391">
          <w:rPr>
            <w:rFonts w:eastAsia="Times New Roman"/>
            <w:color w:val="000000"/>
            <w:sz w:val="22"/>
            <w:lang w:eastAsia="en-AU"/>
            <w14:ligatures w14:val="standardContextual"/>
          </w:rPr>
          <w:t>36</w:t>
        </w:r>
        <w:r w:rsidRPr="00080391">
          <w:rPr>
            <w:rFonts w:eastAsia="Times New Roman"/>
            <w:color w:val="000000"/>
            <w:sz w:val="22"/>
            <w:lang w:eastAsia="en-AU"/>
            <w14:ligatures w14:val="standardContextual"/>
          </w:rPr>
          <w:tab/>
          <w:t>Designated rooming house proprietors annual return—prescribed date (section 103D of Act)</w:t>
        </w:r>
      </w:hyperlink>
    </w:p>
    <w:p w14:paraId="66913080"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3" w:history="1">
        <w:r w:rsidRPr="00080391">
          <w:rPr>
            <w:rFonts w:eastAsia="Times New Roman"/>
            <w:color w:val="000000"/>
            <w:sz w:val="22"/>
            <w:lang w:eastAsia="en-AU"/>
            <w14:ligatures w14:val="standardContextual"/>
          </w:rPr>
          <w:t>37</w:t>
        </w:r>
        <w:r w:rsidRPr="00080391">
          <w:rPr>
            <w:rFonts w:eastAsia="Times New Roman"/>
            <w:color w:val="000000"/>
            <w:sz w:val="22"/>
            <w:lang w:eastAsia="en-AU"/>
            <w14:ligatures w14:val="standardContextual"/>
          </w:rPr>
          <w:tab/>
          <w:t>Termination of rooming house agreement—prescribed grounds (section 105U of Act)</w:t>
        </w:r>
      </w:hyperlink>
    </w:p>
    <w:p w14:paraId="6AFE90C3" w14:textId="7DC9018F" w:rsidR="00BB5DE5"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4" w:history="1">
        <w:r w:rsidRPr="00080391">
          <w:rPr>
            <w:rFonts w:eastAsia="Times New Roman"/>
            <w:color w:val="000000"/>
            <w:sz w:val="22"/>
            <w:lang w:eastAsia="en-AU"/>
            <w14:ligatures w14:val="standardContextual"/>
          </w:rPr>
          <w:t>38</w:t>
        </w:r>
        <w:r w:rsidRPr="00080391">
          <w:rPr>
            <w:rFonts w:eastAsia="Times New Roman"/>
            <w:color w:val="000000"/>
            <w:sz w:val="22"/>
            <w:lang w:eastAsia="en-AU"/>
            <w14:ligatures w14:val="standardContextual"/>
          </w:rPr>
          <w:tab/>
          <w:t>Abandoned property—prescribed period (section 105W of Act)</w:t>
        </w:r>
      </w:hyperlink>
    </w:p>
    <w:p w14:paraId="234DCAC7" w14:textId="77777777" w:rsidR="00BB5DE5" w:rsidRDefault="00BB5DE5">
      <w:pPr>
        <w:spacing w:after="0" w:line="240" w:lineRule="auto"/>
        <w:jc w:val="left"/>
        <w:rPr>
          <w:rFonts w:eastAsia="Times New Roman"/>
          <w:color w:val="000000"/>
          <w:sz w:val="22"/>
          <w:lang w:eastAsia="en-AU"/>
          <w14:ligatures w14:val="standardContextual"/>
        </w:rPr>
      </w:pPr>
      <w:r>
        <w:rPr>
          <w:rFonts w:eastAsia="Times New Roman"/>
          <w:color w:val="000000"/>
          <w:sz w:val="22"/>
          <w:lang w:eastAsia="en-AU"/>
          <w14:ligatures w14:val="standardContextual"/>
        </w:rPr>
        <w:br w:type="page"/>
      </w:r>
    </w:p>
    <w:p w14:paraId="4304891E" w14:textId="77777777" w:rsidR="00080391" w:rsidRPr="00080391" w:rsidRDefault="00080391" w:rsidP="0008039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292e476_3662_4421_b0a2_dcda964f3208_4" w:history="1">
        <w:r w:rsidRPr="00080391">
          <w:rPr>
            <w:rFonts w:eastAsia="Times New Roman"/>
            <w:color w:val="000000"/>
            <w:sz w:val="28"/>
            <w:szCs w:val="28"/>
            <w:lang w:eastAsia="en-AU"/>
            <w14:ligatures w14:val="standardContextual"/>
          </w:rPr>
          <w:t>Schedule 1—Forms</w:t>
        </w:r>
      </w:hyperlink>
    </w:p>
    <w:p w14:paraId="200D1C8A" w14:textId="77777777" w:rsidR="00080391" w:rsidRPr="00080391" w:rsidRDefault="00080391" w:rsidP="0008039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7" w:history="1">
        <w:r w:rsidRPr="00080391">
          <w:rPr>
            <w:rFonts w:eastAsia="Times New Roman"/>
            <w:color w:val="000000"/>
            <w:sz w:val="28"/>
            <w:szCs w:val="28"/>
            <w:lang w:eastAsia="en-AU"/>
            <w14:ligatures w14:val="standardContextual"/>
          </w:rPr>
          <w:t xml:space="preserve">Schedule 2—Transitional provision for </w:t>
        </w:r>
        <w:r w:rsidRPr="00080391">
          <w:rPr>
            <w:rFonts w:eastAsia="Times New Roman"/>
            <w:i/>
            <w:iCs/>
            <w:color w:val="000000"/>
            <w:sz w:val="28"/>
            <w:szCs w:val="28"/>
            <w:lang w:eastAsia="en-AU"/>
            <w14:ligatures w14:val="standardContextual"/>
          </w:rPr>
          <w:t>Residential Tenancies (Miscellaneous) Amendment Act 2013</w:t>
        </w:r>
      </w:hyperlink>
    </w:p>
    <w:p w14:paraId="320CAF67"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8" w:history="1">
        <w:r w:rsidRPr="00080391">
          <w:rPr>
            <w:rFonts w:eastAsia="Times New Roman"/>
            <w:color w:val="000000"/>
            <w:sz w:val="22"/>
            <w:lang w:eastAsia="en-AU"/>
            <w14:ligatures w14:val="standardContextual"/>
          </w:rPr>
          <w:t>1</w:t>
        </w:r>
        <w:r w:rsidRPr="00080391">
          <w:rPr>
            <w:rFonts w:eastAsia="Times New Roman"/>
            <w:color w:val="000000"/>
            <w:sz w:val="22"/>
            <w:lang w:eastAsia="en-AU"/>
            <w14:ligatures w14:val="standardContextual"/>
          </w:rPr>
          <w:tab/>
          <w:t>Repayment of bond—rooming houses</w:t>
        </w:r>
      </w:hyperlink>
    </w:p>
    <w:p w14:paraId="2BB1D105" w14:textId="77777777" w:rsidR="00080391" w:rsidRPr="00080391" w:rsidRDefault="00080391" w:rsidP="0008039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9" w:history="1">
        <w:r w:rsidRPr="00080391">
          <w:rPr>
            <w:rFonts w:eastAsia="Times New Roman"/>
            <w:color w:val="000000"/>
            <w:sz w:val="28"/>
            <w:szCs w:val="28"/>
            <w:lang w:eastAsia="en-AU"/>
            <w14:ligatures w14:val="standardContextual"/>
          </w:rPr>
          <w:t>Schedule 3—Repeal and transitional provisions</w:t>
        </w:r>
      </w:hyperlink>
    </w:p>
    <w:p w14:paraId="5FAC750C" w14:textId="77777777" w:rsidR="00080391" w:rsidRPr="00080391" w:rsidRDefault="00080391" w:rsidP="0008039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0" w:history="1">
        <w:r w:rsidRPr="00080391">
          <w:rPr>
            <w:rFonts w:eastAsia="Times New Roman"/>
            <w:color w:val="000000"/>
            <w:sz w:val="28"/>
            <w:szCs w:val="28"/>
            <w:lang w:eastAsia="en-AU"/>
            <w14:ligatures w14:val="standardContextual"/>
          </w:rPr>
          <w:t xml:space="preserve">Part 1—Repeal of </w:t>
        </w:r>
        <w:r w:rsidRPr="00080391">
          <w:rPr>
            <w:rFonts w:eastAsia="Times New Roman"/>
            <w:i/>
            <w:iCs/>
            <w:color w:val="000000"/>
            <w:sz w:val="28"/>
            <w:szCs w:val="28"/>
            <w:lang w:eastAsia="en-AU"/>
            <w14:ligatures w14:val="standardContextual"/>
          </w:rPr>
          <w:t>Residential Tenancies Regulations 2010</w:t>
        </w:r>
      </w:hyperlink>
    </w:p>
    <w:p w14:paraId="76132B17"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1" w:history="1">
        <w:r w:rsidRPr="00080391">
          <w:rPr>
            <w:rFonts w:eastAsia="Times New Roman"/>
            <w:color w:val="000000"/>
            <w:sz w:val="22"/>
            <w:lang w:eastAsia="en-AU"/>
            <w14:ligatures w14:val="standardContextual"/>
          </w:rPr>
          <w:t>1</w:t>
        </w:r>
        <w:r w:rsidRPr="00080391">
          <w:rPr>
            <w:rFonts w:eastAsia="Times New Roman"/>
            <w:color w:val="000000"/>
            <w:sz w:val="22"/>
            <w:lang w:eastAsia="en-AU"/>
            <w14:ligatures w14:val="standardContextual"/>
          </w:rPr>
          <w:tab/>
          <w:t xml:space="preserve">Repeal of </w:t>
        </w:r>
        <w:r w:rsidRPr="00080391">
          <w:rPr>
            <w:rFonts w:eastAsia="Times New Roman"/>
            <w:i/>
            <w:iCs/>
            <w:color w:val="000000"/>
            <w:sz w:val="22"/>
            <w:lang w:eastAsia="en-AU"/>
            <w14:ligatures w14:val="standardContextual"/>
          </w:rPr>
          <w:t>Residential Tenancies Regulations 2010</w:t>
        </w:r>
      </w:hyperlink>
    </w:p>
    <w:p w14:paraId="58691A79" w14:textId="77777777" w:rsidR="00080391" w:rsidRPr="00080391" w:rsidRDefault="00080391" w:rsidP="0008039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2" w:history="1">
        <w:r w:rsidRPr="00080391">
          <w:rPr>
            <w:rFonts w:eastAsia="Times New Roman"/>
            <w:color w:val="000000"/>
            <w:sz w:val="28"/>
            <w:szCs w:val="28"/>
            <w:lang w:eastAsia="en-AU"/>
            <w14:ligatures w14:val="standardContextual"/>
          </w:rPr>
          <w:t>Part 2—Transitional provisions</w:t>
        </w:r>
      </w:hyperlink>
    </w:p>
    <w:p w14:paraId="53297D61" w14:textId="77777777" w:rsidR="00080391" w:rsidRPr="00080391" w:rsidRDefault="00080391" w:rsidP="0008039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3" w:history="1">
        <w:r w:rsidRPr="00080391">
          <w:rPr>
            <w:rFonts w:eastAsia="Times New Roman"/>
            <w:color w:val="000000"/>
            <w:sz w:val="22"/>
            <w:lang w:eastAsia="en-AU"/>
            <w14:ligatures w14:val="standardContextual"/>
          </w:rPr>
          <w:t>2</w:t>
        </w:r>
        <w:r w:rsidRPr="00080391">
          <w:rPr>
            <w:rFonts w:eastAsia="Times New Roman"/>
            <w:color w:val="000000"/>
            <w:sz w:val="22"/>
            <w:lang w:eastAsia="en-AU"/>
            <w14:ligatures w14:val="standardContextual"/>
          </w:rPr>
          <w:tab/>
          <w:t>Form A1</w:t>
        </w:r>
      </w:hyperlink>
    </w:p>
    <w:p w14:paraId="79BBE1E1" w14:textId="77777777" w:rsidR="00080391" w:rsidRPr="00080391" w:rsidRDefault="00080391" w:rsidP="0008039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7D5674E" w14:textId="77777777" w:rsidR="00080391" w:rsidRPr="00080391" w:rsidRDefault="00080391" w:rsidP="0008039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080391">
        <w:rPr>
          <w:rFonts w:eastAsia="Times New Roman"/>
          <w:b/>
          <w:bCs/>
          <w:color w:val="000000"/>
          <w:sz w:val="32"/>
          <w:szCs w:val="32"/>
          <w:lang w:eastAsia="en-AU"/>
          <w14:ligatures w14:val="standardContextual"/>
        </w:rPr>
        <w:t>Part 1—Preliminary</w:t>
      </w:r>
    </w:p>
    <w:p w14:paraId="10E8EAD7"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1—Short title</w:t>
      </w:r>
    </w:p>
    <w:p w14:paraId="5285E2D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These regulations may be cited as the </w:t>
      </w:r>
      <w:r w:rsidRPr="00080391">
        <w:rPr>
          <w:rFonts w:eastAsia="Times New Roman"/>
          <w:i/>
          <w:iCs/>
          <w:color w:val="000000"/>
          <w:sz w:val="23"/>
          <w:szCs w:val="23"/>
          <w:lang w:eastAsia="en-AU"/>
          <w14:ligatures w14:val="standardContextual"/>
        </w:rPr>
        <w:t>Residential Tenancies Regulations 2025</w:t>
      </w:r>
      <w:r w:rsidRPr="00080391">
        <w:rPr>
          <w:rFonts w:eastAsia="Times New Roman"/>
          <w:color w:val="000000"/>
          <w:sz w:val="23"/>
          <w:szCs w:val="23"/>
          <w:lang w:eastAsia="en-AU"/>
          <w14:ligatures w14:val="standardContextual"/>
        </w:rPr>
        <w:t>.</w:t>
      </w:r>
    </w:p>
    <w:p w14:paraId="755D314B"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2—Commencement</w:t>
      </w:r>
    </w:p>
    <w:p w14:paraId="1338F180"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These regulations come into operation on 1 September 2025.</w:t>
      </w:r>
    </w:p>
    <w:p w14:paraId="0A957AAB"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3—Interpretation</w:t>
      </w:r>
    </w:p>
    <w:p w14:paraId="238FAA52"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In these regulations—</w:t>
      </w:r>
    </w:p>
    <w:p w14:paraId="5985C81B"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Act</w:t>
      </w:r>
      <w:r w:rsidRPr="00080391">
        <w:rPr>
          <w:rFonts w:eastAsia="Times New Roman"/>
          <w:color w:val="000000"/>
          <w:sz w:val="23"/>
          <w:szCs w:val="23"/>
          <w:lang w:eastAsia="en-AU"/>
          <w14:ligatures w14:val="standardContextual"/>
        </w:rPr>
        <w:t xml:space="preserve"> means the </w:t>
      </w:r>
      <w:hyperlink r:id="rId118"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w:t>
      </w:r>
    </w:p>
    <w:p w14:paraId="7C5A961C"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property manager</w:t>
      </w:r>
      <w:r w:rsidRPr="00080391">
        <w:rPr>
          <w:rFonts w:eastAsia="Times New Roman"/>
          <w:color w:val="000000"/>
          <w:sz w:val="23"/>
          <w:szCs w:val="23"/>
          <w:lang w:eastAsia="en-AU"/>
          <w14:ligatures w14:val="standardContextual"/>
        </w:rPr>
        <w:t xml:space="preserve"> has the same meaning as in the </w:t>
      </w:r>
      <w:hyperlink r:id="rId119" w:history="1">
        <w:r w:rsidRPr="00080391">
          <w:rPr>
            <w:rFonts w:eastAsia="Times New Roman"/>
            <w:i/>
            <w:iCs/>
            <w:color w:val="000000"/>
            <w:sz w:val="23"/>
            <w:szCs w:val="23"/>
            <w:lang w:eastAsia="en-AU"/>
            <w14:ligatures w14:val="standardContextual"/>
          </w:rPr>
          <w:t>Land Agents Act 1994</w:t>
        </w:r>
      </w:hyperlink>
      <w:r w:rsidRPr="00080391">
        <w:rPr>
          <w:rFonts w:eastAsia="Times New Roman"/>
          <w:color w:val="000000"/>
          <w:sz w:val="23"/>
          <w:szCs w:val="23"/>
          <w:lang w:eastAsia="en-AU"/>
          <w14:ligatures w14:val="standardContextual"/>
        </w:rPr>
        <w:t>;</w:t>
      </w:r>
    </w:p>
    <w:p w14:paraId="3A3DBC5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registered agent</w:t>
      </w:r>
      <w:r w:rsidRPr="00080391">
        <w:rPr>
          <w:rFonts w:eastAsia="Times New Roman"/>
          <w:color w:val="000000"/>
          <w:sz w:val="23"/>
          <w:szCs w:val="23"/>
          <w:lang w:eastAsia="en-AU"/>
          <w14:ligatures w14:val="standardContextual"/>
        </w:rPr>
        <w:t xml:space="preserve"> means a person registered as an agent under the </w:t>
      </w:r>
      <w:hyperlink r:id="rId120" w:history="1">
        <w:r w:rsidRPr="00080391">
          <w:rPr>
            <w:rFonts w:eastAsia="Times New Roman"/>
            <w:i/>
            <w:iCs/>
            <w:color w:val="000000"/>
            <w:sz w:val="23"/>
            <w:szCs w:val="23"/>
            <w:lang w:eastAsia="en-AU"/>
            <w14:ligatures w14:val="standardContextual"/>
          </w:rPr>
          <w:t>Land Agents Act 1994</w:t>
        </w:r>
      </w:hyperlink>
      <w:r w:rsidRPr="00080391">
        <w:rPr>
          <w:rFonts w:eastAsia="Times New Roman"/>
          <w:color w:val="000000"/>
          <w:sz w:val="23"/>
          <w:szCs w:val="23"/>
          <w:lang w:eastAsia="en-AU"/>
          <w14:ligatures w14:val="standardContextual"/>
        </w:rPr>
        <w:t>;</w:t>
      </w:r>
    </w:p>
    <w:p w14:paraId="6D700FE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sales agency agreement</w:t>
      </w:r>
      <w:r w:rsidRPr="00080391">
        <w:rPr>
          <w:rFonts w:eastAsia="Times New Roman"/>
          <w:color w:val="000000"/>
          <w:sz w:val="23"/>
          <w:szCs w:val="23"/>
          <w:lang w:eastAsia="en-AU"/>
          <w14:ligatures w14:val="standardContextual"/>
        </w:rPr>
        <w:t xml:space="preserve"> has the same meaning as in the </w:t>
      </w:r>
      <w:hyperlink r:id="rId121" w:history="1">
        <w:r w:rsidRPr="00080391">
          <w:rPr>
            <w:rFonts w:eastAsia="Times New Roman"/>
            <w:i/>
            <w:iCs/>
            <w:color w:val="000000"/>
            <w:sz w:val="23"/>
            <w:szCs w:val="23"/>
            <w:lang w:eastAsia="en-AU"/>
            <w14:ligatures w14:val="standardContextual"/>
          </w:rPr>
          <w:t>Land and Business (Sale and Conveyancing) Act 1994</w:t>
        </w:r>
      </w:hyperlink>
      <w:r w:rsidRPr="00080391">
        <w:rPr>
          <w:rFonts w:eastAsia="Times New Roman"/>
          <w:color w:val="000000"/>
          <w:sz w:val="23"/>
          <w:szCs w:val="23"/>
          <w:lang w:eastAsia="en-AU"/>
          <w14:ligatures w14:val="standardContextual"/>
        </w:rPr>
        <w:t>.</w:t>
      </w:r>
    </w:p>
    <w:p w14:paraId="7F1FF69F" w14:textId="77777777" w:rsidR="00080391" w:rsidRPr="00080391" w:rsidRDefault="00080391" w:rsidP="0008039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080391">
        <w:rPr>
          <w:rFonts w:eastAsia="Times New Roman"/>
          <w:b/>
          <w:bCs/>
          <w:color w:val="000000"/>
          <w:sz w:val="32"/>
          <w:szCs w:val="32"/>
          <w:lang w:eastAsia="en-AU"/>
          <w14:ligatures w14:val="standardContextual"/>
        </w:rPr>
        <w:t>Part 2—General provisions</w:t>
      </w:r>
    </w:p>
    <w:p w14:paraId="084537F6"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4—Provision of inspection sheets by landlord</w:t>
      </w:r>
    </w:p>
    <w:p w14:paraId="62809821"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At the time a tenant commences occupation of premises under a residential tenancy agreement, the landlord (or the landlord's agent) must complete and provide to each tenant under the agreement 1 signed copy of an inspection sheet in a form determined by the Minister, or in a form that satisfies the requirements of the form determined by the Minister, and that in particular—</w:t>
      </w:r>
    </w:p>
    <w:p w14:paraId="7A5919E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provides for the premises the subject of a residential tenancy agreement to be identified; and</w:t>
      </w:r>
    </w:p>
    <w:p w14:paraId="4744A78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provides comprehensive details of fixtures, furniture and other contents in the premises; and</w:t>
      </w:r>
    </w:p>
    <w:p w14:paraId="2FDC1826" w14:textId="28E2E019"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provides for the condition of the premises and the fixtures, furniture and other contents of the premises to be described by both the landlord and tenant, both at the time of commencement and termination of the agreement; and</w:t>
      </w:r>
    </w:p>
    <w:p w14:paraId="22BBF481"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9973A6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(d)</w:t>
      </w:r>
      <w:r w:rsidRPr="00080391">
        <w:rPr>
          <w:rFonts w:eastAsia="Times New Roman"/>
          <w:color w:val="000000"/>
          <w:sz w:val="23"/>
          <w:szCs w:val="23"/>
          <w:lang w:eastAsia="en-AU"/>
          <w14:ligatures w14:val="standardContextual"/>
        </w:rPr>
        <w:tab/>
        <w:t>provides for the signature of the parties of the agreement both at the time of commencement and termination of the agreement; and</w:t>
      </w:r>
    </w:p>
    <w:p w14:paraId="29A9528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advises the tenant that if a dispute arises about the condition of the premises, the tenant may contact Consumer and Business Services about the matter.</w:t>
      </w:r>
    </w:p>
    <w:p w14:paraId="5FCF99DF"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3A4EECE2" w14:textId="77777777" w:rsidR="00080391" w:rsidRPr="00080391" w:rsidRDefault="00080391" w:rsidP="00080391">
      <w:pPr>
        <w:keepNext/>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The form should be used for a comparison check when the tenant vacates the premises.</w:t>
      </w:r>
    </w:p>
    <w:p w14:paraId="00E27106" w14:textId="77777777" w:rsidR="00080391" w:rsidRPr="00080391" w:rsidRDefault="00080391" w:rsidP="0008039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Maximum penalty: $5 000.</w:t>
      </w:r>
    </w:p>
    <w:p w14:paraId="0A169B45"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5—Drug related conduct (section 3 of Act)</w:t>
      </w:r>
    </w:p>
    <w:p w14:paraId="204F605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0" w:name="id0d45ba3d_76d8_44b5_958a_d245aadafa2c_b"/>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For the purposes of the definition of </w:t>
      </w:r>
      <w:r w:rsidRPr="00080391">
        <w:rPr>
          <w:rFonts w:eastAsia="Times New Roman"/>
          <w:b/>
          <w:bCs/>
          <w:i/>
          <w:iCs/>
          <w:color w:val="000000"/>
          <w:sz w:val="23"/>
          <w:szCs w:val="23"/>
          <w:lang w:eastAsia="en-AU"/>
          <w14:ligatures w14:val="standardContextual"/>
        </w:rPr>
        <w:t>drug related conduct</w:t>
      </w:r>
      <w:r w:rsidRPr="00080391">
        <w:rPr>
          <w:rFonts w:eastAsia="Times New Roman"/>
          <w:color w:val="000000"/>
          <w:sz w:val="23"/>
          <w:szCs w:val="23"/>
          <w:lang w:eastAsia="en-AU"/>
          <w14:ligatures w14:val="standardContextual"/>
        </w:rPr>
        <w:t xml:space="preserve"> in section 3(1) of the Act, conduct (not being exempt conduct) constituting the manufacture, or the smoking, consumption or administration, of a controlled drug is prescribed.</w:t>
      </w:r>
      <w:bookmarkEnd w:id="440"/>
    </w:p>
    <w:p w14:paraId="20309AE7"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In this regulation—</w:t>
      </w:r>
    </w:p>
    <w:p w14:paraId="03B35A3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exempt conduct</w:t>
      </w:r>
      <w:r w:rsidRPr="00080391">
        <w:rPr>
          <w:rFonts w:eastAsia="Times New Roman"/>
          <w:color w:val="000000"/>
          <w:sz w:val="23"/>
          <w:szCs w:val="23"/>
          <w:lang w:eastAsia="en-AU"/>
          <w14:ligatures w14:val="standardContextual"/>
        </w:rPr>
        <w:t xml:space="preserve"> means conduct that would constitute an offence set out in section 45A(8) of the </w:t>
      </w:r>
      <w:hyperlink r:id="rId122" w:history="1">
        <w:r w:rsidRPr="00080391">
          <w:rPr>
            <w:rFonts w:eastAsia="Times New Roman"/>
            <w:i/>
            <w:iCs/>
            <w:color w:val="000000"/>
            <w:sz w:val="23"/>
            <w:szCs w:val="23"/>
            <w:lang w:eastAsia="en-AU"/>
            <w14:ligatures w14:val="standardContextual"/>
          </w:rPr>
          <w:t>Controlled Substances Act 1984</w:t>
        </w:r>
      </w:hyperlink>
      <w:r w:rsidRPr="00080391">
        <w:rPr>
          <w:rFonts w:eastAsia="Times New Roman"/>
          <w:color w:val="000000"/>
          <w:sz w:val="23"/>
          <w:szCs w:val="23"/>
          <w:lang w:eastAsia="en-AU"/>
          <w14:ligatures w14:val="standardContextual"/>
        </w:rPr>
        <w:t>;</w:t>
      </w:r>
    </w:p>
    <w:p w14:paraId="129893F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manufacture</w:t>
      </w:r>
      <w:r w:rsidRPr="00080391">
        <w:rPr>
          <w:rFonts w:eastAsia="Times New Roman"/>
          <w:color w:val="000000"/>
          <w:sz w:val="23"/>
          <w:szCs w:val="23"/>
          <w:lang w:eastAsia="en-AU"/>
          <w14:ligatures w14:val="standardContextual"/>
        </w:rPr>
        <w:t xml:space="preserve"> has the same meaning as in the </w:t>
      </w:r>
      <w:hyperlink r:id="rId123" w:history="1">
        <w:r w:rsidRPr="00080391">
          <w:rPr>
            <w:rFonts w:eastAsia="Times New Roman"/>
            <w:i/>
            <w:iCs/>
            <w:color w:val="000000"/>
            <w:sz w:val="23"/>
            <w:szCs w:val="23"/>
            <w:lang w:eastAsia="en-AU"/>
            <w14:ligatures w14:val="standardContextual"/>
          </w:rPr>
          <w:t>Controlled Substances Act 1984</w:t>
        </w:r>
      </w:hyperlink>
      <w:r w:rsidRPr="00080391">
        <w:rPr>
          <w:rFonts w:eastAsia="Times New Roman"/>
          <w:color w:val="000000"/>
          <w:sz w:val="23"/>
          <w:szCs w:val="23"/>
          <w:lang w:eastAsia="en-AU"/>
          <w14:ligatures w14:val="standardContextual"/>
        </w:rPr>
        <w:t>.</w:t>
      </w:r>
    </w:p>
    <w:p w14:paraId="0271FBE3"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6—Short fixed term tenancies (section 4 of Act)</w:t>
      </w:r>
    </w:p>
    <w:p w14:paraId="69D8DA5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A notice given by a landlord to a tenant for the purposes of section 4(1)(b)(i) of the Act must be in the form set out in Part A of </w:t>
      </w:r>
      <w:hyperlink w:anchor="id5edc3eef_6484_4f53_83ec_48d08b8c14b9_c" w:history="1">
        <w:r w:rsidRPr="00080391">
          <w:rPr>
            <w:rFonts w:eastAsia="Times New Roman"/>
            <w:color w:val="000000"/>
            <w:sz w:val="23"/>
            <w:szCs w:val="23"/>
            <w:lang w:eastAsia="en-AU"/>
            <w14:ligatures w14:val="standardContextual"/>
          </w:rPr>
          <w:t>Form 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3F3C230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A statement signed by a tenant for the purposes of section 4(1)(b)(ii) of the Act must be in the form set out in Part B of </w:t>
      </w:r>
      <w:hyperlink w:anchor="id5edc3eef_6484_4f53_83ec_48d08b8c14b9_c" w:history="1">
        <w:r w:rsidRPr="00080391">
          <w:rPr>
            <w:rFonts w:eastAsia="Times New Roman"/>
            <w:color w:val="000000"/>
            <w:sz w:val="23"/>
            <w:szCs w:val="23"/>
            <w:lang w:eastAsia="en-AU"/>
            <w14:ligatures w14:val="standardContextual"/>
          </w:rPr>
          <w:t>Form 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0118317D"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7—Exempted agreements (section 5 of Act)</w:t>
      </w:r>
    </w:p>
    <w:p w14:paraId="182F4481"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1" w:name="idf3e5a477_4a09_457d_be31_dfbe80ed1574_8"/>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Pursuant to section 5(1)(h) of the Act, the Act does not apply to—</w:t>
      </w:r>
      <w:bookmarkEnd w:id="441"/>
    </w:p>
    <w:p w14:paraId="6863D64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42" w:name="id26177dd4_6d1c_47f6_a132_d50c3a74743e_5"/>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an agreement genuinely entered into on a short</w:t>
      </w:r>
      <w:r w:rsidRPr="00080391">
        <w:rPr>
          <w:rFonts w:eastAsia="Times New Roman"/>
          <w:color w:val="000000"/>
          <w:sz w:val="23"/>
          <w:szCs w:val="23"/>
          <w:lang w:eastAsia="en-AU"/>
          <w14:ligatures w14:val="standardContextual"/>
        </w:rPr>
        <w:noBreakHyphen/>
        <w:t>term, temporary basis, for the occupation of a serviced apartment if the serviced apartment will not, while so occupied, constitute the principal place of residence of the occupant; or</w:t>
      </w:r>
      <w:bookmarkEnd w:id="442"/>
    </w:p>
    <w:p w14:paraId="591FC60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an agreement that relates to residential premises that—</w:t>
      </w:r>
    </w:p>
    <w:p w14:paraId="32FD0277"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form part of a building in which other premises are let by the landlord to the tenant for the purposes of a trade, profession or business carried on by the tenant; or</w:t>
      </w:r>
    </w:p>
    <w:p w14:paraId="2F5455BD"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are situated on land which is let by the landlord to the tenant for the purposes of a trade, profession or business (including agriculture) carried on by the tenant; or</w:t>
      </w:r>
    </w:p>
    <w:p w14:paraId="516A0A94"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 xml:space="preserve">are situated in the township of Leigh Creek South and are the subject of a tenancy agreement to which an electricity entity (within the meaning of the </w:t>
      </w:r>
      <w:hyperlink r:id="rId124" w:history="1">
        <w:r w:rsidRPr="00080391">
          <w:rPr>
            <w:rFonts w:eastAsia="Times New Roman"/>
            <w:i/>
            <w:iCs/>
            <w:color w:val="000000"/>
            <w:sz w:val="23"/>
            <w:szCs w:val="23"/>
            <w:lang w:eastAsia="en-AU"/>
            <w14:ligatures w14:val="standardContextual"/>
          </w:rPr>
          <w:t>Electricity Act 1996</w:t>
        </w:r>
      </w:hyperlink>
      <w:r w:rsidRPr="00080391">
        <w:rPr>
          <w:rFonts w:eastAsia="Times New Roman"/>
          <w:color w:val="000000"/>
          <w:sz w:val="23"/>
          <w:szCs w:val="23"/>
          <w:lang w:eastAsia="en-AU"/>
          <w14:ligatures w14:val="standardContextual"/>
        </w:rPr>
        <w:t>) is a party as landlord.</w:t>
      </w:r>
    </w:p>
    <w:p w14:paraId="6C249E37" w14:textId="5CBE7DF9"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For the purposes of </w:t>
      </w:r>
      <w:hyperlink w:anchor="id26177dd4_6d1c_47f6_a132_d50c3a74743e_5" w:history="1">
        <w:r w:rsidRPr="00080391">
          <w:rPr>
            <w:rFonts w:eastAsia="Times New Roman"/>
            <w:color w:val="000000"/>
            <w:sz w:val="23"/>
            <w:szCs w:val="23"/>
            <w:lang w:eastAsia="en-AU"/>
            <w14:ligatures w14:val="standardContextual"/>
          </w:rPr>
          <w:t>subregulation (1)(a)</w:t>
        </w:r>
      </w:hyperlink>
      <w:r w:rsidRPr="00080391">
        <w:rPr>
          <w:rFonts w:eastAsia="Times New Roman"/>
          <w:color w:val="000000"/>
          <w:sz w:val="23"/>
          <w:szCs w:val="23"/>
          <w:lang w:eastAsia="en-AU"/>
          <w14:ligatures w14:val="standardContextual"/>
        </w:rPr>
        <w:t>, an agreement conferring a right to occupy a serviced apartment for a fixed term of 60 days or longer will be taken, in the absence of proof to the contrary, not to have been genuinely entered into on a short</w:t>
      </w:r>
      <w:r w:rsidRPr="00080391">
        <w:rPr>
          <w:rFonts w:eastAsia="Times New Roman"/>
          <w:color w:val="000000"/>
          <w:sz w:val="23"/>
          <w:szCs w:val="23"/>
          <w:lang w:eastAsia="en-AU"/>
          <w14:ligatures w14:val="standardContextual"/>
        </w:rPr>
        <w:noBreakHyphen/>
        <w:t>term, temporary basis.</w:t>
      </w:r>
    </w:p>
    <w:p w14:paraId="12F3B205"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3D684A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(3)</w:t>
      </w:r>
      <w:r w:rsidRPr="00080391">
        <w:rPr>
          <w:rFonts w:eastAsia="Times New Roman"/>
          <w:color w:val="000000"/>
          <w:sz w:val="23"/>
          <w:szCs w:val="23"/>
          <w:lang w:eastAsia="en-AU"/>
          <w14:ligatures w14:val="standardContextual"/>
        </w:rPr>
        <w:tab/>
        <w:t>In this regulation—</w:t>
      </w:r>
    </w:p>
    <w:p w14:paraId="67AB475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serviced apartment</w:t>
      </w:r>
      <w:r w:rsidRPr="00080391">
        <w:rPr>
          <w:rFonts w:eastAsia="Times New Roman"/>
          <w:color w:val="000000"/>
          <w:sz w:val="23"/>
          <w:szCs w:val="23"/>
          <w:lang w:eastAsia="en-AU"/>
          <w14:ligatures w14:val="standardContextual"/>
        </w:rPr>
        <w:t xml:space="preserve"> means an apartment or unit in respect of which the person who grants the right of occupancy provides, on an on</w:t>
      </w:r>
      <w:r w:rsidRPr="00080391">
        <w:rPr>
          <w:rFonts w:eastAsia="Times New Roman"/>
          <w:color w:val="000000"/>
          <w:sz w:val="23"/>
          <w:szCs w:val="23"/>
          <w:lang w:eastAsia="en-AU"/>
          <w14:ligatures w14:val="standardContextual"/>
        </w:rPr>
        <w:noBreakHyphen/>
        <w:t>going basis, various services associated with the occupation of the apartment or unit.</w:t>
      </w:r>
    </w:p>
    <w:p w14:paraId="30DCC48D"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3" w:name="Elkera_Print_TOC11"/>
      <w:bookmarkStart w:id="444" w:name="id6833ef50_7d0f_4e59_b4f7_3bd15bda12"/>
      <w:r w:rsidRPr="00080391">
        <w:rPr>
          <w:rFonts w:eastAsia="Times New Roman"/>
          <w:b/>
          <w:bCs/>
          <w:color w:val="000000"/>
          <w:sz w:val="26"/>
          <w:szCs w:val="26"/>
          <w:lang w:eastAsia="en-AU"/>
          <w14:ligatures w14:val="standardContextual"/>
        </w:rPr>
        <w:t>8—Prospective tenant—requirements relating to provision of information</w:t>
      </w:r>
      <w:bookmarkEnd w:id="443"/>
      <w:bookmarkEnd w:id="444"/>
    </w:p>
    <w:p w14:paraId="206D16F0"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5" w:name="idc2137895_d766_4dd3_99ec_066182f7d8c1_f"/>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47B(1) of the Act, the following information is prescribed:</w:t>
      </w:r>
      <w:bookmarkEnd w:id="445"/>
    </w:p>
    <w:p w14:paraId="1415B42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46" w:name="idc5ca4109_31b2_41cc_b617_35cb7bff8086_f"/>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information relating to whether or not the prospective tenant has previously taken legal action, has been a respondent to legal action, or has had a dispute relating to a residential tenancy with a landlord or an agent of a landlord;</w:t>
      </w:r>
      <w:bookmarkEnd w:id="446"/>
    </w:p>
    <w:p w14:paraId="1FAC1FA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information relating to whether or not the prospective tenant has previously been given a notice of termination by a landlord under section 80 of the Act, other than a notice under that section pursuant to which the prospective tenant's tenancy was terminated;</w:t>
      </w:r>
    </w:p>
    <w:p w14:paraId="2946C5A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information relating to whether or not a bond to be paid by the prospective tenant (if relevant) is to be wholly or partly provided through a program for housing assistance (such as a South Australian Housing Trust bond guarantee);</w:t>
      </w:r>
    </w:p>
    <w:p w14:paraId="1B1845F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information relating to the prospective tenant's bond history, including whether a claim has been made on a bond previously paid by the prospective tenant (whether the claim was made by a landlord or an agent of a landlord, or by the prospective tenant);</w:t>
      </w:r>
    </w:p>
    <w:p w14:paraId="0D401EF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information relating to whether or not the prospective tenant has been a tenant under a residential tenancy agreement where the landlord is the South Australian Housing Trust or a subsidiary of the South Australian Housing Trust;</w:t>
      </w:r>
    </w:p>
    <w:p w14:paraId="6FEFEF1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(f)</w:t>
      </w:r>
      <w:r w:rsidRPr="00080391">
        <w:rPr>
          <w:rFonts w:eastAsia="Times New Roman"/>
          <w:color w:val="000000"/>
          <w:sz w:val="23"/>
          <w:szCs w:val="23"/>
          <w:lang w:eastAsia="en-AU"/>
          <w14:ligatures w14:val="standardContextual"/>
        </w:rPr>
        <w:tab/>
        <w:t>a bank or other financial statement of the prospective tenant if the outgoing transactions and bank account number on the statement are not redacted or omitted;</w:t>
      </w:r>
    </w:p>
    <w:p w14:paraId="62B3787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(g)</w:t>
      </w:r>
      <w:r w:rsidRPr="00080391">
        <w:rPr>
          <w:rFonts w:eastAsia="Times New Roman"/>
          <w:color w:val="000000"/>
          <w:sz w:val="23"/>
          <w:szCs w:val="23"/>
          <w:lang w:eastAsia="en-AU"/>
          <w14:ligatures w14:val="standardContextual"/>
        </w:rPr>
        <w:tab/>
        <w:t>financial information relating to the prospective tenant, including—</w:t>
      </w:r>
    </w:p>
    <w:p w14:paraId="1A21D2BD"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information relating to the discharge of the prospective tenant from bankruptcy; and</w:t>
      </w:r>
    </w:p>
    <w:p w14:paraId="1E9E5E26"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information relating to the prospective tenant's financial practices, unless the information directly relates to the prospective tenant's financial capacity;</w:t>
      </w:r>
    </w:p>
    <w:p w14:paraId="3C8EA834" w14:textId="77777777" w:rsidR="00080391" w:rsidRPr="00080391" w:rsidRDefault="00080391" w:rsidP="0008039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47D7A8E8" w14:textId="77777777" w:rsidR="00080391" w:rsidRPr="00080391" w:rsidRDefault="00080391" w:rsidP="0008039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 landlord, or an agent of a landlord, must not request a prospective tenant to disclose financial information primarily based on expenditure records of the prospective tenant.</w:t>
      </w:r>
    </w:p>
    <w:p w14:paraId="3777BA3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47" w:name="id0e6a336b_f3d8_4944_b5bc_95b6737e80"/>
      <w:r w:rsidRPr="00080391">
        <w:rPr>
          <w:rFonts w:eastAsia="Times New Roman"/>
          <w:color w:val="000000"/>
          <w:sz w:val="23"/>
          <w:szCs w:val="23"/>
          <w:lang w:eastAsia="en-AU"/>
          <w14:ligatures w14:val="standardContextual"/>
        </w:rPr>
        <w:tab/>
        <w:t>(h)</w:t>
      </w:r>
      <w:r w:rsidRPr="00080391">
        <w:rPr>
          <w:rFonts w:eastAsia="Times New Roman"/>
          <w:color w:val="000000"/>
          <w:sz w:val="23"/>
          <w:szCs w:val="23"/>
          <w:lang w:eastAsia="en-AU"/>
          <w14:ligatures w14:val="standardContextual"/>
        </w:rPr>
        <w:tab/>
        <w:t>information relating to the employment of the prospective tenant, other than a payslip or a document that confirms their employment;</w:t>
      </w:r>
      <w:bookmarkEnd w:id="447"/>
    </w:p>
    <w:p w14:paraId="072F224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48" w:name="id876a28aa_92ac_40de_af23_48876608fb13_e"/>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information relating to a relevant attribute or circumstance of the prospective tenant;</w:t>
      </w:r>
      <w:bookmarkEnd w:id="448"/>
    </w:p>
    <w:p w14:paraId="3642B8EA" w14:textId="77777777" w:rsidR="00080391" w:rsidRPr="00080391" w:rsidRDefault="00080391" w:rsidP="0008039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38BCA88C" w14:textId="77777777" w:rsidR="00080391" w:rsidRPr="00080391" w:rsidRDefault="00080391" w:rsidP="0008039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 xml:space="preserve">See </w:t>
      </w:r>
      <w:hyperlink w:anchor="id6bac2c76_eab1_421c_bf53_b18a56929c4f_8" w:history="1">
        <w:r w:rsidRPr="00080391">
          <w:rPr>
            <w:rFonts w:eastAsia="Times New Roman"/>
            <w:color w:val="000000"/>
            <w:sz w:val="20"/>
            <w:szCs w:val="20"/>
            <w:lang w:eastAsia="en-AU"/>
            <w14:ligatures w14:val="standardContextual"/>
          </w:rPr>
          <w:t>subregulation (8)</w:t>
        </w:r>
      </w:hyperlink>
      <w:r w:rsidRPr="00080391">
        <w:rPr>
          <w:rFonts w:eastAsia="Times New Roman"/>
          <w:color w:val="000000"/>
          <w:sz w:val="20"/>
          <w:szCs w:val="20"/>
          <w:lang w:eastAsia="en-AU"/>
          <w14:ligatures w14:val="standardContextual"/>
        </w:rPr>
        <w:t xml:space="preserve"> for the definition of </w:t>
      </w:r>
      <w:r w:rsidRPr="00080391">
        <w:rPr>
          <w:rFonts w:eastAsia="Times New Roman"/>
          <w:b/>
          <w:bCs/>
          <w:i/>
          <w:iCs/>
          <w:color w:val="000000"/>
          <w:sz w:val="20"/>
          <w:szCs w:val="20"/>
          <w:lang w:eastAsia="en-AU"/>
          <w14:ligatures w14:val="standardContextual"/>
        </w:rPr>
        <w:t>relevant attribute or circumstance</w:t>
      </w:r>
      <w:r w:rsidRPr="00080391">
        <w:rPr>
          <w:rFonts w:eastAsia="Times New Roman"/>
          <w:color w:val="000000"/>
          <w:sz w:val="20"/>
          <w:szCs w:val="20"/>
          <w:lang w:eastAsia="en-AU"/>
          <w14:ligatures w14:val="standardContextual"/>
        </w:rPr>
        <w:t>.</w:t>
      </w:r>
    </w:p>
    <w:p w14:paraId="389ADDE6" w14:textId="26764A02"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(j)</w:t>
      </w:r>
      <w:r w:rsidRPr="00080391">
        <w:rPr>
          <w:rFonts w:eastAsia="Times New Roman"/>
          <w:color w:val="000000"/>
          <w:sz w:val="23"/>
          <w:szCs w:val="23"/>
          <w:lang w:eastAsia="en-AU"/>
          <w14:ligatures w14:val="standardContextual"/>
        </w:rPr>
        <w:tab/>
        <w:t>medical records of the prospective tenant;</w:t>
      </w:r>
    </w:p>
    <w:p w14:paraId="2301E9FF"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83F8EA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(k)</w:t>
      </w:r>
      <w:r w:rsidRPr="00080391">
        <w:rPr>
          <w:rFonts w:eastAsia="Times New Roman"/>
          <w:color w:val="000000"/>
          <w:sz w:val="23"/>
          <w:szCs w:val="23"/>
          <w:lang w:eastAsia="en-AU"/>
          <w14:ligatures w14:val="standardContextual"/>
        </w:rPr>
        <w:tab/>
        <w:t xml:space="preserve">information relating to the prospective tenant on a social media service (within the meaning of the </w:t>
      </w:r>
      <w:r w:rsidRPr="00080391">
        <w:rPr>
          <w:rFonts w:eastAsia="Times New Roman"/>
          <w:i/>
          <w:iCs/>
          <w:color w:val="000000"/>
          <w:sz w:val="23"/>
          <w:szCs w:val="23"/>
          <w:lang w:eastAsia="en-AU"/>
          <w14:ligatures w14:val="standardContextual"/>
        </w:rPr>
        <w:t>Online Safety Act 2021</w:t>
      </w:r>
      <w:r w:rsidRPr="00080391">
        <w:rPr>
          <w:rFonts w:eastAsia="Times New Roman"/>
          <w:color w:val="000000"/>
          <w:sz w:val="23"/>
          <w:szCs w:val="23"/>
          <w:lang w:eastAsia="en-AU"/>
          <w14:ligatures w14:val="standardContextual"/>
        </w:rPr>
        <w:t xml:space="preserve"> of the Commonwealth);</w:t>
      </w:r>
    </w:p>
    <w:p w14:paraId="294F9AA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(l)</w:t>
      </w:r>
      <w:r w:rsidRPr="00080391">
        <w:rPr>
          <w:rFonts w:eastAsia="Times New Roman"/>
          <w:color w:val="000000"/>
          <w:sz w:val="23"/>
          <w:szCs w:val="23"/>
          <w:lang w:eastAsia="en-AU"/>
          <w14:ligatures w14:val="standardContextual"/>
        </w:rPr>
        <w:tab/>
        <w:t>a registration number of a vehicle owned or used by the prospective tenant;</w:t>
      </w:r>
    </w:p>
    <w:p w14:paraId="6DED665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(m)</w:t>
      </w:r>
      <w:r w:rsidRPr="00080391">
        <w:rPr>
          <w:rFonts w:eastAsia="Times New Roman"/>
          <w:color w:val="000000"/>
          <w:sz w:val="23"/>
          <w:szCs w:val="23"/>
          <w:lang w:eastAsia="en-AU"/>
          <w14:ligatures w14:val="standardContextual"/>
        </w:rPr>
        <w:tab/>
        <w:t>a microchip number of a pet of the prospective tenant;</w:t>
      </w:r>
    </w:p>
    <w:p w14:paraId="477BF7B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(n)</w:t>
      </w:r>
      <w:r w:rsidRPr="00080391">
        <w:rPr>
          <w:rFonts w:eastAsia="Times New Roman"/>
          <w:color w:val="000000"/>
          <w:sz w:val="23"/>
          <w:szCs w:val="23"/>
          <w:lang w:eastAsia="en-AU"/>
          <w14:ligatures w14:val="standardContextual"/>
        </w:rPr>
        <w:tab/>
        <w:t>information relating to—</w:t>
      </w:r>
    </w:p>
    <w:p w14:paraId="79DBE94B"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level of education undertaken by the prospective tenant;</w:t>
      </w:r>
    </w:p>
    <w:p w14:paraId="0491E812"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the reason the prospective tenant seeks to move to the premises the subject of the residential tenancy agreement.</w:t>
      </w:r>
    </w:p>
    <w:p w14:paraId="6C80BDE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Nothing in </w:t>
      </w:r>
      <w:hyperlink w:anchor="idc5ca4109_31b2_41cc_b617_35cb7bff8086_f" w:history="1">
        <w:r w:rsidRPr="00080391">
          <w:rPr>
            <w:rFonts w:eastAsia="Times New Roman"/>
            <w:color w:val="000000"/>
            <w:sz w:val="23"/>
            <w:szCs w:val="23"/>
            <w:lang w:eastAsia="en-AU"/>
            <w14:ligatures w14:val="standardContextual"/>
          </w:rPr>
          <w:t>subregulation (1)(a)</w:t>
        </w:r>
      </w:hyperlink>
      <w:r w:rsidRPr="00080391">
        <w:rPr>
          <w:rFonts w:eastAsia="Times New Roman"/>
          <w:color w:val="000000"/>
          <w:sz w:val="23"/>
          <w:szCs w:val="23"/>
          <w:lang w:eastAsia="en-AU"/>
          <w14:ligatures w14:val="standardContextual"/>
        </w:rPr>
        <w:t xml:space="preserve"> prevents a landlord, or an agent of a landlord, from accessing or being provided with information required to be made publicly available on a register maintained under an Act or law or records held by a court or tribunal that a member of the public may inspect or obtain a copy of.</w:t>
      </w:r>
    </w:p>
    <w:p w14:paraId="220205B6"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Nothing in </w:t>
      </w:r>
      <w:hyperlink w:anchor="id876a28aa_92ac_40de_af23_48876608fb13_e" w:history="1">
        <w:r w:rsidRPr="00080391">
          <w:rPr>
            <w:rFonts w:eastAsia="Times New Roman"/>
            <w:color w:val="000000"/>
            <w:sz w:val="23"/>
            <w:szCs w:val="23"/>
            <w:lang w:eastAsia="en-AU"/>
            <w14:ligatures w14:val="standardContextual"/>
          </w:rPr>
          <w:t>subregulation (1)(i)</w:t>
        </w:r>
      </w:hyperlink>
      <w:r w:rsidRPr="00080391">
        <w:rPr>
          <w:rFonts w:eastAsia="Times New Roman"/>
          <w:color w:val="000000"/>
          <w:sz w:val="23"/>
          <w:szCs w:val="23"/>
          <w:lang w:eastAsia="en-AU"/>
          <w14:ligatures w14:val="standardContextual"/>
        </w:rPr>
        <w:t xml:space="preserve"> prevents—</w:t>
      </w:r>
    </w:p>
    <w:p w14:paraId="42A1D2F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in all cases—a landlord, or an agent of a landlord, from requesting a prospective tenant to disclose whether the prospective tenant is at least 18 years of age and has legal capacity to enter into a lease; or</w:t>
      </w:r>
    </w:p>
    <w:p w14:paraId="5527EC6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in a case where the landlord, or an agent appointed by the landlord to manage the premises, resides in the premises to which the tenancy relates—the landlord or agent from requesting a prospective tenant to disclose whether it is intended that a child or a person for whom the prospective tenant has caring responsibilities will live in the premises with the prospective tenant.</w:t>
      </w:r>
    </w:p>
    <w:p w14:paraId="77A529F8"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9" w:name="id6c52e175_2970_4239_9acc_25e16e672527_d"/>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For the purposes of section 47B(2) of the Act, the following classes of entities are prescribed:</w:t>
      </w:r>
      <w:bookmarkEnd w:id="449"/>
    </w:p>
    <w:p w14:paraId="1648074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 xml:space="preserve">a participant of the National Rental Affordability Scheme under the </w:t>
      </w:r>
      <w:r w:rsidRPr="00080391">
        <w:rPr>
          <w:rFonts w:eastAsia="Times New Roman"/>
          <w:i/>
          <w:iCs/>
          <w:color w:val="000000"/>
          <w:sz w:val="23"/>
          <w:szCs w:val="23"/>
          <w:lang w:eastAsia="en-AU"/>
          <w14:ligatures w14:val="standardContextual"/>
        </w:rPr>
        <w:t>National Rental Affordability Scheme Act 2008</w:t>
      </w:r>
      <w:r w:rsidRPr="00080391">
        <w:rPr>
          <w:rFonts w:eastAsia="Times New Roman"/>
          <w:color w:val="000000"/>
          <w:sz w:val="23"/>
          <w:szCs w:val="23"/>
          <w:lang w:eastAsia="en-AU"/>
          <w14:ligatures w14:val="standardContextual"/>
        </w:rPr>
        <w:t xml:space="preserve"> of the Commonwealth;</w:t>
      </w:r>
    </w:p>
    <w:p w14:paraId="644C161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 xml:space="preserve">a provider of specialist disability accommodation as defined under the </w:t>
      </w:r>
      <w:r w:rsidRPr="00080391">
        <w:rPr>
          <w:rFonts w:eastAsia="Times New Roman"/>
          <w:i/>
          <w:iCs/>
          <w:color w:val="000000"/>
          <w:sz w:val="23"/>
          <w:szCs w:val="23"/>
          <w:lang w:eastAsia="en-AU"/>
          <w14:ligatures w14:val="standardContextual"/>
        </w:rPr>
        <w:t>National Disability Insurance Scheme Act 2013</w:t>
      </w:r>
      <w:r w:rsidRPr="00080391">
        <w:rPr>
          <w:rFonts w:eastAsia="Times New Roman"/>
          <w:color w:val="000000"/>
          <w:sz w:val="23"/>
          <w:szCs w:val="23"/>
          <w:lang w:eastAsia="en-AU"/>
          <w14:ligatures w14:val="standardContextual"/>
        </w:rPr>
        <w:t xml:space="preserve"> of the Commonwealth;</w:t>
      </w:r>
    </w:p>
    <w:p w14:paraId="55F9693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 xml:space="preserve">a community housing provider registered under the </w:t>
      </w:r>
      <w:r w:rsidRPr="00080391">
        <w:rPr>
          <w:rFonts w:eastAsia="Times New Roman"/>
          <w:i/>
          <w:iCs/>
          <w:color w:val="000000"/>
          <w:sz w:val="23"/>
          <w:szCs w:val="23"/>
          <w:lang w:eastAsia="en-AU"/>
          <w14:ligatures w14:val="standardContextual"/>
        </w:rPr>
        <w:t>Community Housing Providers National Law</w:t>
      </w:r>
      <w:r w:rsidRPr="00080391">
        <w:rPr>
          <w:rFonts w:eastAsia="Times New Roman"/>
          <w:color w:val="000000"/>
          <w:sz w:val="23"/>
          <w:szCs w:val="23"/>
          <w:lang w:eastAsia="en-AU"/>
          <w14:ligatures w14:val="standardContextual"/>
        </w:rPr>
        <w:t>;</w:t>
      </w:r>
    </w:p>
    <w:p w14:paraId="5C47626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 xml:space="preserve">a provider of housing registered under the </w:t>
      </w:r>
      <w:r w:rsidRPr="00080391">
        <w:rPr>
          <w:rFonts w:eastAsia="Times New Roman"/>
          <w:i/>
          <w:iCs/>
          <w:color w:val="000000"/>
          <w:sz w:val="23"/>
          <w:szCs w:val="23"/>
          <w:lang w:eastAsia="en-AU"/>
          <w14:ligatures w14:val="standardContextual"/>
        </w:rPr>
        <w:t>Australian Charities and Not-for-profits Commission Act 2012</w:t>
      </w:r>
      <w:r w:rsidRPr="00080391">
        <w:rPr>
          <w:rFonts w:eastAsia="Times New Roman"/>
          <w:color w:val="000000"/>
          <w:sz w:val="23"/>
          <w:szCs w:val="23"/>
          <w:lang w:eastAsia="en-AU"/>
          <w14:ligatures w14:val="standardContextual"/>
        </w:rPr>
        <w:t xml:space="preserve"> of the Commonwealth.</w:t>
      </w:r>
    </w:p>
    <w:p w14:paraId="39965B4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0" w:name="id01c6d833_bb80_40df_81b8_fc6400e3a783_3"/>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Pursuant to section 47B(3) of the Act, in connection with a prospective tenant applying to enter into a residential tenancy agreement—</w:t>
      </w:r>
      <w:bookmarkEnd w:id="450"/>
    </w:p>
    <w:p w14:paraId="5837F76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51" w:name="idd1b2aadd_241b_4983_ab35_0ad524ab32"/>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an application form given to the prospective tenant by a landlord or an agent of a landlord must—</w:t>
      </w:r>
      <w:bookmarkEnd w:id="451"/>
    </w:p>
    <w:p w14:paraId="7619F623"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 xml:space="preserve">include the information that is specified in </w:t>
      </w:r>
      <w:hyperlink w:anchor="id33ae37c1_6270_49b4_b67c_b476b6658c1a_7" w:history="1">
        <w:r w:rsidRPr="00080391">
          <w:rPr>
            <w:rFonts w:eastAsia="Times New Roman"/>
            <w:color w:val="000000"/>
            <w:sz w:val="23"/>
            <w:szCs w:val="23"/>
            <w:lang w:eastAsia="en-AU"/>
            <w14:ligatures w14:val="standardContextual"/>
          </w:rPr>
          <w:t>Form A1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 xml:space="preserve"> to be filled in by the landlord or the agent; and</w:t>
      </w:r>
    </w:p>
    <w:p w14:paraId="5D049BDE"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52" w:name="id85b3db8f_05bf_4b36_bf66_8059deea74"/>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 xml:space="preserve">be in the form set out in </w:t>
      </w:r>
      <w:hyperlink w:anchor="id33ae37c1_6270_49b4_b67c_b476b6658c1a_7" w:history="1">
        <w:r w:rsidRPr="00080391">
          <w:rPr>
            <w:rFonts w:eastAsia="Times New Roman"/>
            <w:color w:val="000000"/>
            <w:sz w:val="23"/>
            <w:szCs w:val="23"/>
            <w:lang w:eastAsia="en-AU"/>
            <w14:ligatures w14:val="standardContextual"/>
          </w:rPr>
          <w:t>Form A1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 and</w:t>
      </w:r>
      <w:bookmarkEnd w:id="452"/>
    </w:p>
    <w:p w14:paraId="14DC76E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53" w:name="id1f55fb94_43ea_4939_8fa1_eea767ca0b"/>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an application submitted by the prospective tenant to a landlord or an agent of a landlord must—</w:t>
      </w:r>
      <w:bookmarkEnd w:id="453"/>
    </w:p>
    <w:p w14:paraId="68CB55C9" w14:textId="051BBD6B" w:rsidR="00BB5DE5"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 xml:space="preserve">include the information that is specified in </w:t>
      </w:r>
      <w:hyperlink w:anchor="id33ae37c1_6270_49b4_b67c_b476b6658c1a_7" w:history="1">
        <w:r w:rsidRPr="00080391">
          <w:rPr>
            <w:rFonts w:eastAsia="Times New Roman"/>
            <w:color w:val="000000"/>
            <w:sz w:val="23"/>
            <w:szCs w:val="23"/>
            <w:lang w:eastAsia="en-AU"/>
            <w14:ligatures w14:val="standardContextual"/>
          </w:rPr>
          <w:t>Form A1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 xml:space="preserve"> to be filled in by the prospective tenant; and</w:t>
      </w:r>
    </w:p>
    <w:p w14:paraId="143E6F64"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BA6EB3E"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54" w:name="idf6a4cda4_1409_4ad5_8bb1_c7557ba963"/>
      <w:r w:rsidRPr="00080391">
        <w:rPr>
          <w:rFonts w:eastAsia="Times New Roman"/>
          <w:color w:val="000000"/>
          <w:sz w:val="23"/>
          <w:szCs w:val="23"/>
          <w:lang w:eastAsia="en-AU"/>
          <w14:ligatures w14:val="standardContextual"/>
        </w:rPr>
        <w:lastRenderedPageBreak/>
        <w:tab/>
        <w:t>(ii)</w:t>
      </w:r>
      <w:r w:rsidRPr="00080391">
        <w:rPr>
          <w:rFonts w:eastAsia="Times New Roman"/>
          <w:color w:val="000000"/>
          <w:sz w:val="23"/>
          <w:szCs w:val="23"/>
          <w:lang w:eastAsia="en-AU"/>
          <w14:ligatures w14:val="standardContextual"/>
        </w:rPr>
        <w:tab/>
        <w:t xml:space="preserve">be in the form set out in </w:t>
      </w:r>
      <w:hyperlink w:anchor="id33ae37c1_6270_49b4_b67c_b476b6658c1a_7" w:history="1">
        <w:r w:rsidRPr="00080391">
          <w:rPr>
            <w:rFonts w:eastAsia="Times New Roman"/>
            <w:color w:val="000000"/>
            <w:sz w:val="23"/>
            <w:szCs w:val="23"/>
            <w:lang w:eastAsia="en-AU"/>
            <w14:ligatures w14:val="standardContextual"/>
          </w:rPr>
          <w:t>Form A1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 and</w:t>
      </w:r>
      <w:bookmarkEnd w:id="454"/>
    </w:p>
    <w:p w14:paraId="2D9B809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the prospective tenant cannot be required to provide—</w:t>
      </w:r>
    </w:p>
    <w:p w14:paraId="41A0FD3E"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more than 2 documents verifying their identity; or</w:t>
      </w:r>
    </w:p>
    <w:p w14:paraId="58200BF0"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more than 2 documents relating to their ability to pay rent; or</w:t>
      </w:r>
    </w:p>
    <w:p w14:paraId="6076DCEA"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more than 2 documents relating to their suitability to enter into the residential tenancy agreement.</w:t>
      </w:r>
    </w:p>
    <w:p w14:paraId="4B05D7F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(6)</w:t>
      </w:r>
      <w:r w:rsidRPr="00080391">
        <w:rPr>
          <w:rFonts w:eastAsia="Times New Roman"/>
          <w:color w:val="000000"/>
          <w:sz w:val="23"/>
          <w:szCs w:val="23"/>
          <w:lang w:eastAsia="en-AU"/>
          <w14:ligatures w14:val="standardContextual"/>
        </w:rPr>
        <w:tab/>
      </w:r>
      <w:hyperlink w:anchor="id01c6d833_bb80_40df_81b8_fc6400e3a783_3" w:history="1">
        <w:r w:rsidRPr="00080391">
          <w:rPr>
            <w:rFonts w:eastAsia="Times New Roman"/>
            <w:color w:val="000000"/>
            <w:sz w:val="23"/>
            <w:szCs w:val="23"/>
            <w:lang w:eastAsia="en-AU"/>
            <w14:ligatures w14:val="standardContextual"/>
          </w:rPr>
          <w:t>Subregulation (5)</w:t>
        </w:r>
      </w:hyperlink>
      <w:r w:rsidRPr="00080391">
        <w:rPr>
          <w:rFonts w:eastAsia="Times New Roman"/>
          <w:color w:val="000000"/>
          <w:sz w:val="23"/>
          <w:szCs w:val="23"/>
          <w:lang w:eastAsia="en-AU"/>
          <w14:ligatures w14:val="standardContextual"/>
        </w:rPr>
        <w:t xml:space="preserve"> does not apply in relation to an application to enter into a residential tenancy agreement with an entity of a class prescribed under </w:t>
      </w:r>
      <w:hyperlink w:anchor="id6c52e175_2970_4239_9acc_25e16e672527_d" w:history="1">
        <w:r w:rsidRPr="00080391">
          <w:rPr>
            <w:rFonts w:eastAsia="Times New Roman"/>
            <w:color w:val="000000"/>
            <w:sz w:val="23"/>
            <w:szCs w:val="23"/>
            <w:lang w:eastAsia="en-AU"/>
            <w14:ligatures w14:val="standardContextual"/>
          </w:rPr>
          <w:t>subregulation (4)</w:t>
        </w:r>
      </w:hyperlink>
      <w:r w:rsidRPr="00080391">
        <w:rPr>
          <w:rFonts w:eastAsia="Times New Roman"/>
          <w:color w:val="000000"/>
          <w:sz w:val="23"/>
          <w:szCs w:val="23"/>
          <w:lang w:eastAsia="en-AU"/>
          <w14:ligatures w14:val="standardContextual"/>
        </w:rPr>
        <w:t>.</w:t>
      </w:r>
    </w:p>
    <w:p w14:paraId="3A3B3291"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(7)</w:t>
      </w:r>
      <w:r w:rsidRPr="00080391">
        <w:rPr>
          <w:rFonts w:eastAsia="Times New Roman"/>
          <w:color w:val="000000"/>
          <w:sz w:val="23"/>
          <w:szCs w:val="23"/>
          <w:lang w:eastAsia="en-AU"/>
          <w14:ligatures w14:val="standardContextual"/>
        </w:rPr>
        <w:tab/>
        <w:t>For the purposes of section 47B(3) of the Act, a landlord, or an agent of a landlord, must, in relation to information given to a prospective tenant in connection with their entry into a residential tenancy agreement, ensure that—</w:t>
      </w:r>
    </w:p>
    <w:p w14:paraId="0C0FA69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if the landlord or agent is aware that the prospective tenant has a disability—</w:t>
      </w:r>
    </w:p>
    <w:p w14:paraId="4F77A8E1"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information is in a form that is accessible to the prospective tenant having regard to the disability; or</w:t>
      </w:r>
    </w:p>
    <w:p w14:paraId="3C96A365"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the landlord or agent informs the prospective tenant as to how they can access such information; and</w:t>
      </w:r>
    </w:p>
    <w:p w14:paraId="7A07237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if the landlord or agent is aware that the prospective tenant's primary language is a language other than English—</w:t>
      </w:r>
    </w:p>
    <w:p w14:paraId="7EE995C0"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information is in that other language; or</w:t>
      </w:r>
    </w:p>
    <w:p w14:paraId="6222E60D"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the landlord or agent informs the prospective tenant as to how they can access the information in that other language.</w:t>
      </w:r>
    </w:p>
    <w:p w14:paraId="6FE071F0"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5" w:name="id6bac2c76_eab1_421c_bf53_b18a56929c4f_8"/>
      <w:r w:rsidRPr="00080391">
        <w:rPr>
          <w:rFonts w:eastAsia="Times New Roman"/>
          <w:color w:val="000000"/>
          <w:sz w:val="23"/>
          <w:szCs w:val="23"/>
          <w:lang w:eastAsia="en-AU"/>
          <w14:ligatures w14:val="standardContextual"/>
        </w:rPr>
        <w:tab/>
        <w:t>(8)</w:t>
      </w:r>
      <w:r w:rsidRPr="00080391">
        <w:rPr>
          <w:rFonts w:eastAsia="Times New Roman"/>
          <w:color w:val="000000"/>
          <w:sz w:val="23"/>
          <w:szCs w:val="23"/>
          <w:lang w:eastAsia="en-AU"/>
          <w14:ligatures w14:val="standardContextual"/>
        </w:rPr>
        <w:tab/>
        <w:t>In this regulation—</w:t>
      </w:r>
      <w:bookmarkEnd w:id="455"/>
    </w:p>
    <w:p w14:paraId="107FEFA3"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relevant attribute or circumstance</w:t>
      </w:r>
      <w:r w:rsidRPr="00080391">
        <w:rPr>
          <w:rFonts w:eastAsia="Times New Roman"/>
          <w:color w:val="000000"/>
          <w:sz w:val="23"/>
          <w:szCs w:val="23"/>
          <w:lang w:eastAsia="en-AU"/>
          <w14:ligatures w14:val="standardContextual"/>
        </w:rPr>
        <w:t xml:space="preserve">—an attribute or circumstance of a prospective tenant is a relevant attribute or circumstance if discrimination of a kind referred to in the </w:t>
      </w:r>
      <w:hyperlink r:id="rId125" w:history="1">
        <w:r w:rsidRPr="00080391">
          <w:rPr>
            <w:rFonts w:eastAsia="Times New Roman"/>
            <w:i/>
            <w:iCs/>
            <w:color w:val="000000"/>
            <w:sz w:val="23"/>
            <w:szCs w:val="23"/>
            <w:lang w:eastAsia="en-AU"/>
            <w14:ligatures w14:val="standardContextual"/>
          </w:rPr>
          <w:t>Equal Opportunity Act 1984</w:t>
        </w:r>
      </w:hyperlink>
      <w:r w:rsidRPr="00080391">
        <w:rPr>
          <w:rFonts w:eastAsia="Times New Roman"/>
          <w:color w:val="000000"/>
          <w:sz w:val="23"/>
          <w:szCs w:val="23"/>
          <w:lang w:eastAsia="en-AU"/>
          <w14:ligatures w14:val="standardContextual"/>
        </w:rPr>
        <w:t xml:space="preserve"> is unlawful on the ground of the attribute or circumstance.</w:t>
      </w:r>
    </w:p>
    <w:p w14:paraId="171905FA"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9—Advertising premises—prescribed information and material facts (section 47C of Act)</w:t>
      </w:r>
    </w:p>
    <w:p w14:paraId="3606FF6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47C(1) of the Act, if the landlord intends to sell the premises within 3 months after the date on which the residential tenancy agreement is to be entered into, that information is prescribed.</w:t>
      </w:r>
    </w:p>
    <w:p w14:paraId="45817D2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 47C(2) of the Act, if the landlord intends to sell the premises within 3 months after the date on which the residential tenancy agreement is to be entered into, that fact is prescribed.</w:t>
      </w:r>
    </w:p>
    <w:p w14:paraId="13ABB789"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10—Information relating to supply of certain electricity (section 48(1)(ea) of Act)</w:t>
      </w:r>
    </w:p>
    <w:p w14:paraId="3DACBF3D"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48(1)(ea) of the Act, the following information is prescribed:</w:t>
      </w:r>
    </w:p>
    <w:p w14:paraId="2731510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information about the nature, benefits and potential consequences of participating in an embedded network generally;</w:t>
      </w:r>
    </w:p>
    <w:p w14:paraId="29FECA38" w14:textId="596D2D43"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the details of the retailer for the embedded network, including electricity tariffs that apply and the retailer's contact information, ABN and website address;</w:t>
      </w:r>
    </w:p>
    <w:p w14:paraId="4C6E4B7D"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EA09B2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(c)</w:t>
      </w:r>
      <w:r w:rsidRPr="00080391">
        <w:rPr>
          <w:rFonts w:eastAsia="Times New Roman"/>
          <w:color w:val="000000"/>
          <w:sz w:val="23"/>
          <w:szCs w:val="23"/>
          <w:lang w:eastAsia="en-AU"/>
          <w14:ligatures w14:val="standardContextual"/>
        </w:rPr>
        <w:tab/>
        <w:t>information about metering arrangements in relation to, and potential costs of, participating in the embedded network;</w:t>
      </w:r>
    </w:p>
    <w:p w14:paraId="626D656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the cost apportionments per kilowatt hour for any bundled utilities arising from participating in the embedded network.</w:t>
      </w:r>
    </w:p>
    <w:p w14:paraId="19D84E1B"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11—Residential tenancy agreements—prescribed requirements (section 49 of Act)</w:t>
      </w:r>
    </w:p>
    <w:p w14:paraId="1A3916EF"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49(1)(d) of the Act, a residential tenancy agreement must require the tenant to acknowledge receipt of the written guide contemplated by section 49(3) of the Act.</w:t>
      </w:r>
    </w:p>
    <w:p w14:paraId="1B31A059"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12—Other amounts recoverable by landlord (section 53 of Act)</w:t>
      </w:r>
    </w:p>
    <w:p w14:paraId="59E141C9"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Pursuant to section 53(2)(c) of the Act, a landlord is also authorised to require or receive payments for the provision of the following services at the premises, if the accounts for those services are in the name of the landlord:</w:t>
      </w:r>
    </w:p>
    <w:p w14:paraId="31A5927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electricity;</w:t>
      </w:r>
    </w:p>
    <w:p w14:paraId="37F1906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gas;</w:t>
      </w:r>
    </w:p>
    <w:p w14:paraId="493E058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telephone;</w:t>
      </w:r>
    </w:p>
    <w:p w14:paraId="6B66EFC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Internet;</w:t>
      </w:r>
    </w:p>
    <w:p w14:paraId="67094FB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subscription television.</w:t>
      </w:r>
    </w:p>
    <w:p w14:paraId="6B437F09"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13—Limit of amount of bond—rent level (section 61 of Act)</w:t>
      </w:r>
    </w:p>
    <w:p w14:paraId="176D6386"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61(3)(a) and (b) of the Act, the amount of $800 per week is prescribed.</w:t>
      </w:r>
    </w:p>
    <w:p w14:paraId="5A8FCAD8"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14—Transmission of bond to Commissioner etc (sections 62 and 105L of Act)</w:t>
      </w:r>
    </w:p>
    <w:p w14:paraId="59659F07"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sections 62(2) and 105L(2) of the Act, the following period is allowed for the payment to the Commissioner of an amount paid by way of a bond:</w:t>
      </w:r>
    </w:p>
    <w:p w14:paraId="2A92B23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if the person who receives the amount is a registered agent—4 weeks after the receipt of the amount;</w:t>
      </w:r>
    </w:p>
    <w:p w14:paraId="58CC170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in any other case—2 weeks after the receipt of the amount.</w:t>
      </w:r>
    </w:p>
    <w:p w14:paraId="289BB3EB"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sections 62(3) and 105L(3) of the Act, the Commissioner must—</w:t>
      </w:r>
    </w:p>
    <w:p w14:paraId="7852127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notify—</w:t>
      </w:r>
    </w:p>
    <w:p w14:paraId="7F9A4B3E"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in the case of a notification made under section 62(3) of the Act—the landlord or the landlord's agent; or</w:t>
      </w:r>
    </w:p>
    <w:p w14:paraId="5D4593C4"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in the case of a notification made under section 105L(3) of the Act—the proprietor or the proprietor's agent,</w:t>
      </w:r>
    </w:p>
    <w:p w14:paraId="5142A4FD"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of receipt of the amount; and</w:t>
      </w:r>
    </w:p>
    <w:p w14:paraId="04C04F2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include in such a notification the following information:</w:t>
      </w:r>
    </w:p>
    <w:p w14:paraId="60A8A14B"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amount received;</w:t>
      </w:r>
    </w:p>
    <w:p w14:paraId="4040A133"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the date on which the amount was received;</w:t>
      </w:r>
    </w:p>
    <w:p w14:paraId="0A74EB09" w14:textId="0401A1A1" w:rsidR="00BB5DE5"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the name of the person from whom the amount was received;</w:t>
      </w:r>
    </w:p>
    <w:p w14:paraId="4DA24473"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2697303"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(iv)</w:t>
      </w:r>
      <w:r w:rsidRPr="00080391">
        <w:rPr>
          <w:rFonts w:eastAsia="Times New Roman"/>
          <w:color w:val="000000"/>
          <w:sz w:val="23"/>
          <w:szCs w:val="23"/>
          <w:lang w:eastAsia="en-AU"/>
          <w14:ligatures w14:val="standardContextual"/>
        </w:rPr>
        <w:tab/>
        <w:t>the address of the premises or rooming house (as the case requires) in respect of which the amount was received,</w:t>
      </w:r>
    </w:p>
    <w:p w14:paraId="626E2383"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so far as the information may be known by the Commissioner.</w:t>
      </w:r>
    </w:p>
    <w:p w14:paraId="3655483C"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For the purposes of sections 62(4) and 105L(4) of the Act, if the Commissioner refunds an amount received apparently by way of a bond, the Commissioner must—</w:t>
      </w:r>
    </w:p>
    <w:p w14:paraId="00C0F20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refund the amount to the person from whom it was received; and</w:t>
      </w:r>
    </w:p>
    <w:p w14:paraId="0510B96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w:t>
      </w:r>
    </w:p>
    <w:p w14:paraId="6DA652C1"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if the amount was paid apparently in respect of a particular premises—notify the landlord of the premises, or the landlord's agent, of the refund; or</w:t>
      </w:r>
    </w:p>
    <w:p w14:paraId="20C19861"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if the amount was paid apparently in respect of a particular rooming house—notify the proprietor of the rooming house, or the proprietor's agent, of the refund.</w:t>
      </w:r>
    </w:p>
    <w:p w14:paraId="3DFF88CC"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15—Bond—prescribed periods, third party payments and guarantees (sections 63 and 105M of Act)</w:t>
      </w:r>
    </w:p>
    <w:p w14:paraId="0F2FBF7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sections 63(4), (5), (7)(d)(ii)(A) and (9)(d)(i) and 105M(4), (5), (8)(d)(ii)(A) and (10)(d)(i) of the Act, the period of 14 days is prescribed.</w:t>
      </w:r>
    </w:p>
    <w:p w14:paraId="35D2264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sections 63(7) and 105M(8) of the Act, the South Australian Housing Trust is prescribed as a third party.</w:t>
      </w:r>
    </w:p>
    <w:p w14:paraId="5A12718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For the purposes of sections 63(7)(b) and 105M(8)(b) of the Act, a third party may give the Commissioner notice of the third party's interest by making an endorsement indicating the third party's interest on the form furnished to the Commissioner at the time that the relevant bond is paid to the Commissioner under section 62 or 105L of the Act, or in some other manner determined by the Minister for the purposes of this regulation.</w:t>
      </w:r>
    </w:p>
    <w:p w14:paraId="1099AFFF"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For the purposes of sections 63(9) and 105M(10) of the Act—</w:t>
      </w:r>
    </w:p>
    <w:p w14:paraId="7301715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South Australian Housing Trust is prescribed as a third party; and</w:t>
      </w:r>
    </w:p>
    <w:p w14:paraId="1966478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the prescribed circumstances are where the South Australian Housing Trust is acting as guarantor for a tenant or a rooming house resident.</w:t>
      </w:r>
    </w:p>
    <w:p w14:paraId="03D240E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For the purposes of sections 63(16)(a) and 105M(15)(a) of the Act, the period of 14 days is prescribed.</w:t>
      </w:r>
    </w:p>
    <w:p w14:paraId="34100534"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16—Altering locks for premises—relevant orders and protected persons (section 66A of Act)</w:t>
      </w:r>
    </w:p>
    <w:p w14:paraId="65A47354"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66A(1)(a) of the Act, the following kinds of orders are prescribed:</w:t>
      </w:r>
    </w:p>
    <w:p w14:paraId="70E95CB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 xml:space="preserve">an intervention order under the </w:t>
      </w:r>
      <w:hyperlink r:id="rId126" w:history="1">
        <w:r w:rsidRPr="00080391">
          <w:rPr>
            <w:rFonts w:eastAsia="Times New Roman"/>
            <w:i/>
            <w:iCs/>
            <w:color w:val="000000"/>
            <w:sz w:val="23"/>
            <w:szCs w:val="23"/>
            <w:lang w:eastAsia="en-AU"/>
            <w14:ligatures w14:val="standardContextual"/>
          </w:rPr>
          <w:t>Intervention Orders (Prevention of Abuse) Act 2009</w:t>
        </w:r>
      </w:hyperlink>
      <w:r w:rsidRPr="00080391">
        <w:rPr>
          <w:rFonts w:eastAsia="Times New Roman"/>
          <w:color w:val="000000"/>
          <w:sz w:val="23"/>
          <w:szCs w:val="23"/>
          <w:lang w:eastAsia="en-AU"/>
          <w14:ligatures w14:val="standardContextual"/>
        </w:rPr>
        <w:t>;</w:t>
      </w:r>
    </w:p>
    <w:p w14:paraId="4397CF3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 non</w:t>
      </w:r>
      <w:r w:rsidRPr="00080391">
        <w:rPr>
          <w:rFonts w:eastAsia="Times New Roman"/>
          <w:color w:val="000000"/>
          <w:sz w:val="23"/>
          <w:szCs w:val="23"/>
          <w:lang w:eastAsia="en-AU"/>
          <w14:ligatures w14:val="standardContextual"/>
        </w:rPr>
        <w:noBreakHyphen/>
        <w:t xml:space="preserve">local DVO within the meaning of Part 3A of the </w:t>
      </w:r>
      <w:hyperlink r:id="rId127" w:history="1">
        <w:r w:rsidRPr="00080391">
          <w:rPr>
            <w:rFonts w:eastAsia="Times New Roman"/>
            <w:i/>
            <w:iCs/>
            <w:color w:val="000000"/>
            <w:sz w:val="23"/>
            <w:szCs w:val="23"/>
            <w:lang w:eastAsia="en-AU"/>
            <w14:ligatures w14:val="standardContextual"/>
          </w:rPr>
          <w:t>Intervention Orders (Prevention of Abuse) Act 2009</w:t>
        </w:r>
      </w:hyperlink>
      <w:r w:rsidRPr="00080391">
        <w:rPr>
          <w:rFonts w:eastAsia="Times New Roman"/>
          <w:color w:val="000000"/>
          <w:sz w:val="23"/>
          <w:szCs w:val="23"/>
          <w:lang w:eastAsia="en-AU"/>
          <w14:ligatures w14:val="standardContextual"/>
        </w:rPr>
        <w:t>.</w:t>
      </w:r>
    </w:p>
    <w:p w14:paraId="31F499D7" w14:textId="7445882A"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 66A(1)(b) of the Act, a person for whose protection or benefit a relevant order is made is prescribed.</w:t>
      </w:r>
    </w:p>
    <w:p w14:paraId="2A85B077"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FBE9D6F"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lastRenderedPageBreak/>
        <w:t>17—Testing and remediation in relation to drug contamination (section 67B of Act)</w:t>
      </w:r>
    </w:p>
    <w:p w14:paraId="1EAA540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56" w:name="idb3f41f3a_78b9_4d6e_828b_9866949b4601_8"/>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67B(2) of the Act, testing of premises for contamination must comply with the following requirements:</w:t>
      </w:r>
      <w:bookmarkEnd w:id="456"/>
    </w:p>
    <w:p w14:paraId="0765C2C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testing must be conducted by a qualified assessor;</w:t>
      </w:r>
    </w:p>
    <w:p w14:paraId="65EDC49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 xml:space="preserve">testing must be conducted in accordance with the </w:t>
      </w:r>
      <w:r w:rsidRPr="00080391">
        <w:rPr>
          <w:rFonts w:eastAsia="Times New Roman"/>
          <w:i/>
          <w:iCs/>
          <w:color w:val="000000"/>
          <w:sz w:val="23"/>
          <w:szCs w:val="23"/>
          <w:lang w:eastAsia="en-AU"/>
          <w14:ligatures w14:val="standardContextual"/>
        </w:rPr>
        <w:t>Clandestine Drug Laboratory Remediation Guidelines</w:t>
      </w:r>
      <w:r w:rsidRPr="00080391">
        <w:rPr>
          <w:rFonts w:eastAsia="Times New Roman"/>
          <w:color w:val="000000"/>
          <w:sz w:val="23"/>
          <w:szCs w:val="23"/>
          <w:lang w:eastAsia="en-AU"/>
          <w14:ligatures w14:val="standardContextual"/>
        </w:rPr>
        <w:t xml:space="preserve"> prepared by the Commonwealth Attorney General's Department and Australian Crime Commission and published on the Commonwealth Attorney General's Department website, in force from time to time.</w:t>
      </w:r>
    </w:p>
    <w:p w14:paraId="6D9B2067"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A qualified assessor who conducts testing in accordance with </w:t>
      </w:r>
      <w:hyperlink w:anchor="idb3f41f3a_78b9_4d6e_828b_9866949b4601_8" w:history="1">
        <w:r w:rsidRPr="00080391">
          <w:rPr>
            <w:rFonts w:eastAsia="Times New Roman"/>
            <w:color w:val="000000"/>
            <w:sz w:val="23"/>
            <w:szCs w:val="23"/>
            <w:lang w:eastAsia="en-AU"/>
            <w14:ligatures w14:val="standardContextual"/>
          </w:rPr>
          <w:t>subregulation (1)</w:t>
        </w:r>
      </w:hyperlink>
      <w:r w:rsidRPr="00080391">
        <w:rPr>
          <w:rFonts w:eastAsia="Times New Roman"/>
          <w:color w:val="000000"/>
          <w:sz w:val="23"/>
          <w:szCs w:val="23"/>
          <w:lang w:eastAsia="en-AU"/>
          <w14:ligatures w14:val="standardContextual"/>
        </w:rPr>
        <w:t xml:space="preserve"> must provide a written report to the landlord that contains—</w:t>
      </w:r>
    </w:p>
    <w:p w14:paraId="733709E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results of the testing; and</w:t>
      </w:r>
    </w:p>
    <w:p w14:paraId="2184A25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recommendations for remediation of the contamination.</w:t>
      </w:r>
    </w:p>
    <w:p w14:paraId="7854A3F7"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In this regulation—</w:t>
      </w:r>
    </w:p>
    <w:p w14:paraId="62233C0E"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qualified assessor</w:t>
      </w:r>
      <w:r w:rsidRPr="00080391">
        <w:rPr>
          <w:rFonts w:eastAsia="Times New Roman"/>
          <w:color w:val="000000"/>
          <w:sz w:val="23"/>
          <w:szCs w:val="23"/>
          <w:lang w:eastAsia="en-AU"/>
          <w14:ligatures w14:val="standardContextual"/>
        </w:rPr>
        <w:t xml:space="preserve"> means a person who—</w:t>
      </w:r>
    </w:p>
    <w:p w14:paraId="7CC3D2B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57" w:name="ide77bb7d0_fc97_4aa9_90c8_c0f8670e16ad_8"/>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has experience in environmental engineering, environmental science, environmental health or occupational hygiene; and</w:t>
      </w:r>
      <w:bookmarkEnd w:id="457"/>
    </w:p>
    <w:p w14:paraId="7F7739A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 xml:space="preserve">holds qualifications in a discipline specified in </w:t>
      </w:r>
      <w:hyperlink w:anchor="ide77bb7d0_fc97_4aa9_90c8_c0f8670e16ad_8" w:history="1">
        <w:r w:rsidRPr="00080391">
          <w:rPr>
            <w:rFonts w:eastAsia="Times New Roman"/>
            <w:color w:val="000000"/>
            <w:sz w:val="23"/>
            <w:szCs w:val="23"/>
            <w:lang w:eastAsia="en-AU"/>
            <w14:ligatures w14:val="standardContextual"/>
          </w:rPr>
          <w:t>paragraph (a)</w:t>
        </w:r>
      </w:hyperlink>
      <w:r w:rsidRPr="00080391">
        <w:rPr>
          <w:rFonts w:eastAsia="Times New Roman"/>
          <w:color w:val="000000"/>
          <w:sz w:val="23"/>
          <w:szCs w:val="23"/>
          <w:lang w:eastAsia="en-AU"/>
          <w14:ligatures w14:val="standardContextual"/>
        </w:rPr>
        <w:t xml:space="preserve"> from a university or other tertiary education provider registered in Australia or established under a law of the Commonwealth or a State or Territory.</w:t>
      </w:r>
    </w:p>
    <w:p w14:paraId="1BEAA13E"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18—Items for which community housing provider is not responsible (section 68 of Act)</w:t>
      </w:r>
    </w:p>
    <w:p w14:paraId="13389394"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Pursuant to section 68(2)(b) of the Act, if the landlord is a registered community housing provider, the landlord is not required to comply with section 68(1) of the Act in relation to the following items:</w:t>
      </w:r>
    </w:p>
    <w:p w14:paraId="7C82564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air conditioners;</w:t>
      </w:r>
    </w:p>
    <w:p w14:paraId="2F33CC0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antennas;</w:t>
      </w:r>
    </w:p>
    <w:p w14:paraId="7126652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ceiling fans;</w:t>
      </w:r>
    </w:p>
    <w:p w14:paraId="69048A9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washing machines;</w:t>
      </w:r>
    </w:p>
    <w:p w14:paraId="6E45F73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dishwashers;</w:t>
      </w:r>
    </w:p>
    <w:p w14:paraId="0D298E1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(f)</w:t>
      </w:r>
      <w:r w:rsidRPr="00080391">
        <w:rPr>
          <w:rFonts w:eastAsia="Times New Roman"/>
          <w:color w:val="000000"/>
          <w:sz w:val="23"/>
          <w:szCs w:val="23"/>
          <w:lang w:eastAsia="en-AU"/>
          <w14:ligatures w14:val="standardContextual"/>
        </w:rPr>
        <w:tab/>
        <w:t>external blinds;</w:t>
      </w:r>
    </w:p>
    <w:p w14:paraId="0E3DAAB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(g)</w:t>
      </w:r>
      <w:r w:rsidRPr="00080391">
        <w:rPr>
          <w:rFonts w:eastAsia="Times New Roman"/>
          <w:color w:val="000000"/>
          <w:sz w:val="23"/>
          <w:szCs w:val="23"/>
          <w:lang w:eastAsia="en-AU"/>
          <w14:ligatures w14:val="standardContextual"/>
        </w:rPr>
        <w:tab/>
        <w:t>floor coverings;</w:t>
      </w:r>
    </w:p>
    <w:p w14:paraId="6ECA8FC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(h)</w:t>
      </w:r>
      <w:r w:rsidRPr="00080391">
        <w:rPr>
          <w:rFonts w:eastAsia="Times New Roman"/>
          <w:color w:val="000000"/>
          <w:sz w:val="23"/>
          <w:szCs w:val="23"/>
          <w:lang w:eastAsia="en-AU"/>
          <w14:ligatures w14:val="standardContextual"/>
        </w:rPr>
        <w:tab/>
        <w:t>garden sheds;</w:t>
      </w:r>
    </w:p>
    <w:p w14:paraId="6BF9F38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internal blinds and curtains;</w:t>
      </w:r>
    </w:p>
    <w:p w14:paraId="6F01154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(j)</w:t>
      </w:r>
      <w:r w:rsidRPr="00080391">
        <w:rPr>
          <w:rFonts w:eastAsia="Times New Roman"/>
          <w:color w:val="000000"/>
          <w:sz w:val="23"/>
          <w:szCs w:val="23"/>
          <w:lang w:eastAsia="en-AU"/>
          <w14:ligatures w14:val="standardContextual"/>
        </w:rPr>
        <w:tab/>
        <w:t>light fittings;</w:t>
      </w:r>
    </w:p>
    <w:p w14:paraId="17993EE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(k)</w:t>
      </w:r>
      <w:r w:rsidRPr="00080391">
        <w:rPr>
          <w:rFonts w:eastAsia="Times New Roman"/>
          <w:color w:val="000000"/>
          <w:sz w:val="23"/>
          <w:szCs w:val="23"/>
          <w:lang w:eastAsia="en-AU"/>
          <w14:ligatures w14:val="standardContextual"/>
        </w:rPr>
        <w:tab/>
        <w:t>rain water tanks, other than where the tank is the only source of water for the premises;</w:t>
      </w:r>
    </w:p>
    <w:p w14:paraId="6D0EC0C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(l)</w:t>
      </w:r>
      <w:r w:rsidRPr="00080391">
        <w:rPr>
          <w:rFonts w:eastAsia="Times New Roman"/>
          <w:color w:val="000000"/>
          <w:sz w:val="23"/>
          <w:szCs w:val="23"/>
          <w:lang w:eastAsia="en-AU"/>
          <w14:ligatures w14:val="standardContextual"/>
        </w:rPr>
        <w:tab/>
        <w:t>refrigeration units;</w:t>
      </w:r>
    </w:p>
    <w:p w14:paraId="6A05F66B" w14:textId="11C8245D"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(m)</w:t>
      </w:r>
      <w:r w:rsidRPr="00080391">
        <w:rPr>
          <w:rFonts w:eastAsia="Times New Roman"/>
          <w:color w:val="000000"/>
          <w:sz w:val="23"/>
          <w:szCs w:val="23"/>
          <w:lang w:eastAsia="en-AU"/>
          <w14:ligatures w14:val="standardContextual"/>
        </w:rPr>
        <w:tab/>
        <w:t>room heaters;</w:t>
      </w:r>
    </w:p>
    <w:p w14:paraId="4627AB7F"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1CB513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(n)</w:t>
      </w:r>
      <w:r w:rsidRPr="00080391">
        <w:rPr>
          <w:rFonts w:eastAsia="Times New Roman"/>
          <w:color w:val="000000"/>
          <w:sz w:val="23"/>
          <w:szCs w:val="23"/>
          <w:lang w:eastAsia="en-AU"/>
          <w14:ligatures w14:val="standardContextual"/>
        </w:rPr>
        <w:tab/>
        <w:t>spa bath motors;</w:t>
      </w:r>
    </w:p>
    <w:p w14:paraId="6FF6BB5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(o)</w:t>
      </w:r>
      <w:r w:rsidRPr="00080391">
        <w:rPr>
          <w:rFonts w:eastAsia="Times New Roman"/>
          <w:color w:val="000000"/>
          <w:sz w:val="23"/>
          <w:szCs w:val="23"/>
          <w:lang w:eastAsia="en-AU"/>
          <w14:ligatures w14:val="standardContextual"/>
        </w:rPr>
        <w:tab/>
        <w:t>swimming pools and associated plant or equipment;</w:t>
      </w:r>
    </w:p>
    <w:p w14:paraId="677DB9B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(p)</w:t>
      </w:r>
      <w:r w:rsidRPr="00080391">
        <w:rPr>
          <w:rFonts w:eastAsia="Times New Roman"/>
          <w:color w:val="000000"/>
          <w:sz w:val="23"/>
          <w:szCs w:val="23"/>
          <w:lang w:eastAsia="en-AU"/>
          <w14:ligatures w14:val="standardContextual"/>
        </w:rPr>
        <w:tab/>
        <w:t>waste disposal units;</w:t>
      </w:r>
    </w:p>
    <w:p w14:paraId="5D4AB2C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(q)</w:t>
      </w:r>
      <w:r w:rsidRPr="00080391">
        <w:rPr>
          <w:rFonts w:eastAsia="Times New Roman"/>
          <w:color w:val="000000"/>
          <w:sz w:val="23"/>
          <w:szCs w:val="23"/>
          <w:lang w:eastAsia="en-AU"/>
          <w14:ligatures w14:val="standardContextual"/>
        </w:rPr>
        <w:tab/>
        <w:t>water pumps, other than where the water pumped is the only water supplied to the premises;</w:t>
      </w:r>
    </w:p>
    <w:p w14:paraId="15B8EAC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(r)</w:t>
      </w:r>
      <w:r w:rsidRPr="00080391">
        <w:rPr>
          <w:rFonts w:eastAsia="Times New Roman"/>
          <w:color w:val="000000"/>
          <w:sz w:val="23"/>
          <w:szCs w:val="23"/>
          <w:lang w:eastAsia="en-AU"/>
          <w14:ligatures w14:val="standardContextual"/>
        </w:rPr>
        <w:tab/>
        <w:t>window treatments.</w:t>
      </w:r>
    </w:p>
    <w:p w14:paraId="72130158"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19—Minimum efficiency standards—requirements (sections 68A and 105PA of Act)</w:t>
      </w:r>
    </w:p>
    <w:p w14:paraId="5E278A3F"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sections 68A and 105PA of the Act, the following requirements are prescribed:</w:t>
      </w:r>
    </w:p>
    <w:p w14:paraId="2DEF87B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following fixtures must not have a flow rate that is higher than 9 litres per minute:</w:t>
      </w:r>
    </w:p>
    <w:p w14:paraId="5935BEAF"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shower heads;</w:t>
      </w:r>
    </w:p>
    <w:p w14:paraId="7DE1258C"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cold water taps and single mixer taps for kitchen, laundry or bathroom sinks or hand basins;</w:t>
      </w:r>
    </w:p>
    <w:p w14:paraId="416A743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toilets must be dual flush and have a minimum 3</w:t>
      </w:r>
      <w:r w:rsidRPr="00080391">
        <w:rPr>
          <w:rFonts w:eastAsia="Times New Roman"/>
          <w:color w:val="000000"/>
          <w:sz w:val="23"/>
          <w:szCs w:val="23"/>
          <w:lang w:eastAsia="en-AU"/>
          <w14:ligatures w14:val="standardContextual"/>
        </w:rPr>
        <w:noBreakHyphen/>
        <w:t xml:space="preserve">star rating in accordance with the WELS scheme within the meaning of the </w:t>
      </w:r>
      <w:r w:rsidRPr="00080391">
        <w:rPr>
          <w:rFonts w:eastAsia="Times New Roman"/>
          <w:i/>
          <w:iCs/>
          <w:color w:val="000000"/>
          <w:sz w:val="23"/>
          <w:szCs w:val="23"/>
          <w:lang w:eastAsia="en-AU"/>
          <w14:ligatures w14:val="standardContextual"/>
        </w:rPr>
        <w:t>Water Efficiency Labelling and Standards Act 2005</w:t>
      </w:r>
      <w:r w:rsidRPr="00080391">
        <w:rPr>
          <w:rFonts w:eastAsia="Times New Roman"/>
          <w:color w:val="000000"/>
          <w:sz w:val="23"/>
          <w:szCs w:val="23"/>
          <w:lang w:eastAsia="en-AU"/>
          <w14:ligatures w14:val="standardContextual"/>
        </w:rPr>
        <w:t xml:space="preserve"> of the Commonwealth;</w:t>
      </w:r>
    </w:p>
    <w:p w14:paraId="2BF9C56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 xml:space="preserve">an electrical appliance that is a GEMS product within the meaning of the </w:t>
      </w:r>
      <w:r w:rsidRPr="00080391">
        <w:rPr>
          <w:rFonts w:eastAsia="Times New Roman"/>
          <w:i/>
          <w:iCs/>
          <w:color w:val="000000"/>
          <w:sz w:val="23"/>
          <w:szCs w:val="23"/>
          <w:lang w:eastAsia="en-AU"/>
          <w14:ligatures w14:val="standardContextual"/>
        </w:rPr>
        <w:t>Greenhouse and Energy Minimum Standards Act 2012</w:t>
      </w:r>
      <w:r w:rsidRPr="00080391">
        <w:rPr>
          <w:rFonts w:eastAsia="Times New Roman"/>
          <w:color w:val="000000"/>
          <w:sz w:val="23"/>
          <w:szCs w:val="23"/>
          <w:lang w:eastAsia="en-AU"/>
          <w14:ligatures w14:val="standardContextual"/>
        </w:rPr>
        <w:t xml:space="preserve"> of the Commonwealth must have a minimum 3</w:t>
      </w:r>
      <w:r w:rsidRPr="00080391">
        <w:rPr>
          <w:rFonts w:eastAsia="Times New Roman"/>
          <w:color w:val="000000"/>
          <w:sz w:val="23"/>
          <w:szCs w:val="23"/>
          <w:lang w:eastAsia="en-AU"/>
          <w14:ligatures w14:val="standardContextual"/>
        </w:rPr>
        <w:noBreakHyphen/>
        <w:t>star rating in accordance with the determination in force from time to time under that Act relating to the relevant appliance;</w:t>
      </w:r>
    </w:p>
    <w:p w14:paraId="28164B8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 xml:space="preserve">electric or gas water heaters must comply with the determination in force from time to time under the </w:t>
      </w:r>
      <w:r w:rsidRPr="00080391">
        <w:rPr>
          <w:rFonts w:eastAsia="Times New Roman"/>
          <w:i/>
          <w:iCs/>
          <w:color w:val="000000"/>
          <w:sz w:val="23"/>
          <w:szCs w:val="23"/>
          <w:lang w:eastAsia="en-AU"/>
          <w14:ligatures w14:val="standardContextual"/>
        </w:rPr>
        <w:t>Greenhouse and Energy Minimum Standards Act 2012</w:t>
      </w:r>
      <w:r w:rsidRPr="00080391">
        <w:rPr>
          <w:rFonts w:eastAsia="Times New Roman"/>
          <w:color w:val="000000"/>
          <w:sz w:val="23"/>
          <w:szCs w:val="23"/>
          <w:lang w:eastAsia="en-AU"/>
          <w14:ligatures w14:val="standardContextual"/>
        </w:rPr>
        <w:t xml:space="preserve"> of the Commonwealth relating to electric or gas water heaters (respectively).</w:t>
      </w:r>
    </w:p>
    <w:p w14:paraId="7A5BFE03"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8" w:name="Elkera_Print_TOC23"/>
      <w:bookmarkStart w:id="459" w:name="Elkera_Print_BK23"/>
      <w:r w:rsidRPr="00080391">
        <w:rPr>
          <w:rFonts w:eastAsia="Times New Roman"/>
          <w:b/>
          <w:bCs/>
          <w:color w:val="000000"/>
          <w:sz w:val="26"/>
          <w:szCs w:val="26"/>
          <w:lang w:eastAsia="en-AU"/>
          <w14:ligatures w14:val="standardContextual"/>
        </w:rPr>
        <w:t>20—Alteration of premises for provision of infrastructure or a service (section 70 of Act)</w:t>
      </w:r>
      <w:bookmarkEnd w:id="458"/>
      <w:bookmarkEnd w:id="459"/>
    </w:p>
    <w:p w14:paraId="362CAAFB"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70(1a)(a) of the Act, the following kinds of services and infrastructure are prescribed:</w:t>
      </w:r>
    </w:p>
    <w:p w14:paraId="6AA83C9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digital television;</w:t>
      </w:r>
    </w:p>
    <w:p w14:paraId="532A66A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 carriage service for accessing the Internet and any facility or customer equipment associated with provision of that service.</w:t>
      </w:r>
    </w:p>
    <w:p w14:paraId="1CB09B57"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21—Right of entry—notice of proposed entry and requirements relating to records (section 72 of Act)</w:t>
      </w:r>
    </w:p>
    <w:p w14:paraId="3E44127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A notice given by a landlord to a tenant under section 72(1)(h) of the Act must be in the form set out in </w:t>
      </w:r>
      <w:hyperlink w:anchor="id826ab2a1_d70c_4137_8907_bf47b31cf8bc_8" w:history="1">
        <w:r w:rsidRPr="00080391">
          <w:rPr>
            <w:rFonts w:eastAsia="Times New Roman"/>
            <w:color w:val="000000"/>
            <w:sz w:val="23"/>
            <w:szCs w:val="23"/>
            <w:lang w:eastAsia="en-AU"/>
            <w14:ligatures w14:val="standardContextual"/>
          </w:rPr>
          <w:t>Form 2</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5484A84F" w14:textId="2688C9B9"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 72(5a) of the Act, a record constituting a photograph or video recording of premises that is produced during entry onto the premises under section 72(1)(c), (ca), (f), (g) or (h) of the Act must not be distributed or published such that members of the public can view the record unless the landlord (or an agent of the landlord) provides, at least 7 days prior to the entry, notice in writing to the tenant that such a record will be so produced during the entry.</w:t>
      </w:r>
    </w:p>
    <w:p w14:paraId="68AF8589"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039B31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(3)</w:t>
      </w:r>
      <w:r w:rsidRPr="00080391">
        <w:rPr>
          <w:rFonts w:eastAsia="Times New Roman"/>
          <w:color w:val="000000"/>
          <w:sz w:val="23"/>
          <w:szCs w:val="23"/>
          <w:lang w:eastAsia="en-AU"/>
          <w14:ligatures w14:val="standardContextual"/>
        </w:rPr>
        <w:tab/>
        <w:t>For the purposes of section 72(5a) of the Act, a record constituting a photograph or video recording that captures or contains the tenant's personal possessions must not be produced during entry onto the premises under section 72(1)(c), (ca), (f), (g) or (h) of the Act unless the landlord (or an agent of the landlord)—</w:t>
      </w:r>
    </w:p>
    <w:p w14:paraId="4097813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provides, at least 7 days prior to the entry, notice in writing to the tenant that such a record may be so produced; and</w:t>
      </w:r>
    </w:p>
    <w:p w14:paraId="0F46213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obtains the written consent of the tenant for the production of the record.</w:t>
      </w:r>
    </w:p>
    <w:p w14:paraId="1074D5E2"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22—Notice of termination—landlords (Part 5 Division 2 of Act)</w:t>
      </w:r>
    </w:p>
    <w:p w14:paraId="6D3DFA9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A notice given by a landlord to the administrator of a tenant's estate or a tenant's next of kin under section 79B(4) of the Act must be in the form set out in </w:t>
      </w:r>
      <w:hyperlink w:anchor="id51d657bd_1588_4f0f_86c6_f5d4bce0e878_b" w:history="1">
        <w:r w:rsidRPr="00080391">
          <w:rPr>
            <w:rFonts w:eastAsia="Times New Roman"/>
            <w:color w:val="000000"/>
            <w:sz w:val="23"/>
            <w:szCs w:val="23"/>
            <w:lang w:eastAsia="en-AU"/>
            <w14:ligatures w14:val="standardContextual"/>
          </w:rPr>
          <w:t>Form 4</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7DC37B9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A notice given by a landlord to a tenant under section 80 of the Act (including a notice that provides for the termination of the tenancy) must be in the form set out in </w:t>
      </w:r>
      <w:hyperlink w:anchor="id8106b96d_c8a8_4e6b_b84b_c8fbeb5df576_4" w:history="1">
        <w:r w:rsidRPr="00080391">
          <w:rPr>
            <w:rFonts w:eastAsia="Times New Roman"/>
            <w:color w:val="000000"/>
            <w:sz w:val="23"/>
            <w:szCs w:val="23"/>
            <w:lang w:eastAsia="en-AU"/>
            <w14:ligatures w14:val="standardContextual"/>
          </w:rPr>
          <w:t>Form 5</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4F69897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A notice given by a landlord to a tenant under section 80A of the Act must be in the form set out in </w:t>
      </w:r>
      <w:hyperlink w:anchor="id810ce089_11c8_4fc3_8a0e_a71c2dc984fe_a" w:history="1">
        <w:r w:rsidRPr="00080391">
          <w:rPr>
            <w:rFonts w:eastAsia="Times New Roman"/>
            <w:color w:val="000000"/>
            <w:sz w:val="23"/>
            <w:szCs w:val="23"/>
            <w:lang w:eastAsia="en-AU"/>
            <w14:ligatures w14:val="standardContextual"/>
          </w:rPr>
          <w:t>Form 6</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1ECAFE2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 xml:space="preserve">A notice given by a landlord to a tenant under section 81 or 82 of the Act must be in the form set out in </w:t>
      </w:r>
      <w:hyperlink w:anchor="id05d9bf08_c84c_4988_a89a_2648db0b762f_6" w:history="1">
        <w:r w:rsidRPr="00080391">
          <w:rPr>
            <w:rFonts w:eastAsia="Times New Roman"/>
            <w:color w:val="000000"/>
            <w:sz w:val="23"/>
            <w:szCs w:val="23"/>
            <w:lang w:eastAsia="en-AU"/>
            <w14:ligatures w14:val="standardContextual"/>
          </w:rPr>
          <w:t>Form 7</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6C8433C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 xml:space="preserve">A notice given by a landlord to a tenant under section 83 of the Act must be in the form set out in </w:t>
      </w:r>
      <w:hyperlink w:anchor="idfc70814f_408c_4e86_a1df_afd398284639_b" w:history="1">
        <w:r w:rsidRPr="00080391">
          <w:rPr>
            <w:rFonts w:eastAsia="Times New Roman"/>
            <w:color w:val="000000"/>
            <w:sz w:val="23"/>
            <w:szCs w:val="23"/>
            <w:lang w:eastAsia="en-AU"/>
            <w14:ligatures w14:val="standardContextual"/>
          </w:rPr>
          <w:t>Form 8</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26C2E91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(6)</w:t>
      </w:r>
      <w:r w:rsidRPr="00080391">
        <w:rPr>
          <w:rFonts w:eastAsia="Times New Roman"/>
          <w:color w:val="000000"/>
          <w:sz w:val="23"/>
          <w:szCs w:val="23"/>
          <w:lang w:eastAsia="en-AU"/>
          <w14:ligatures w14:val="standardContextual"/>
        </w:rPr>
        <w:tab/>
        <w:t xml:space="preserve">A notice given by a landlord to a tenant under section 83A of the Act must be in the form set out in </w:t>
      </w:r>
      <w:hyperlink w:anchor="idecf972cb_8a81_488f_a8ce_4e72993c7824_1" w:history="1">
        <w:r w:rsidRPr="00080391">
          <w:rPr>
            <w:rFonts w:eastAsia="Times New Roman"/>
            <w:color w:val="000000"/>
            <w:sz w:val="23"/>
            <w:szCs w:val="23"/>
            <w:lang w:eastAsia="en-AU"/>
            <w14:ligatures w14:val="standardContextual"/>
          </w:rPr>
          <w:t>Form 9</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1E7570E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(7)</w:t>
      </w:r>
      <w:r w:rsidRPr="00080391">
        <w:rPr>
          <w:rFonts w:eastAsia="Times New Roman"/>
          <w:color w:val="000000"/>
          <w:sz w:val="23"/>
          <w:szCs w:val="23"/>
          <w:lang w:eastAsia="en-AU"/>
          <w14:ligatures w14:val="standardContextual"/>
        </w:rPr>
        <w:tab/>
        <w:t xml:space="preserve">A notice given by a landlord to a tenant under section 83B of the Act must be in the form set out in </w:t>
      </w:r>
      <w:hyperlink w:anchor="id4582f613_1c90_4cde_a673_d6c895383b1b_9" w:history="1">
        <w:r w:rsidRPr="00080391">
          <w:rPr>
            <w:rFonts w:eastAsia="Times New Roman"/>
            <w:color w:val="000000"/>
            <w:sz w:val="23"/>
            <w:szCs w:val="23"/>
            <w:lang w:eastAsia="en-AU"/>
            <w14:ligatures w14:val="standardContextual"/>
          </w:rPr>
          <w:t>Form 10</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1A780078"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0" w:name="Elkera_Print_TOC26"/>
      <w:bookmarkStart w:id="461" w:name="Elkera_Print_BK26"/>
      <w:r w:rsidRPr="00080391">
        <w:rPr>
          <w:rFonts w:eastAsia="Times New Roman"/>
          <w:b/>
          <w:bCs/>
          <w:color w:val="000000"/>
          <w:sz w:val="26"/>
          <w:szCs w:val="26"/>
          <w:lang w:eastAsia="en-AU"/>
          <w14:ligatures w14:val="standardContextual"/>
        </w:rPr>
        <w:t>23—Grounds of termination (section 81 of Act)</w:t>
      </w:r>
      <w:bookmarkEnd w:id="460"/>
      <w:bookmarkEnd w:id="461"/>
    </w:p>
    <w:p w14:paraId="08B6ACD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2" w:name="id06587f80_d3ce_4b1c_b46b_f7602c2b4e"/>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For the purposes of section 81(1)(e) of the Act, the sale of the premises in accordance with a sales agency agreement entered into between the landlord and a registered agent in accordance with </w:t>
      </w:r>
      <w:hyperlink w:anchor="id66653dd1_17fa_4de8_84ad_fc791c3a54" w:history="1">
        <w:r w:rsidRPr="00080391">
          <w:rPr>
            <w:rFonts w:eastAsia="Times New Roman"/>
            <w:color w:val="000000"/>
            <w:sz w:val="23"/>
            <w:szCs w:val="23"/>
            <w:lang w:eastAsia="en-AU"/>
            <w14:ligatures w14:val="standardContextual"/>
          </w:rPr>
          <w:t>subregulation (2)</w:t>
        </w:r>
      </w:hyperlink>
      <w:r w:rsidRPr="00080391">
        <w:rPr>
          <w:rFonts w:eastAsia="Times New Roman"/>
          <w:color w:val="000000"/>
          <w:sz w:val="23"/>
          <w:szCs w:val="23"/>
          <w:lang w:eastAsia="en-AU"/>
          <w14:ligatures w14:val="standardContextual"/>
        </w:rPr>
        <w:t xml:space="preserve"> is prescribed.</w:t>
      </w:r>
      <w:bookmarkEnd w:id="462"/>
    </w:p>
    <w:p w14:paraId="6310DB1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3" w:name="id66653dd1_17fa_4de8_84ad_fc791c3a54"/>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For the purposes of </w:t>
      </w:r>
      <w:hyperlink w:anchor="id06587f80_d3ce_4b1c_b46b_f7602c2b4e" w:history="1">
        <w:r w:rsidRPr="00080391">
          <w:rPr>
            <w:rFonts w:eastAsia="Times New Roman"/>
            <w:color w:val="000000"/>
            <w:sz w:val="23"/>
            <w:szCs w:val="23"/>
            <w:lang w:eastAsia="en-AU"/>
            <w14:ligatures w14:val="standardContextual"/>
          </w:rPr>
          <w:t>subregulation (1)</w:t>
        </w:r>
      </w:hyperlink>
      <w:r w:rsidRPr="00080391">
        <w:rPr>
          <w:rFonts w:eastAsia="Times New Roman"/>
          <w:color w:val="000000"/>
          <w:sz w:val="23"/>
          <w:szCs w:val="23"/>
          <w:lang w:eastAsia="en-AU"/>
          <w14:ligatures w14:val="standardContextual"/>
        </w:rPr>
        <w:t>, a sales agency agreement must be entered into by the registered agent and must not be entered into by a property manager.</w:t>
      </w:r>
      <w:bookmarkEnd w:id="463"/>
    </w:p>
    <w:p w14:paraId="18B1E34A"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4" w:name="Elkera_Print_BK27"/>
      <w:r w:rsidRPr="00080391">
        <w:rPr>
          <w:rFonts w:eastAsia="Times New Roman"/>
          <w:b/>
          <w:bCs/>
          <w:color w:val="000000"/>
          <w:sz w:val="26"/>
          <w:szCs w:val="26"/>
          <w:lang w:eastAsia="en-AU"/>
          <w14:ligatures w14:val="standardContextual"/>
        </w:rPr>
        <w:t>24—Grounds of termination (section 83 of Act)</w:t>
      </w:r>
      <w:bookmarkEnd w:id="464"/>
    </w:p>
    <w:p w14:paraId="7B6950DE"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5" w:name="id35e2dfef_8741_4a87_bf0c_2bcc6576e2bd_1"/>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83(1) of the Act, the following grounds of termination are prescribed:</w:t>
      </w:r>
      <w:bookmarkEnd w:id="465"/>
    </w:p>
    <w:p w14:paraId="12503D5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66" w:name="idfa7302a0_8300_46dd_baab_9aa9a92c2b3f_4"/>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tenant, or a person permitted to enter the premises by the tenant, gave rise to a serious risk to the life, health or safety of the landlord, the landlord's agent or a person who resides in the immediate vicinity of the premises;</w:t>
      </w:r>
      <w:bookmarkEnd w:id="466"/>
    </w:p>
    <w:p w14:paraId="2B4D698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67" w:name="id6036513f_9d0e_41d9_9184_c711fa203d7a_1"/>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the tenant or a person residing at the premises threatened or intimidated (whether physically or psychologically) the landlord, the landlord's agent or a contractor or employee of the landlord or agent;</w:t>
      </w:r>
      <w:bookmarkEnd w:id="467"/>
    </w:p>
    <w:p w14:paraId="53D71C3D" w14:textId="72154C0E"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the tenant kept a pet on the premises without authorisation under Part 4 Division 6A of the Act;</w:t>
      </w:r>
    </w:p>
    <w:p w14:paraId="3613AB2D"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E633E1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(d)</w:t>
      </w:r>
      <w:r w:rsidRPr="00080391">
        <w:rPr>
          <w:rFonts w:eastAsia="Times New Roman"/>
          <w:color w:val="000000"/>
          <w:sz w:val="23"/>
          <w:szCs w:val="23"/>
          <w:lang w:eastAsia="en-AU"/>
          <w14:ligatures w14:val="standardContextual"/>
        </w:rPr>
        <w:tab/>
        <w:t>the tenant induced the landlord to enter into a residential tenancy agreement by a statement or representation in respect of the tenant's identity or place of occupation that the tenant knew to be false, misleading or deceptive, or by knowingly concealing a material fact in respect of the tenant's identity or place of occupation;</w:t>
      </w:r>
    </w:p>
    <w:p w14:paraId="4051710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if the landlord is a charitable organisation and it is a term of the residential tenancy agreement that the tenant meet the eligibility requirements of the organisation to reside at the premises—the tenant no longer meets the eligibility requirements of the organisation;</w:t>
      </w:r>
    </w:p>
    <w:p w14:paraId="0F6961B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(f)</w:t>
      </w:r>
      <w:r w:rsidRPr="00080391">
        <w:rPr>
          <w:rFonts w:eastAsia="Times New Roman"/>
          <w:color w:val="000000"/>
          <w:sz w:val="23"/>
          <w:szCs w:val="23"/>
          <w:lang w:eastAsia="en-AU"/>
          <w14:ligatures w14:val="standardContextual"/>
        </w:rPr>
        <w:tab/>
        <w:t xml:space="preserve">if the landlord is an NRAS approved participant and the premises are a rental dwelling covered by an allocation under the National Rental Affordability Scheme—the tenant is no longer an eligible tenant under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w:t>
      </w:r>
    </w:p>
    <w:p w14:paraId="58D6C3A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(g)</w:t>
      </w:r>
      <w:r w:rsidRPr="00080391">
        <w:rPr>
          <w:rFonts w:eastAsia="Times New Roman"/>
          <w:color w:val="000000"/>
          <w:sz w:val="23"/>
          <w:szCs w:val="23"/>
          <w:lang w:eastAsia="en-AU"/>
          <w14:ligatures w14:val="standardContextual"/>
        </w:rPr>
        <w:tab/>
        <w:t>if it is a term of the residential tenancy agreement that the tenant is a student of an educational institution or an employee of the landlord—the tenant is no longer a student of the institution or employee of the landlord (respectively).</w:t>
      </w:r>
    </w:p>
    <w:p w14:paraId="421DE35F"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In this regulation—</w:t>
      </w:r>
    </w:p>
    <w:p w14:paraId="0FA88257"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charitable organisation</w:t>
      </w:r>
      <w:r w:rsidRPr="00080391">
        <w:rPr>
          <w:rFonts w:eastAsia="Times New Roman"/>
          <w:color w:val="000000"/>
          <w:sz w:val="23"/>
          <w:szCs w:val="23"/>
          <w:lang w:eastAsia="en-AU"/>
          <w14:ligatures w14:val="standardContextual"/>
        </w:rPr>
        <w:t xml:space="preserve"> means an organisation, society, institution or body carried on for a religious, educational, benevolent or charitable purpose, provided that—</w:t>
      </w:r>
    </w:p>
    <w:p w14:paraId="4E9CFA6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it is not also carried on for the purpose of securing pecuniary benefit for its members; and</w:t>
      </w:r>
    </w:p>
    <w:p w14:paraId="773E2C9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it is not a registered community housing provider;</w:t>
      </w:r>
    </w:p>
    <w:p w14:paraId="2742408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NRAS approved participant</w:t>
      </w:r>
      <w:r w:rsidRPr="00080391">
        <w:rPr>
          <w:rFonts w:eastAsia="Times New Roman"/>
          <w:color w:val="000000"/>
          <w:sz w:val="23"/>
          <w:szCs w:val="23"/>
          <w:lang w:eastAsia="en-AU"/>
          <w14:ligatures w14:val="standardContextual"/>
        </w:rPr>
        <w:t xml:space="preserve"> means an approved participant within the meaning of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w:t>
      </w:r>
    </w:p>
    <w:p w14:paraId="33B34002"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8" w:name="id3bd416a9_a45d_496d_9617_f7ee56b60cf0_4"/>
      <w:r w:rsidRPr="00080391">
        <w:rPr>
          <w:rFonts w:eastAsia="Times New Roman"/>
          <w:b/>
          <w:bCs/>
          <w:color w:val="000000"/>
          <w:sz w:val="26"/>
          <w:szCs w:val="26"/>
          <w:lang w:eastAsia="en-AU"/>
          <w14:ligatures w14:val="standardContextual"/>
        </w:rPr>
        <w:t>25—Grounds of termination (section 83A of Act)</w:t>
      </w:r>
      <w:bookmarkEnd w:id="468"/>
    </w:p>
    <w:p w14:paraId="7EAB5DF2"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9" w:name="id5601c03f_4ebb_413f_b02c_2ebb7a688049_5"/>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83A(1) of the Act, the following grounds of termination are prescribed:</w:t>
      </w:r>
      <w:bookmarkEnd w:id="469"/>
    </w:p>
    <w:p w14:paraId="0F40093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70" w:name="idf8ad05e7_f9c7_4746_8fc8_ad2a69fe2fce_0"/>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landlord requires possession of the premises for demolition;</w:t>
      </w:r>
      <w:bookmarkEnd w:id="470"/>
    </w:p>
    <w:p w14:paraId="26AE905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the landlord requires possession of the premises for repairs or renovations that cannot be carried out conveniently while the tenant remains in possession of the premises;</w:t>
      </w:r>
    </w:p>
    <w:p w14:paraId="11E55CF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the landlord requires possession of the premises for—</w:t>
      </w:r>
    </w:p>
    <w:p w14:paraId="272D0C89"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landlord's own occupation; or</w:t>
      </w:r>
    </w:p>
    <w:p w14:paraId="0646A735"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occupation by the landlord's spouse, child or parent; or</w:t>
      </w:r>
    </w:p>
    <w:p w14:paraId="5F896203"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occupation by the spouse of the landlord's child or parent;</w:t>
      </w:r>
    </w:p>
    <w:p w14:paraId="3481EB0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71" w:name="id90ded416_2c2d_477d_b987_49765718cc80_8"/>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the landlord has entered into a contract for the sale of the premises under which the landlord is required to give vacant possession of the premises;</w:t>
      </w:r>
      <w:bookmarkEnd w:id="471"/>
    </w:p>
    <w:p w14:paraId="77232304" w14:textId="3B1BDA25"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72" w:name="idc2f6b001_6d57_4b91_9148_107aed2ce0"/>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 xml:space="preserve">the landlord requires possession of the premises for the purposes of the sale of the premises in circumstances where a sales agency agreement for the sale of the premises has been entered into between the landlord and a registered agent in accordance with </w:t>
      </w:r>
      <w:hyperlink w:anchor="idb0833ce3_879f_4d86_85df_d0e8478ab8" w:history="1">
        <w:r w:rsidRPr="00080391">
          <w:rPr>
            <w:rFonts w:eastAsia="Times New Roman"/>
            <w:color w:val="000000"/>
            <w:sz w:val="23"/>
            <w:szCs w:val="23"/>
            <w:lang w:eastAsia="en-AU"/>
            <w14:ligatures w14:val="standardContextual"/>
          </w:rPr>
          <w:t>subregulation (3)</w:t>
        </w:r>
      </w:hyperlink>
      <w:r w:rsidRPr="00080391">
        <w:rPr>
          <w:rFonts w:eastAsia="Times New Roman"/>
          <w:color w:val="000000"/>
          <w:sz w:val="23"/>
          <w:szCs w:val="23"/>
          <w:lang w:eastAsia="en-AU"/>
          <w14:ligatures w14:val="standardContextual"/>
        </w:rPr>
        <w:t>;</w:t>
      </w:r>
      <w:bookmarkEnd w:id="472"/>
    </w:p>
    <w:p w14:paraId="368C87B2"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A0353B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(f)</w:t>
      </w:r>
      <w:r w:rsidRPr="00080391">
        <w:rPr>
          <w:rFonts w:eastAsia="Times New Roman"/>
          <w:color w:val="000000"/>
          <w:sz w:val="23"/>
          <w:szCs w:val="23"/>
          <w:lang w:eastAsia="en-AU"/>
          <w14:ligatures w14:val="standardContextual"/>
        </w:rPr>
        <w:tab/>
        <w:t>the tenant, or a person permitted to enter the premises by the tenant, intentionally or negligently caused serious damage to—</w:t>
      </w:r>
    </w:p>
    <w:p w14:paraId="0CAFE967"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premises; or</w:t>
      </w:r>
    </w:p>
    <w:p w14:paraId="5399DE4C"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an area adjacent to the premises; or</w:t>
      </w:r>
    </w:p>
    <w:p w14:paraId="50F1E732"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safety equipment located on the premises or an area adjacent to the premises;</w:t>
      </w:r>
    </w:p>
    <w:p w14:paraId="6B3F3DFB" w14:textId="77777777" w:rsidR="00080391" w:rsidRPr="00080391" w:rsidRDefault="00080391" w:rsidP="00080391">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Example—</w:t>
      </w:r>
    </w:p>
    <w:p w14:paraId="7439B7B2" w14:textId="77777777" w:rsidR="00080391" w:rsidRPr="00080391" w:rsidRDefault="00080391" w:rsidP="00080391">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Safety equipment includes a smoke detector, a fire extinguisher or hydrant, a house alarm or a defibrillator.</w:t>
      </w:r>
    </w:p>
    <w:p w14:paraId="65492F0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(g)</w:t>
      </w:r>
      <w:r w:rsidRPr="00080391">
        <w:rPr>
          <w:rFonts w:eastAsia="Times New Roman"/>
          <w:color w:val="000000"/>
          <w:sz w:val="23"/>
          <w:szCs w:val="23"/>
          <w:lang w:eastAsia="en-AU"/>
          <w14:ligatures w14:val="standardContextual"/>
        </w:rPr>
        <w:tab/>
        <w:t>the tenant, or a person permitted to enter the premises by the tenant, gave rise to a serious risk to the life, health or safety of the landlord, the landlord's agent or a person who resides in the immediate vicinity of the premises;</w:t>
      </w:r>
    </w:p>
    <w:p w14:paraId="439F34F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(h)</w:t>
      </w:r>
      <w:r w:rsidRPr="00080391">
        <w:rPr>
          <w:rFonts w:eastAsia="Times New Roman"/>
          <w:color w:val="000000"/>
          <w:sz w:val="23"/>
          <w:szCs w:val="23"/>
          <w:lang w:eastAsia="en-AU"/>
          <w14:ligatures w14:val="standardContextual"/>
        </w:rPr>
        <w:tab/>
        <w:t>the tenant caused or permitted the premises to be unfit for human habitation, destroyed totally or destroyed to the extent that they are unsafe;</w:t>
      </w:r>
    </w:p>
    <w:p w14:paraId="4DC0558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tenant or a person residing at the premises threatened or intimidated (whether physically or psychologically) the landlord, the landlord's agent or a contractor or employee of the landlord or agent;</w:t>
      </w:r>
    </w:p>
    <w:p w14:paraId="669EF04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(j)</w:t>
      </w:r>
      <w:r w:rsidRPr="00080391">
        <w:rPr>
          <w:rFonts w:eastAsia="Times New Roman"/>
          <w:color w:val="000000"/>
          <w:sz w:val="23"/>
          <w:szCs w:val="23"/>
          <w:lang w:eastAsia="en-AU"/>
          <w14:ligatures w14:val="standardContextual"/>
        </w:rPr>
        <w:tab/>
        <w:t>the tenant—</w:t>
      </w:r>
    </w:p>
    <w:p w14:paraId="7A754090"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has been given 2 notices under section 80 of the Act which both specified the same or substantially similar breach by the tenant; and</w:t>
      </w:r>
    </w:p>
    <w:p w14:paraId="7F3AD3E9"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has breached the residential tenancy agreement on a third occasion in the same or substantially similar manner as specified in the 2 notices;</w:t>
      </w:r>
    </w:p>
    <w:p w14:paraId="0EE09EB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(k)</w:t>
      </w:r>
      <w:r w:rsidRPr="00080391">
        <w:rPr>
          <w:rFonts w:eastAsia="Times New Roman"/>
          <w:color w:val="000000"/>
          <w:sz w:val="23"/>
          <w:szCs w:val="23"/>
          <w:lang w:eastAsia="en-AU"/>
          <w14:ligatures w14:val="standardContextual"/>
        </w:rPr>
        <w:tab/>
        <w:t>the tenant has used the premises, or has caused the premises to be used, for an illegal purpose (including drug related conduct);</w:t>
      </w:r>
    </w:p>
    <w:p w14:paraId="5A366D5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(l)</w:t>
      </w:r>
      <w:r w:rsidRPr="00080391">
        <w:rPr>
          <w:rFonts w:eastAsia="Times New Roman"/>
          <w:color w:val="000000"/>
          <w:sz w:val="23"/>
          <w:szCs w:val="23"/>
          <w:lang w:eastAsia="en-AU"/>
          <w14:ligatures w14:val="standardContextual"/>
        </w:rPr>
        <w:tab/>
        <w:t>the tenant failed to pay the bond in respect of the premises in accordance with the residential tenancy agreement;</w:t>
      </w:r>
    </w:p>
    <w:p w14:paraId="750D4A5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(m)</w:t>
      </w:r>
      <w:r w:rsidRPr="00080391">
        <w:rPr>
          <w:rFonts w:eastAsia="Times New Roman"/>
          <w:color w:val="000000"/>
          <w:sz w:val="23"/>
          <w:szCs w:val="23"/>
          <w:lang w:eastAsia="en-AU"/>
          <w14:ligatures w14:val="standardContextual"/>
        </w:rPr>
        <w:tab/>
        <w:t>the tenant kept a pet on the premises without authorisation under Part 4 Division 6A of the Act;</w:t>
      </w:r>
    </w:p>
    <w:p w14:paraId="19E8E99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(n)</w:t>
      </w:r>
      <w:r w:rsidRPr="00080391">
        <w:rPr>
          <w:rFonts w:eastAsia="Times New Roman"/>
          <w:color w:val="000000"/>
          <w:sz w:val="23"/>
          <w:szCs w:val="23"/>
          <w:lang w:eastAsia="en-AU"/>
          <w14:ligatures w14:val="standardContextual"/>
        </w:rPr>
        <w:tab/>
        <w:t>the tenant induced the landlord to enter into a residential tenancy agreement by a statement or representation in respect of the tenant's identity or place of occupation that the tenant knew to be false, misleading or deceptive, or by knowingly concealing a material fact in respect of the tenant's identity or place of occupation;</w:t>
      </w:r>
    </w:p>
    <w:p w14:paraId="1756B39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(o)</w:t>
      </w:r>
      <w:r w:rsidRPr="00080391">
        <w:rPr>
          <w:rFonts w:eastAsia="Times New Roman"/>
          <w:color w:val="000000"/>
          <w:sz w:val="23"/>
          <w:szCs w:val="23"/>
          <w:lang w:eastAsia="en-AU"/>
          <w14:ligatures w14:val="standardContextual"/>
        </w:rPr>
        <w:tab/>
        <w:t>if the landlord is a charitable organisation and it is a term of the residential tenancy agreement that the tenant meet the eligibility requirements of the organisation to reside at the premises—the tenant no longer meets the eligibility requirements of the organisation;</w:t>
      </w:r>
    </w:p>
    <w:p w14:paraId="7435020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(p)</w:t>
      </w:r>
      <w:r w:rsidRPr="00080391">
        <w:rPr>
          <w:rFonts w:eastAsia="Times New Roman"/>
          <w:color w:val="000000"/>
          <w:sz w:val="23"/>
          <w:szCs w:val="23"/>
          <w:lang w:eastAsia="en-AU"/>
          <w14:ligatures w14:val="standardContextual"/>
        </w:rPr>
        <w:tab/>
        <w:t xml:space="preserve">if the landlord is an NRAS approved participant and the premises are a rental dwelling covered by an allocation under the National Rental Affordability Scheme—the tenant is no longer an eligible tenant under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w:t>
      </w:r>
    </w:p>
    <w:p w14:paraId="309C5DCD" w14:textId="6476861F"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(q)</w:t>
      </w:r>
      <w:r w:rsidRPr="00080391">
        <w:rPr>
          <w:rFonts w:eastAsia="Times New Roman"/>
          <w:color w:val="000000"/>
          <w:sz w:val="23"/>
          <w:szCs w:val="23"/>
          <w:lang w:eastAsia="en-AU"/>
          <w14:ligatures w14:val="standardContextual"/>
        </w:rPr>
        <w:tab/>
        <w:t>if it is a term of the residential tenancy agreement that the tenant is a student of an educational institution or an employee of the landlord—the tenant is no longer a student of the institution or employee of the landlord (respectively);</w:t>
      </w:r>
    </w:p>
    <w:p w14:paraId="32042E27"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9C75A6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73" w:name="id96b25ffe_6fdc_4317_a1ae_7bc89e996e"/>
      <w:r w:rsidRPr="00080391">
        <w:rPr>
          <w:rFonts w:eastAsia="Times New Roman"/>
          <w:color w:val="000000"/>
          <w:sz w:val="23"/>
          <w:szCs w:val="23"/>
          <w:lang w:eastAsia="en-AU"/>
          <w14:ligatures w14:val="standardContextual"/>
        </w:rPr>
        <w:lastRenderedPageBreak/>
        <w:tab/>
        <w:t>(r)</w:t>
      </w:r>
      <w:r w:rsidRPr="00080391">
        <w:rPr>
          <w:rFonts w:eastAsia="Times New Roman"/>
          <w:color w:val="000000"/>
          <w:sz w:val="23"/>
          <w:szCs w:val="23"/>
          <w:lang w:eastAsia="en-AU"/>
          <w14:ligatures w14:val="standardContextual"/>
        </w:rPr>
        <w:tab/>
        <w:t>if the landlord, being a purpose-built student accommodation provider, has made an offer to the tenant in writing to extend or renew the residential tenancy agreement—the tenant has failed to accept in writing the offer within 30 days of receiving the offer.</w:t>
      </w:r>
      <w:bookmarkEnd w:id="473"/>
    </w:p>
    <w:p w14:paraId="6FE45F49"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74" w:name="idbc8cd425_5f97_4587_8b92_221f6e4358"/>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A purpose-built student accommodation provider who terminates a residential tenancy agreement on the ground referred to in </w:t>
      </w:r>
      <w:hyperlink w:anchor="id96b25ffe_6fdc_4317_a1ae_7bc89e996e" w:history="1">
        <w:r w:rsidRPr="00080391">
          <w:rPr>
            <w:rFonts w:eastAsia="Times New Roman"/>
            <w:color w:val="000000"/>
            <w:sz w:val="23"/>
            <w:szCs w:val="23"/>
            <w:lang w:eastAsia="en-AU"/>
            <w14:ligatures w14:val="standardContextual"/>
          </w:rPr>
          <w:t>subregulation (1)(r)</w:t>
        </w:r>
      </w:hyperlink>
      <w:r w:rsidRPr="00080391">
        <w:rPr>
          <w:rFonts w:eastAsia="Times New Roman"/>
          <w:color w:val="000000"/>
          <w:sz w:val="23"/>
          <w:szCs w:val="23"/>
          <w:lang w:eastAsia="en-AU"/>
          <w14:ligatures w14:val="standardContextual"/>
        </w:rPr>
        <w:t xml:space="preserve"> must not impose a charge or a fee (however described) to the tenant due to the termination of the agreement or because the tenant failed to accept in writing the offer within the time required.</w:t>
      </w:r>
      <w:bookmarkEnd w:id="474"/>
    </w:p>
    <w:p w14:paraId="27285826" w14:textId="77777777" w:rsidR="00080391" w:rsidRPr="00080391" w:rsidRDefault="00080391" w:rsidP="00080391">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Maximum penalty: $5 000.</w:t>
      </w:r>
    </w:p>
    <w:p w14:paraId="51CA818C" w14:textId="77777777" w:rsidR="00080391" w:rsidRPr="00080391" w:rsidRDefault="00080391" w:rsidP="0008039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Expiation fee: $315.</w:t>
      </w:r>
    </w:p>
    <w:p w14:paraId="60D8A63C"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726E257C"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Additionally, under section 53 of the Act, a purpose-built student accommodation provider must not receive payment, other than rent and bond, from a tenant for the residential tenancy or for the renewal or extension of the residential tenancy.</w:t>
      </w:r>
    </w:p>
    <w:p w14:paraId="06A0F02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75" w:name="idb0833ce3_879f_4d86_85df_d0e8478ab8"/>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For the purposes of </w:t>
      </w:r>
      <w:hyperlink w:anchor="idc2f6b001_6d57_4b91_9148_107aed2ce0" w:history="1">
        <w:r w:rsidRPr="00080391">
          <w:rPr>
            <w:rFonts w:eastAsia="Times New Roman"/>
            <w:color w:val="000000"/>
            <w:sz w:val="23"/>
            <w:szCs w:val="23"/>
            <w:lang w:eastAsia="en-AU"/>
            <w14:ligatures w14:val="standardContextual"/>
          </w:rPr>
          <w:t>subregulation (1)(e)</w:t>
        </w:r>
      </w:hyperlink>
      <w:r w:rsidRPr="00080391">
        <w:rPr>
          <w:rFonts w:eastAsia="Times New Roman"/>
          <w:color w:val="000000"/>
          <w:sz w:val="23"/>
          <w:szCs w:val="23"/>
          <w:lang w:eastAsia="en-AU"/>
          <w14:ligatures w14:val="standardContextual"/>
        </w:rPr>
        <w:t>, a sales agency agreement must be entered into by the registered agent and must not be entered into by a property manager.</w:t>
      </w:r>
      <w:bookmarkEnd w:id="475"/>
    </w:p>
    <w:p w14:paraId="67299D12"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In this regulation—</w:t>
      </w:r>
    </w:p>
    <w:p w14:paraId="427BAF61"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charitable organisation</w:t>
      </w:r>
      <w:r w:rsidRPr="00080391">
        <w:rPr>
          <w:rFonts w:eastAsia="Times New Roman"/>
          <w:color w:val="000000"/>
          <w:sz w:val="23"/>
          <w:szCs w:val="23"/>
          <w:lang w:eastAsia="en-AU"/>
          <w14:ligatures w14:val="standardContextual"/>
        </w:rPr>
        <w:t xml:space="preserve"> means an organisation, society, institution or body carried on for a religious, educational, benevolent or charitable purpose, provided that—</w:t>
      </w:r>
    </w:p>
    <w:p w14:paraId="1E03EF0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it is not also carried on for the purpose of securing pecuniary benefit for its members; and</w:t>
      </w:r>
    </w:p>
    <w:p w14:paraId="17F5FB1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it is not a registered community housing provider;</w:t>
      </w:r>
    </w:p>
    <w:p w14:paraId="52AEA4DB"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NRAS approved participant</w:t>
      </w:r>
      <w:r w:rsidRPr="00080391">
        <w:rPr>
          <w:rFonts w:eastAsia="Times New Roman"/>
          <w:color w:val="000000"/>
          <w:sz w:val="23"/>
          <w:szCs w:val="23"/>
          <w:lang w:eastAsia="en-AU"/>
          <w14:ligatures w14:val="standardContextual"/>
        </w:rPr>
        <w:t xml:space="preserve"> means an approved participant within the meaning of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w:t>
      </w:r>
    </w:p>
    <w:p w14:paraId="10F736EF"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purpose-built student accommodation provider</w:t>
      </w:r>
      <w:r w:rsidRPr="00080391">
        <w:rPr>
          <w:rFonts w:eastAsia="Times New Roman"/>
          <w:color w:val="000000"/>
          <w:sz w:val="23"/>
          <w:szCs w:val="23"/>
          <w:lang w:eastAsia="en-AU"/>
          <w14:ligatures w14:val="standardContextual"/>
        </w:rPr>
        <w:t xml:space="preserve"> means a private provider of off-campus, fit-for-purpose accommodation with communal areas and facilities that is developed and managed exclusively for students enrolled to study at an educational institution.</w:t>
      </w:r>
    </w:p>
    <w:p w14:paraId="77032C56"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26—Vacation of premises and liability to pay rent (section 83A(4) of Act)</w:t>
      </w:r>
    </w:p>
    <w:p w14:paraId="4FC8E450"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83A(4) of the Act, if a notice of termination is given on a ground that also constitutes a breach of the residential tenancy agreement, that ground is prescribed.</w:t>
      </w:r>
    </w:p>
    <w:p w14:paraId="68EBC1AD"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27—Compensation for termination—prescribed circumstances (section 84A of Act)</w:t>
      </w:r>
    </w:p>
    <w:p w14:paraId="37720A47"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84A(1) of the Act—</w:t>
      </w:r>
    </w:p>
    <w:p w14:paraId="2D01060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circumstances in which the tenant has breached the residential tenancy agreement; and</w:t>
      </w:r>
    </w:p>
    <w:p w14:paraId="1B5047C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circumstances specified in section 80A of the Act,</w:t>
      </w:r>
    </w:p>
    <w:p w14:paraId="71DD8676"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are prescribed.</w:t>
      </w:r>
    </w:p>
    <w:p w14:paraId="5A7C446B"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28—Notice of termination—tenants (Part 5 Division 3 of Act)</w:t>
      </w:r>
    </w:p>
    <w:p w14:paraId="6C5997E8" w14:textId="4218ACD7"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A notice given by an administrator of a tenant's estate or a tenant's next of kin to a landlord under section 79B(3) of the Act must be in the form set out in </w:t>
      </w:r>
      <w:hyperlink w:anchor="id1a496afc_ff0b_4d80_92ec_bb77757f6432_3" w:history="1">
        <w:r w:rsidRPr="00080391">
          <w:rPr>
            <w:rFonts w:eastAsia="Times New Roman"/>
            <w:color w:val="000000"/>
            <w:sz w:val="23"/>
            <w:szCs w:val="23"/>
            <w:lang w:eastAsia="en-AU"/>
            <w14:ligatures w14:val="standardContextual"/>
          </w:rPr>
          <w:t>Form 3</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47AB7DC3"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42593B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(2)</w:t>
      </w:r>
      <w:r w:rsidRPr="00080391">
        <w:rPr>
          <w:rFonts w:eastAsia="Times New Roman"/>
          <w:color w:val="000000"/>
          <w:sz w:val="23"/>
          <w:szCs w:val="23"/>
          <w:lang w:eastAsia="en-AU"/>
          <w14:ligatures w14:val="standardContextual"/>
        </w:rPr>
        <w:tab/>
        <w:t xml:space="preserve">A notice given by a tenant to a landlord under section 85 of the Act (including a notice that provides for the termination of the tenancy) must be in the form set out in </w:t>
      </w:r>
      <w:hyperlink w:anchor="id21a84705_e409_41ec_bb6a_73c76526e4dc_8" w:history="1">
        <w:r w:rsidRPr="00080391">
          <w:rPr>
            <w:rFonts w:eastAsia="Times New Roman"/>
            <w:color w:val="000000"/>
            <w:sz w:val="23"/>
            <w:szCs w:val="23"/>
            <w:lang w:eastAsia="en-AU"/>
            <w14:ligatures w14:val="standardContextual"/>
          </w:rPr>
          <w:t>Form 11</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p>
    <w:p w14:paraId="70A0DE2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A notice given by a tenant to a landlord under section 85AA of the Act must be in the form set out in </w:t>
      </w:r>
      <w:hyperlink w:anchor="id67add527_3508_4353_a1a7_6d78dc319e33_b" w:history="1">
        <w:r w:rsidRPr="00080391">
          <w:rPr>
            <w:rFonts w:eastAsia="Times New Roman"/>
            <w:color w:val="000000"/>
            <w:sz w:val="23"/>
            <w:szCs w:val="23"/>
            <w:lang w:eastAsia="en-AU"/>
            <w14:ligatures w14:val="standardContextual"/>
          </w:rPr>
          <w:t>Form 12</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6678202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 xml:space="preserve">A notice given by a tenant to a landlord under section 85A of the Act must be in the form set out in </w:t>
      </w:r>
      <w:hyperlink w:anchor="id5c35a115_3139_4c86_a634_56d0e20a5609_e" w:history="1">
        <w:r w:rsidRPr="00080391">
          <w:rPr>
            <w:rFonts w:eastAsia="Times New Roman"/>
            <w:color w:val="000000"/>
            <w:sz w:val="23"/>
            <w:szCs w:val="23"/>
            <w:lang w:eastAsia="en-AU"/>
            <w14:ligatures w14:val="standardContextual"/>
          </w:rPr>
          <w:t>Form 13</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2975DD1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 xml:space="preserve">A notice given by a tenant to a landlord under section 85B or 85C of the Act must be in the form set out in </w:t>
      </w:r>
      <w:hyperlink w:anchor="id77790f45_4641_45a0_a9c6_18197724f821_2" w:history="1">
        <w:r w:rsidRPr="00080391">
          <w:rPr>
            <w:rFonts w:eastAsia="Times New Roman"/>
            <w:color w:val="000000"/>
            <w:sz w:val="23"/>
            <w:szCs w:val="23"/>
            <w:lang w:eastAsia="en-AU"/>
            <w14:ligatures w14:val="standardContextual"/>
          </w:rPr>
          <w:t>Form 14</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29B0B22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(6)</w:t>
      </w:r>
      <w:r w:rsidRPr="00080391">
        <w:rPr>
          <w:rFonts w:eastAsia="Times New Roman"/>
          <w:color w:val="000000"/>
          <w:sz w:val="23"/>
          <w:szCs w:val="23"/>
          <w:lang w:eastAsia="en-AU"/>
          <w14:ligatures w14:val="standardContextual"/>
        </w:rPr>
        <w:tab/>
        <w:t xml:space="preserve">A notice given by a tenant to a landlord under section 85D of the Act must be in the form set out in </w:t>
      </w:r>
      <w:hyperlink w:anchor="id87003ead_86f2_4226_b54d_624c3865b453_f" w:history="1">
        <w:r w:rsidRPr="00080391">
          <w:rPr>
            <w:rFonts w:eastAsia="Times New Roman"/>
            <w:color w:val="000000"/>
            <w:sz w:val="23"/>
            <w:szCs w:val="23"/>
            <w:lang w:eastAsia="en-AU"/>
            <w14:ligatures w14:val="standardContextual"/>
          </w:rPr>
          <w:t>Form 15</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7AAF250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(7)</w:t>
      </w:r>
      <w:r w:rsidRPr="00080391">
        <w:rPr>
          <w:rFonts w:eastAsia="Times New Roman"/>
          <w:color w:val="000000"/>
          <w:sz w:val="23"/>
          <w:szCs w:val="23"/>
          <w:lang w:eastAsia="en-AU"/>
          <w14:ligatures w14:val="standardContextual"/>
        </w:rPr>
        <w:tab/>
        <w:t xml:space="preserve">A notice given by a tenant to a landlord under section 86 of the Act must be in the form set out in </w:t>
      </w:r>
      <w:hyperlink w:anchor="id68cd6f65_2912_4bcf_b48d_0cba2fd1c317_e" w:history="1">
        <w:r w:rsidRPr="00080391">
          <w:rPr>
            <w:rFonts w:eastAsia="Times New Roman"/>
            <w:color w:val="000000"/>
            <w:sz w:val="23"/>
            <w:szCs w:val="23"/>
            <w:lang w:eastAsia="en-AU"/>
            <w14:ligatures w14:val="standardContextual"/>
          </w:rPr>
          <w:t>Form 16</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2C2BA95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(8)</w:t>
      </w:r>
      <w:r w:rsidRPr="00080391">
        <w:rPr>
          <w:rFonts w:eastAsia="Times New Roman"/>
          <w:color w:val="000000"/>
          <w:sz w:val="23"/>
          <w:szCs w:val="23"/>
          <w:lang w:eastAsia="en-AU"/>
          <w14:ligatures w14:val="standardContextual"/>
        </w:rPr>
        <w:tab/>
        <w:t xml:space="preserve">A notice given by a tenant to a landlord under section 86A of the Act must be in the form set out in </w:t>
      </w:r>
      <w:hyperlink w:anchor="id72fb3816_1853_452f_8cee_b6a492982e7b_a" w:history="1">
        <w:r w:rsidRPr="00080391">
          <w:rPr>
            <w:rFonts w:eastAsia="Times New Roman"/>
            <w:color w:val="000000"/>
            <w:sz w:val="23"/>
            <w:szCs w:val="23"/>
            <w:lang w:eastAsia="en-AU"/>
            <w14:ligatures w14:val="standardContextual"/>
          </w:rPr>
          <w:t>Form 17</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220BA8B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(9)</w:t>
      </w:r>
      <w:r w:rsidRPr="00080391">
        <w:rPr>
          <w:rFonts w:eastAsia="Times New Roman"/>
          <w:color w:val="000000"/>
          <w:sz w:val="23"/>
          <w:szCs w:val="23"/>
          <w:lang w:eastAsia="en-AU"/>
          <w14:ligatures w14:val="standardContextual"/>
        </w:rPr>
        <w:tab/>
        <w:t xml:space="preserve">A notice given by a tenant to a landlord under section 86B of the Act must be in the form set out in </w:t>
      </w:r>
      <w:hyperlink w:anchor="id42ecd20b_f1f9_4140_8267_be0562fddd38_4" w:history="1">
        <w:r w:rsidRPr="00080391">
          <w:rPr>
            <w:rFonts w:eastAsia="Times New Roman"/>
            <w:color w:val="000000"/>
            <w:sz w:val="23"/>
            <w:szCs w:val="23"/>
            <w:lang w:eastAsia="en-AU"/>
            <w14:ligatures w14:val="standardContextual"/>
          </w:rPr>
          <w:t>Form 18</w:t>
        </w:r>
      </w:hyperlink>
      <w:r w:rsidRPr="00080391">
        <w:rPr>
          <w:rFonts w:eastAsia="Times New Roman"/>
          <w:color w:val="000000"/>
          <w:sz w:val="23"/>
          <w:szCs w:val="23"/>
          <w:lang w:eastAsia="en-AU"/>
          <w14:ligatures w14:val="standardContextual"/>
        </w:rPr>
        <w:t xml:space="preserve"> in </w:t>
      </w:r>
      <w:hyperlink w:anchor="id7292e476_3662_4421_b0a2_dcda964f3208_4" w:history="1">
        <w:r w:rsidRPr="00080391">
          <w:rPr>
            <w:rFonts w:eastAsia="Times New Roman"/>
            <w:color w:val="000000"/>
            <w:sz w:val="23"/>
            <w:szCs w:val="23"/>
            <w:lang w:eastAsia="en-AU"/>
            <w14:ligatures w14:val="standardContextual"/>
          </w:rPr>
          <w:t>Schedule 1</w:t>
        </w:r>
      </w:hyperlink>
      <w:r w:rsidRPr="00080391">
        <w:rPr>
          <w:rFonts w:eastAsia="Times New Roman"/>
          <w:color w:val="000000"/>
          <w:sz w:val="23"/>
          <w:szCs w:val="23"/>
          <w:lang w:eastAsia="en-AU"/>
          <w14:ligatures w14:val="standardContextual"/>
        </w:rPr>
        <w:t>.</w:t>
      </w:r>
    </w:p>
    <w:p w14:paraId="3453A2CF"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6" w:name="id5f511420_0274_4d39_8d2a_042546641d0b_e"/>
      <w:r w:rsidRPr="00080391">
        <w:rPr>
          <w:rFonts w:eastAsia="Times New Roman"/>
          <w:b/>
          <w:bCs/>
          <w:color w:val="000000"/>
          <w:sz w:val="26"/>
          <w:szCs w:val="26"/>
          <w:lang w:eastAsia="en-AU"/>
          <w14:ligatures w14:val="standardContextual"/>
        </w:rPr>
        <w:t>29—Termination by tenant—prescribed circumstances (section 85C of Act)</w:t>
      </w:r>
      <w:bookmarkEnd w:id="476"/>
    </w:p>
    <w:p w14:paraId="0799B97E"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85C(1)(a) of the Act, the following kinds of care are prescribed:</w:t>
      </w:r>
    </w:p>
    <w:p w14:paraId="2F6DC58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aged care;</w:t>
      </w:r>
    </w:p>
    <w:p w14:paraId="213FB31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palliative care;</w:t>
      </w:r>
    </w:p>
    <w:p w14:paraId="23C58A0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special care.</w:t>
      </w:r>
    </w:p>
    <w:p w14:paraId="6C4C721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77" w:name="idc2678e55_1b93_4850_9e86_34a73d393bb4_f"/>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 85C(1)(c) of the Act, accommodation that is provided—</w:t>
      </w:r>
      <w:bookmarkEnd w:id="477"/>
    </w:p>
    <w:p w14:paraId="4BC12CB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on a non</w:t>
      </w:r>
      <w:r w:rsidRPr="00080391">
        <w:rPr>
          <w:rFonts w:eastAsia="Times New Roman"/>
          <w:color w:val="000000"/>
          <w:sz w:val="23"/>
          <w:szCs w:val="23"/>
          <w:lang w:eastAsia="en-AU"/>
          <w14:ligatures w14:val="standardContextual"/>
        </w:rPr>
        <w:noBreakHyphen/>
        <w:t>permanent basis; and</w:t>
      </w:r>
    </w:p>
    <w:p w14:paraId="4CDCBB2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on a non</w:t>
      </w:r>
      <w:r w:rsidRPr="00080391">
        <w:rPr>
          <w:rFonts w:eastAsia="Times New Roman"/>
          <w:color w:val="000000"/>
          <w:sz w:val="23"/>
          <w:szCs w:val="23"/>
          <w:lang w:eastAsia="en-AU"/>
          <w14:ligatures w14:val="standardContextual"/>
        </w:rPr>
        <w:noBreakHyphen/>
        <w:t>profit basis; and</w:t>
      </w:r>
    </w:p>
    <w:p w14:paraId="4B047EC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78" w:name="idbda5b453_6900_4fc5_96d7_2385ed7d78e2_6"/>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w:t>
      </w:r>
      <w:bookmarkEnd w:id="478"/>
    </w:p>
    <w:p w14:paraId="067FF681"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79" w:name="id89985ac2_c31d_4c3d_a461_07b910ee9d74_6"/>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for persons who are experiencing homelessness or are at risk of experiencing homelessness; or</w:t>
      </w:r>
      <w:bookmarkEnd w:id="479"/>
    </w:p>
    <w:p w14:paraId="76206968"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80" w:name="id3aa56c39_9269_4660_b8ba_18b14e3bbde9_c"/>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for persons who are experiencing domestic abuse; or</w:t>
      </w:r>
      <w:bookmarkEnd w:id="480"/>
    </w:p>
    <w:p w14:paraId="5478C3F9"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by a person or body in receipt of government funding for the purposes of providing accommodation for persons specified in a preceding subparagraph,</w:t>
      </w:r>
    </w:p>
    <w:p w14:paraId="380317C6"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is prescribed.</w:t>
      </w:r>
    </w:p>
    <w:p w14:paraId="69B3EB7B"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In this regulation—</w:t>
      </w:r>
    </w:p>
    <w:p w14:paraId="365DC4BF"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special care</w:t>
      </w:r>
      <w:r w:rsidRPr="00080391">
        <w:rPr>
          <w:rFonts w:eastAsia="Times New Roman"/>
          <w:color w:val="000000"/>
          <w:sz w:val="23"/>
          <w:szCs w:val="23"/>
          <w:lang w:eastAsia="en-AU"/>
          <w14:ligatures w14:val="standardContextual"/>
        </w:rPr>
        <w:t xml:space="preserve"> means the care of a person that constitutes any of the following:</w:t>
      </w:r>
    </w:p>
    <w:p w14:paraId="46519EE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assisting the person with 1 or more of the following:</w:t>
      </w:r>
    </w:p>
    <w:p w14:paraId="444A5472"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bathing, showering or personal hygiene;</w:t>
      </w:r>
    </w:p>
    <w:p w14:paraId="7296604B" w14:textId="6A09969A" w:rsidR="00BB5DE5"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toileting;</w:t>
      </w:r>
    </w:p>
    <w:p w14:paraId="0CE380FE"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DF91702"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(iii)</w:t>
      </w:r>
      <w:r w:rsidRPr="00080391">
        <w:rPr>
          <w:rFonts w:eastAsia="Times New Roman"/>
          <w:color w:val="000000"/>
          <w:sz w:val="23"/>
          <w:szCs w:val="23"/>
          <w:lang w:eastAsia="en-AU"/>
          <w14:ligatures w14:val="standardContextual"/>
        </w:rPr>
        <w:tab/>
        <w:t>dressing or undressing;</w:t>
      </w:r>
    </w:p>
    <w:p w14:paraId="27F461A6"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(iv)</w:t>
      </w:r>
      <w:r w:rsidRPr="00080391">
        <w:rPr>
          <w:rFonts w:eastAsia="Times New Roman"/>
          <w:color w:val="000000"/>
          <w:sz w:val="23"/>
          <w:szCs w:val="23"/>
          <w:lang w:eastAsia="en-AU"/>
          <w14:ligatures w14:val="standardContextual"/>
        </w:rPr>
        <w:tab/>
        <w:t>grocery shopping, or preparing or eating meals;</w:t>
      </w:r>
    </w:p>
    <w:p w14:paraId="6552E07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physically assisting or supervising the person to undertake daily activities;</w:t>
      </w:r>
    </w:p>
    <w:p w14:paraId="37791F4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assisting or supervising the person in dispensing or taking medicine or medication;</w:t>
      </w:r>
    </w:p>
    <w:p w14:paraId="3CB2950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providing the person with substantial emotional support through a service provided in one of the following:</w:t>
      </w:r>
    </w:p>
    <w:p w14:paraId="2A0D09E3"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 xml:space="preserve">a supported residential facility within the meaning of the </w:t>
      </w:r>
      <w:hyperlink r:id="rId128" w:history="1">
        <w:r w:rsidRPr="00080391">
          <w:rPr>
            <w:rFonts w:eastAsia="Times New Roman"/>
            <w:i/>
            <w:iCs/>
            <w:color w:val="000000"/>
            <w:sz w:val="23"/>
            <w:szCs w:val="23"/>
            <w:lang w:eastAsia="en-AU"/>
            <w14:ligatures w14:val="standardContextual"/>
          </w:rPr>
          <w:t>Supported Residential Facilities Act 1992</w:t>
        </w:r>
      </w:hyperlink>
      <w:r w:rsidRPr="00080391">
        <w:rPr>
          <w:rFonts w:eastAsia="Times New Roman"/>
          <w:color w:val="000000"/>
          <w:sz w:val="23"/>
          <w:szCs w:val="23"/>
          <w:lang w:eastAsia="en-AU"/>
          <w14:ligatures w14:val="standardContextual"/>
        </w:rPr>
        <w:t>;</w:t>
      </w:r>
    </w:p>
    <w:p w14:paraId="51410E19"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 xml:space="preserve">an authorised community mental health facility within the meaning of the </w:t>
      </w:r>
      <w:hyperlink r:id="rId129" w:history="1">
        <w:r w:rsidRPr="00080391">
          <w:rPr>
            <w:rFonts w:eastAsia="Times New Roman"/>
            <w:i/>
            <w:iCs/>
            <w:color w:val="000000"/>
            <w:sz w:val="23"/>
            <w:szCs w:val="23"/>
            <w:lang w:eastAsia="en-AU"/>
            <w14:ligatures w14:val="standardContextual"/>
          </w:rPr>
          <w:t>Mental Health Act 2009</w:t>
        </w:r>
      </w:hyperlink>
      <w:r w:rsidRPr="00080391">
        <w:rPr>
          <w:rFonts w:eastAsia="Times New Roman"/>
          <w:color w:val="000000"/>
          <w:sz w:val="23"/>
          <w:szCs w:val="23"/>
          <w:lang w:eastAsia="en-AU"/>
          <w14:ligatures w14:val="standardContextual"/>
        </w:rPr>
        <w:t>;</w:t>
      </w:r>
    </w:p>
    <w:p w14:paraId="47C6BD9B"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 xml:space="preserve">a facility at which disability services (within the meaning of the </w:t>
      </w:r>
      <w:hyperlink r:id="rId130" w:history="1">
        <w:r w:rsidRPr="00080391">
          <w:rPr>
            <w:rFonts w:eastAsia="Times New Roman"/>
            <w:i/>
            <w:iCs/>
            <w:color w:val="000000"/>
            <w:sz w:val="23"/>
            <w:szCs w:val="23"/>
            <w:lang w:eastAsia="en-AU"/>
            <w14:ligatures w14:val="standardContextual"/>
          </w:rPr>
          <w:t>Disability Services Act 1993</w:t>
        </w:r>
      </w:hyperlink>
      <w:r w:rsidRPr="00080391">
        <w:rPr>
          <w:rFonts w:eastAsia="Times New Roman"/>
          <w:color w:val="000000"/>
          <w:sz w:val="23"/>
          <w:szCs w:val="23"/>
          <w:lang w:eastAsia="en-AU"/>
          <w14:ligatures w14:val="standardContextual"/>
        </w:rPr>
        <w:t>) are provided;</w:t>
      </w:r>
    </w:p>
    <w:p w14:paraId="2E64CC0F"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(iv)</w:t>
      </w:r>
      <w:r w:rsidRPr="00080391">
        <w:rPr>
          <w:rFonts w:eastAsia="Times New Roman"/>
          <w:color w:val="000000"/>
          <w:sz w:val="23"/>
          <w:szCs w:val="23"/>
          <w:lang w:eastAsia="en-AU"/>
          <w14:ligatures w14:val="standardContextual"/>
        </w:rPr>
        <w:tab/>
        <w:t xml:space="preserve">a hospital or a health service both within the meaning of the </w:t>
      </w:r>
      <w:hyperlink r:id="rId131" w:history="1">
        <w:r w:rsidRPr="00080391">
          <w:rPr>
            <w:rFonts w:eastAsia="Times New Roman"/>
            <w:i/>
            <w:iCs/>
            <w:color w:val="000000"/>
            <w:sz w:val="23"/>
            <w:szCs w:val="23"/>
            <w:lang w:eastAsia="en-AU"/>
            <w14:ligatures w14:val="standardContextual"/>
          </w:rPr>
          <w:t>Health Care Act 2008</w:t>
        </w:r>
      </w:hyperlink>
      <w:r w:rsidRPr="00080391">
        <w:rPr>
          <w:rFonts w:eastAsia="Times New Roman"/>
          <w:color w:val="000000"/>
          <w:sz w:val="23"/>
          <w:szCs w:val="23"/>
          <w:lang w:eastAsia="en-AU"/>
          <w14:ligatures w14:val="standardContextual"/>
        </w:rPr>
        <w:t>.</w:t>
      </w:r>
    </w:p>
    <w:p w14:paraId="6BF532BD"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30—Termination by tenant on ground of domestic abuse (section 85D of Act)</w:t>
      </w:r>
    </w:p>
    <w:p w14:paraId="38A86DF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85D(1)(a) of the Act, a person who is a domestic associate of a person who normally or regularly resides at the premises is prescribed.</w:t>
      </w:r>
    </w:p>
    <w:p w14:paraId="308EF5B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For the purposes of section 85D(1)(b) of the Act, circumstances that are, in the opinion of an authorised professional, circumstances of domestic abuse are prescribed.</w:t>
      </w:r>
    </w:p>
    <w:p w14:paraId="77746F26"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For the purposes of section 85D(2)(a) of the Act, the following kinds of evidence are prescribed:</w:t>
      </w:r>
    </w:p>
    <w:p w14:paraId="48D8FB9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in the case of a notice given under section 85D(1)(a) of the Act—a copy of the intervention order;</w:t>
      </w:r>
    </w:p>
    <w:p w14:paraId="4737BFC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in the case of a notice given under section 85D(1)(b) of the Act—a report—</w:t>
      </w:r>
    </w:p>
    <w:p w14:paraId="40C4B717"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prepared by an authorised professional in a manner and form approved by the Commissioner; and</w:t>
      </w:r>
    </w:p>
    <w:p w14:paraId="55B0D4FB"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setting out the reasons the authorised professional is of the opinion that the circumstances of the tenant or domestic associate of the tenant are circumstances of domestic abuse; and</w:t>
      </w:r>
    </w:p>
    <w:p w14:paraId="7BE78309"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signed by the authorised professional.</w:t>
      </w:r>
    </w:p>
    <w:p w14:paraId="7B9AF90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In this regulation—</w:t>
      </w:r>
    </w:p>
    <w:p w14:paraId="034FD4F7"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authorised professional</w:t>
      </w:r>
      <w:r w:rsidRPr="00080391">
        <w:rPr>
          <w:rFonts w:eastAsia="Times New Roman"/>
          <w:color w:val="000000"/>
          <w:sz w:val="23"/>
          <w:szCs w:val="23"/>
          <w:lang w:eastAsia="en-AU"/>
          <w14:ligatures w14:val="standardContextual"/>
        </w:rPr>
        <w:t xml:space="preserve"> means—</w:t>
      </w:r>
    </w:p>
    <w:p w14:paraId="28A9B85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 xml:space="preserve">a legal practitioner within the meaning of the </w:t>
      </w:r>
      <w:hyperlink r:id="rId132" w:history="1">
        <w:r w:rsidRPr="00080391">
          <w:rPr>
            <w:rFonts w:eastAsia="Times New Roman"/>
            <w:i/>
            <w:iCs/>
            <w:color w:val="000000"/>
            <w:sz w:val="23"/>
            <w:szCs w:val="23"/>
            <w:lang w:eastAsia="en-AU"/>
            <w14:ligatures w14:val="standardContextual"/>
          </w:rPr>
          <w:t>Legal Practitioners Act 1981</w:t>
        </w:r>
      </w:hyperlink>
      <w:r w:rsidRPr="00080391">
        <w:rPr>
          <w:rFonts w:eastAsia="Times New Roman"/>
          <w:color w:val="000000"/>
          <w:sz w:val="23"/>
          <w:szCs w:val="23"/>
          <w:lang w:eastAsia="en-AU"/>
          <w14:ligatures w14:val="standardContextual"/>
        </w:rPr>
        <w:t>; or</w:t>
      </w:r>
    </w:p>
    <w:p w14:paraId="121276D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 registered health practitioner; or</w:t>
      </w:r>
    </w:p>
    <w:p w14:paraId="696609A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a social worker; or</w:t>
      </w:r>
    </w:p>
    <w:p w14:paraId="0A8CDC3B" w14:textId="23B8509D"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a person employed or engaged by a domestic and family violence support service or a sexual abuse support service.</w:t>
      </w:r>
    </w:p>
    <w:p w14:paraId="70F94A95"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8E97C61"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lastRenderedPageBreak/>
        <w:t>31—Tribunal orders in relation to circumstances of domestic abuse—prescribed grounds (section 90B of Act)</w:t>
      </w:r>
    </w:p>
    <w:p w14:paraId="105570E1"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90B(1) of the Act, the following grounds are prescribed:</w:t>
      </w:r>
    </w:p>
    <w:p w14:paraId="38D820D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ground of breach of the residential tenancy agreement;</w:t>
      </w:r>
    </w:p>
    <w:p w14:paraId="567074F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a ground set out in a notice of termination given to the tenant under section 83 or 83A of the Act.</w:t>
      </w:r>
    </w:p>
    <w:p w14:paraId="33438BDC"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1" w:name="idb4943a43_27d5_45db_8aca_881fff6e3a"/>
      <w:r w:rsidRPr="00080391">
        <w:rPr>
          <w:rFonts w:eastAsia="Times New Roman"/>
          <w:b/>
          <w:bCs/>
          <w:color w:val="000000"/>
          <w:sz w:val="26"/>
          <w:szCs w:val="26"/>
          <w:lang w:eastAsia="en-AU"/>
          <w14:ligatures w14:val="standardContextual"/>
        </w:rPr>
        <w:t>32—Form of notice of termination—prescribed grounds and required information (section 91 of Act)</w:t>
      </w:r>
      <w:bookmarkEnd w:id="481"/>
    </w:p>
    <w:p w14:paraId="41593AE2"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91(1)(ea) of the Act—</w:t>
      </w:r>
    </w:p>
    <w:p w14:paraId="1734C04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grounds set out in section 81(1)(a) to (e) (inclusive) of the Act; and</w:t>
      </w:r>
    </w:p>
    <w:p w14:paraId="5DC124E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 xml:space="preserve">the grounds set out in </w:t>
      </w:r>
      <w:hyperlink w:anchor="idf8ad05e7_f9c7_4746_8fc8_ad2a69fe2fce_0" w:history="1">
        <w:r w:rsidRPr="00080391">
          <w:rPr>
            <w:rFonts w:eastAsia="Times New Roman"/>
            <w:color w:val="000000"/>
            <w:sz w:val="23"/>
            <w:szCs w:val="23"/>
            <w:lang w:eastAsia="en-AU"/>
            <w14:ligatures w14:val="standardContextual"/>
          </w:rPr>
          <w:t>regulation 25(1)(a)</w:t>
        </w:r>
      </w:hyperlink>
      <w:r w:rsidRPr="00080391">
        <w:rPr>
          <w:rFonts w:eastAsia="Times New Roman"/>
          <w:color w:val="000000"/>
          <w:sz w:val="23"/>
          <w:szCs w:val="23"/>
          <w:lang w:eastAsia="en-AU"/>
          <w14:ligatures w14:val="standardContextual"/>
        </w:rPr>
        <w:t xml:space="preserve"> to </w:t>
      </w:r>
      <w:hyperlink w:anchor="idc2f6b001_6d57_4b91_9148_107aed2ce0" w:history="1">
        <w:r w:rsidRPr="00080391">
          <w:rPr>
            <w:rFonts w:eastAsia="Times New Roman"/>
            <w:color w:val="000000"/>
            <w:sz w:val="23"/>
            <w:szCs w:val="23"/>
            <w:lang w:eastAsia="en-AU"/>
            <w14:ligatures w14:val="standardContextual"/>
          </w:rPr>
          <w:t>(e)</w:t>
        </w:r>
      </w:hyperlink>
      <w:r w:rsidRPr="00080391">
        <w:rPr>
          <w:rFonts w:eastAsia="Times New Roman"/>
          <w:color w:val="000000"/>
          <w:sz w:val="23"/>
          <w:szCs w:val="23"/>
          <w:lang w:eastAsia="en-AU"/>
          <w14:ligatures w14:val="standardContextual"/>
        </w:rPr>
        <w:t xml:space="preserve"> (inclusive) for the purposes of section 83A of the Act,</w:t>
      </w:r>
    </w:p>
    <w:p w14:paraId="55B1AC33"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are prescribed.</w:t>
      </w:r>
    </w:p>
    <w:p w14:paraId="1C280B2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For the purposes of section 91(2)(f) of the Act, if a notice of termination is given under section 85C(1)(c) of the Act on the ground prescribed by </w:t>
      </w:r>
      <w:hyperlink w:anchor="idc2678e55_1b93_4850_9e86_34a73d393bb4_f" w:history="1">
        <w:r w:rsidRPr="00080391">
          <w:rPr>
            <w:rFonts w:eastAsia="Times New Roman"/>
            <w:color w:val="000000"/>
            <w:sz w:val="23"/>
            <w:szCs w:val="23"/>
            <w:lang w:eastAsia="en-AU"/>
            <w14:ligatures w14:val="standardContextual"/>
          </w:rPr>
          <w:t>regulation 29(2)</w:t>
        </w:r>
      </w:hyperlink>
      <w:r w:rsidRPr="00080391">
        <w:rPr>
          <w:rFonts w:eastAsia="Times New Roman"/>
          <w:color w:val="000000"/>
          <w:sz w:val="23"/>
          <w:szCs w:val="23"/>
          <w:lang w:eastAsia="en-AU"/>
          <w14:ligatures w14:val="standardContextual"/>
        </w:rPr>
        <w:t xml:space="preserve"> that the person requires temporary crisis accommodation that is provided for persons who are experiencing domestic abuse, or by a person or body in receipt of government funding for the purposes of providing accommodation to such persons, the notice must include the name of the provider of the crisis accommodation.</w:t>
      </w:r>
    </w:p>
    <w:p w14:paraId="47409CDA"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33—Prohibition on letting premises after notice of termination—prescribed grounds (section 91A of Act)</w:t>
      </w:r>
    </w:p>
    <w:p w14:paraId="14CE2E31"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2" w:name="id1178949c_01f3_4a53_99e5_90ce333573"/>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91A(1) of the Act, the following grounds set out in a notice of termination given under section 83A of the Act are prescribed:</w:t>
      </w:r>
      <w:bookmarkEnd w:id="482"/>
    </w:p>
    <w:p w14:paraId="44CEBCD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landlord requires possession of the premises for demolition;</w:t>
      </w:r>
    </w:p>
    <w:p w14:paraId="4A2FFA1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the landlord requires possession of the premises for repairs or renovations that cannot be carried out conveniently while a tenant remains in possession of the premises;</w:t>
      </w:r>
    </w:p>
    <w:p w14:paraId="2D9A511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the landlord requires possession of the premises for—</w:t>
      </w:r>
    </w:p>
    <w:p w14:paraId="1424FE07"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landlord's own occupation; or</w:t>
      </w:r>
    </w:p>
    <w:p w14:paraId="6A3207E4"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occupation by the landlord's spouse, child or parent; or</w:t>
      </w:r>
    </w:p>
    <w:p w14:paraId="1C659C42" w14:textId="77777777" w:rsidR="00080391" w:rsidRPr="00080391" w:rsidRDefault="00080391" w:rsidP="0008039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occupation by the spouse of the landlord's child or parent;</w:t>
      </w:r>
    </w:p>
    <w:p w14:paraId="01284F1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the landlord has entered into a contract for the sale of the premises under which the landlord is required to give vacant possession of the premises;</w:t>
      </w:r>
    </w:p>
    <w:p w14:paraId="026E16C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83" w:name="id6629f0b6_3252_4a47_b724_b75fcf1503"/>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 xml:space="preserve">the landlord requires possession of the premises for the purposes of the sale of the premises in circumstances where a sales agency agreement for the sale of the premises has been entered into between the landlord and a registered agent in accordance with </w:t>
      </w:r>
      <w:hyperlink w:anchor="id5b0a8299_6b1a_4664_aefd_09b0df14a90f_2" w:history="1">
        <w:r w:rsidRPr="00080391">
          <w:rPr>
            <w:rFonts w:eastAsia="Times New Roman"/>
            <w:color w:val="000000"/>
            <w:sz w:val="23"/>
            <w:szCs w:val="23"/>
            <w:lang w:eastAsia="en-AU"/>
            <w14:ligatures w14:val="standardContextual"/>
          </w:rPr>
          <w:t>subregulation (2)</w:t>
        </w:r>
      </w:hyperlink>
      <w:r w:rsidRPr="00080391">
        <w:rPr>
          <w:rFonts w:eastAsia="Times New Roman"/>
          <w:color w:val="000000"/>
          <w:sz w:val="23"/>
          <w:szCs w:val="23"/>
          <w:lang w:eastAsia="en-AU"/>
          <w14:ligatures w14:val="standardContextual"/>
        </w:rPr>
        <w:t>.</w:t>
      </w:r>
      <w:bookmarkEnd w:id="483"/>
    </w:p>
    <w:p w14:paraId="546C4401" w14:textId="3A9AB764"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4" w:name="id5b0a8299_6b1a_4664_aefd_09b0df14a90f_2"/>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For the purposes of </w:t>
      </w:r>
      <w:hyperlink w:anchor="id6629f0b6_3252_4a47_b724_b75fcf1503" w:history="1">
        <w:r w:rsidRPr="00080391">
          <w:rPr>
            <w:rFonts w:eastAsia="Times New Roman"/>
            <w:color w:val="000000"/>
            <w:sz w:val="23"/>
            <w:szCs w:val="23"/>
            <w:lang w:eastAsia="en-AU"/>
            <w14:ligatures w14:val="standardContextual"/>
          </w:rPr>
          <w:t>subregulation (1)(e)</w:t>
        </w:r>
      </w:hyperlink>
      <w:r w:rsidRPr="00080391">
        <w:rPr>
          <w:rFonts w:eastAsia="Times New Roman"/>
          <w:color w:val="000000"/>
          <w:sz w:val="23"/>
          <w:szCs w:val="23"/>
          <w:lang w:eastAsia="en-AU"/>
          <w14:ligatures w14:val="standardContextual"/>
        </w:rPr>
        <w:t>, a sales agency agreement must be entered into by the registered agent and must not be entered into by a property manager.</w:t>
      </w:r>
      <w:bookmarkEnd w:id="484"/>
    </w:p>
    <w:p w14:paraId="5C7A5690"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879C7CB"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lastRenderedPageBreak/>
        <w:t>34—Abandoned property—prescribed period (section 97B of Act)</w:t>
      </w:r>
    </w:p>
    <w:p w14:paraId="52F297C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97B(4)(b) and (6) of the Act, the period of 7 days is prescribed.</w:t>
      </w:r>
    </w:p>
    <w:p w14:paraId="3FB58FC0"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35—Abandoned personal documents—prescribed period (section 97C of Act)</w:t>
      </w:r>
    </w:p>
    <w:p w14:paraId="3358862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97C(2)(b) and (3) of the Act, the period of 7 days is prescribed.</w:t>
      </w:r>
    </w:p>
    <w:p w14:paraId="661F51FE"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36—Designated rooming house proprietors annual return—prescribed date (section 103D of Act)</w:t>
      </w:r>
    </w:p>
    <w:p w14:paraId="5A997695"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103D(1) of the Act, a designated rooming house proprietor must pay the fee and provide the information or document to the Commissioner not later than—</w:t>
      </w:r>
    </w:p>
    <w:p w14:paraId="4C670EE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last day of the month in each year nominated in writing to the person by the Commissioner; or</w:t>
      </w:r>
    </w:p>
    <w:p w14:paraId="28B315B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if the Commissioner does not nominate a month—the last day of the month in each year that is the same month as the month in which the person's registration under section 103C of the Act was granted.</w:t>
      </w:r>
    </w:p>
    <w:p w14:paraId="79552C53"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37—Termination of rooming house agreement—prescribed grounds (section 105U of Act)</w:t>
      </w:r>
    </w:p>
    <w:p w14:paraId="53926F5A" w14:textId="77777777" w:rsidR="00080391" w:rsidRPr="00080391" w:rsidRDefault="00080391" w:rsidP="00BB5DE5">
      <w:pPr>
        <w:keepNext/>
        <w:keepLines/>
        <w:tabs>
          <w:tab w:val="center" w:pos="397"/>
          <w:tab w:val="left" w:pos="794"/>
        </w:tabs>
        <w:autoSpaceDE w:val="0"/>
        <w:autoSpaceDN w:val="0"/>
        <w:adjustRightInd w:val="0"/>
        <w:spacing w:before="115" w:after="0" w:line="240" w:lineRule="auto"/>
        <w:ind w:left="794" w:hanging="794"/>
        <w:jc w:val="left"/>
        <w:rPr>
          <w:rFonts w:eastAsia="Times New Roman"/>
          <w:color w:val="000000"/>
          <w:sz w:val="23"/>
          <w:szCs w:val="23"/>
          <w:lang w:eastAsia="en-AU"/>
          <w14:ligatures w14:val="standardContextual"/>
        </w:rPr>
      </w:pPr>
      <w:bookmarkStart w:id="485" w:name="id626be39d_e433_4618_83f2_935f8911ec"/>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For the purposes of section 105U(6) of the Act, the following grounds of termination are prescribed:</w:t>
      </w:r>
      <w:bookmarkEnd w:id="485"/>
    </w:p>
    <w:p w14:paraId="33C6ABA2"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bookmarkStart w:id="486" w:name="id0729117e_5e41_4ec4_af86_57df36d05ff6_f"/>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the proprietor requires possession of the rooming house for demolition;</w:t>
      </w:r>
      <w:bookmarkEnd w:id="486"/>
    </w:p>
    <w:p w14:paraId="67B33AD1"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the proprietor requires possession of the room or rooming house for repairs or renovations that cannot be carried out conveniently while the resident remains in possession of the room;</w:t>
      </w:r>
    </w:p>
    <w:p w14:paraId="61E46361"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the proprietor requires possession of the room or rooming house for—</w:t>
      </w:r>
    </w:p>
    <w:p w14:paraId="11C558F5" w14:textId="77777777" w:rsidR="00080391" w:rsidRPr="00080391" w:rsidRDefault="00080391" w:rsidP="00BB5DE5">
      <w:pPr>
        <w:keepLines/>
        <w:tabs>
          <w:tab w:val="center" w:pos="1985"/>
          <w:tab w:val="left" w:pos="2382"/>
        </w:tabs>
        <w:autoSpaceDE w:val="0"/>
        <w:autoSpaceDN w:val="0"/>
        <w:adjustRightInd w:val="0"/>
        <w:spacing w:before="115"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the proprietor's own occupation; or</w:t>
      </w:r>
    </w:p>
    <w:p w14:paraId="5AF264E0" w14:textId="77777777" w:rsidR="00080391" w:rsidRPr="00080391" w:rsidRDefault="00080391" w:rsidP="00BB5DE5">
      <w:pPr>
        <w:keepLines/>
        <w:tabs>
          <w:tab w:val="center" w:pos="1985"/>
          <w:tab w:val="left" w:pos="2382"/>
        </w:tabs>
        <w:autoSpaceDE w:val="0"/>
        <w:autoSpaceDN w:val="0"/>
        <w:adjustRightInd w:val="0"/>
        <w:spacing w:before="115"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occupation by the proprietor's spouse, child or parent; or</w:t>
      </w:r>
    </w:p>
    <w:p w14:paraId="2014D638" w14:textId="77777777" w:rsidR="00080391" w:rsidRPr="00080391" w:rsidRDefault="00080391" w:rsidP="00BB5DE5">
      <w:pPr>
        <w:keepLines/>
        <w:tabs>
          <w:tab w:val="center" w:pos="1985"/>
          <w:tab w:val="left" w:pos="2382"/>
        </w:tabs>
        <w:autoSpaceDE w:val="0"/>
        <w:autoSpaceDN w:val="0"/>
        <w:adjustRightInd w:val="0"/>
        <w:spacing w:before="115" w:after="0" w:line="240" w:lineRule="auto"/>
        <w:ind w:left="2382"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occupation by the spouse of the proprietor's child or parent;</w:t>
      </w:r>
    </w:p>
    <w:p w14:paraId="5A6AEAF3"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bookmarkStart w:id="487" w:name="id29875c95_10ee_4cb4_8db9_d90417d672e4_1"/>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the proprietor has entered into a contract for the sale of the rooming house under which the proprietor is required to give vacant possession of the rooming house;</w:t>
      </w:r>
      <w:bookmarkEnd w:id="487"/>
    </w:p>
    <w:p w14:paraId="52C4467D"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bookmarkStart w:id="488" w:name="id70460a0b_de73_45b9_9bd5_1e3f2b27aa"/>
      <w:r w:rsidRPr="00080391">
        <w:rPr>
          <w:rFonts w:eastAsia="Times New Roman"/>
          <w:color w:val="000000"/>
          <w:sz w:val="23"/>
          <w:szCs w:val="23"/>
          <w:lang w:eastAsia="en-AU"/>
          <w14:ligatures w14:val="standardContextual"/>
        </w:rPr>
        <w:tab/>
        <w:t>(e)</w:t>
      </w:r>
      <w:r w:rsidRPr="00080391">
        <w:rPr>
          <w:rFonts w:eastAsia="Times New Roman"/>
          <w:color w:val="000000"/>
          <w:sz w:val="23"/>
          <w:szCs w:val="23"/>
          <w:lang w:eastAsia="en-AU"/>
          <w14:ligatures w14:val="standardContextual"/>
        </w:rPr>
        <w:tab/>
        <w:t xml:space="preserve">the proprietor requires possession of the rooming house for the purposes of the sale of the rooming house in circumstances where a sales agency agreement for the sale of the rooming house has been entered into between the proprietor and a registered agent in accordance with </w:t>
      </w:r>
      <w:hyperlink w:anchor="id8584a91e_aea6_404b_ba26_9ebce10d2a" w:history="1">
        <w:r w:rsidRPr="00080391">
          <w:rPr>
            <w:rFonts w:eastAsia="Times New Roman"/>
            <w:color w:val="000000"/>
            <w:sz w:val="23"/>
            <w:szCs w:val="23"/>
            <w:lang w:eastAsia="en-AU"/>
            <w14:ligatures w14:val="standardContextual"/>
          </w:rPr>
          <w:t>subregulation (2)</w:t>
        </w:r>
      </w:hyperlink>
      <w:r w:rsidRPr="00080391">
        <w:rPr>
          <w:rFonts w:eastAsia="Times New Roman"/>
          <w:color w:val="000000"/>
          <w:sz w:val="23"/>
          <w:szCs w:val="23"/>
          <w:lang w:eastAsia="en-AU"/>
          <w14:ligatures w14:val="standardContextual"/>
        </w:rPr>
        <w:t>;</w:t>
      </w:r>
      <w:bookmarkEnd w:id="488"/>
    </w:p>
    <w:p w14:paraId="4ED11DEC"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(f)</w:t>
      </w:r>
      <w:r w:rsidRPr="00080391">
        <w:rPr>
          <w:rFonts w:eastAsia="Times New Roman"/>
          <w:color w:val="000000"/>
          <w:sz w:val="23"/>
          <w:szCs w:val="23"/>
          <w:lang w:eastAsia="en-AU"/>
          <w14:ligatures w14:val="standardContextual"/>
        </w:rPr>
        <w:tab/>
        <w:t>the resident threatened or intimidated (whether physically or psychologically) the proprietor, the proprietor's agent or a contractor or employee of the proprietor or agent;</w:t>
      </w:r>
    </w:p>
    <w:p w14:paraId="4775D1E2" w14:textId="77777777" w:rsidR="00080391" w:rsidRPr="00080391"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(g)</w:t>
      </w:r>
      <w:r w:rsidRPr="00080391">
        <w:rPr>
          <w:rFonts w:eastAsia="Times New Roman"/>
          <w:color w:val="000000"/>
          <w:sz w:val="23"/>
          <w:szCs w:val="23"/>
          <w:lang w:eastAsia="en-AU"/>
          <w14:ligatures w14:val="standardContextual"/>
        </w:rPr>
        <w:tab/>
        <w:t>the resident permitted another person to reside at the rooming house without the consent of the proprietor;</w:t>
      </w:r>
    </w:p>
    <w:p w14:paraId="0E019B34" w14:textId="41317F14" w:rsidR="00BB5DE5" w:rsidRDefault="00080391" w:rsidP="00BB5DE5">
      <w:pPr>
        <w:keepLines/>
        <w:tabs>
          <w:tab w:val="center" w:pos="1191"/>
          <w:tab w:val="left" w:pos="1588"/>
        </w:tabs>
        <w:autoSpaceDE w:val="0"/>
        <w:autoSpaceDN w:val="0"/>
        <w:adjustRightInd w:val="0"/>
        <w:spacing w:before="115"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(h)</w:t>
      </w:r>
      <w:r w:rsidRPr="00080391">
        <w:rPr>
          <w:rFonts w:eastAsia="Times New Roman"/>
          <w:color w:val="000000"/>
          <w:sz w:val="23"/>
          <w:szCs w:val="23"/>
          <w:lang w:eastAsia="en-AU"/>
          <w14:ligatures w14:val="standardContextual"/>
        </w:rPr>
        <w:tab/>
        <w:t>the resident induced the proprietor to enter into a rooming house agreement by a statement or representation in respect of the resident's identity or place of occupation that the resident knew to be false, misleading or deceptive, or by knowingly concealing a material fact in respect of the resident's identity or place of occupation;</w:t>
      </w:r>
    </w:p>
    <w:p w14:paraId="22E4F0B8" w14:textId="77777777" w:rsidR="00BB5DE5" w:rsidRDefault="00BB5DE5" w:rsidP="00BB5DE5">
      <w:pPr>
        <w:spacing w:after="0" w:line="6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EABD40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(i)</w:t>
      </w:r>
      <w:r w:rsidRPr="00080391">
        <w:rPr>
          <w:rFonts w:eastAsia="Times New Roman"/>
          <w:color w:val="000000"/>
          <w:sz w:val="23"/>
          <w:szCs w:val="23"/>
          <w:lang w:eastAsia="en-AU"/>
          <w14:ligatures w14:val="standardContextual"/>
        </w:rPr>
        <w:tab/>
        <w:t>if the proprietor is a charitable organisation and it is a term of the rooming house agreement that the resident meet the eligibility requirements of the organisation to reside at the rooming house—the resident no longer meets the eligibility requirements of the organisation;</w:t>
      </w:r>
    </w:p>
    <w:p w14:paraId="50F2354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(j)</w:t>
      </w:r>
      <w:r w:rsidRPr="00080391">
        <w:rPr>
          <w:rFonts w:eastAsia="Times New Roman"/>
          <w:color w:val="000000"/>
          <w:sz w:val="23"/>
          <w:szCs w:val="23"/>
          <w:lang w:eastAsia="en-AU"/>
          <w14:ligatures w14:val="standardContextual"/>
        </w:rPr>
        <w:tab/>
        <w:t xml:space="preserve">if the proprietor is an NRAS approved participant and the rooming house is a rental dwelling covered by an allocation under the National Rental Affordability Scheme—the resident is no longer an eligible tenant under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w:t>
      </w:r>
    </w:p>
    <w:p w14:paraId="76F4020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(k)</w:t>
      </w:r>
      <w:r w:rsidRPr="00080391">
        <w:rPr>
          <w:rFonts w:eastAsia="Times New Roman"/>
          <w:color w:val="000000"/>
          <w:sz w:val="23"/>
          <w:szCs w:val="23"/>
          <w:lang w:eastAsia="en-AU"/>
          <w14:ligatures w14:val="standardContextual"/>
        </w:rPr>
        <w:tab/>
        <w:t>if it is a term of the rooming house agreement that the resident is a student of an educational institution or an employee of the proprietor—the resident is no longer a student of the institution or employee of the proprietor (respectively).</w:t>
      </w:r>
    </w:p>
    <w:p w14:paraId="09FE705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9" w:name="id8584a91e_aea6_404b_ba26_9ebce10d2a"/>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For the purposes of </w:t>
      </w:r>
      <w:hyperlink w:anchor="id70460a0b_de73_45b9_9bd5_1e3f2b27aa" w:history="1">
        <w:r w:rsidRPr="00080391">
          <w:rPr>
            <w:rFonts w:eastAsia="Times New Roman"/>
            <w:color w:val="000000"/>
            <w:sz w:val="23"/>
            <w:szCs w:val="23"/>
            <w:lang w:eastAsia="en-AU"/>
            <w14:ligatures w14:val="standardContextual"/>
          </w:rPr>
          <w:t>subregulation (1)(e)</w:t>
        </w:r>
      </w:hyperlink>
      <w:r w:rsidRPr="00080391">
        <w:rPr>
          <w:rFonts w:eastAsia="Times New Roman"/>
          <w:color w:val="000000"/>
          <w:sz w:val="23"/>
          <w:szCs w:val="23"/>
          <w:lang w:eastAsia="en-AU"/>
          <w14:ligatures w14:val="standardContextual"/>
        </w:rPr>
        <w:t>, a sales agency agreement must be entered into by the registered agent and must not be entered into by a property manager.</w:t>
      </w:r>
      <w:bookmarkEnd w:id="489"/>
    </w:p>
    <w:p w14:paraId="01291453" w14:textId="77777777" w:rsidR="00080391" w:rsidRPr="00080391" w:rsidRDefault="00080391" w:rsidP="0008039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In this regulation—</w:t>
      </w:r>
    </w:p>
    <w:p w14:paraId="1FFD6FA6"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charitable organisation</w:t>
      </w:r>
      <w:r w:rsidRPr="00080391">
        <w:rPr>
          <w:rFonts w:eastAsia="Times New Roman"/>
          <w:color w:val="000000"/>
          <w:sz w:val="23"/>
          <w:szCs w:val="23"/>
          <w:lang w:eastAsia="en-AU"/>
          <w14:ligatures w14:val="standardContextual"/>
        </w:rPr>
        <w:t xml:space="preserve"> means an organisation, society, institution or body carried on for a religious, educational, benevolent or charitable purpose, provided that—</w:t>
      </w:r>
    </w:p>
    <w:p w14:paraId="58B0EF5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it is not also carried on for the purpose of securing pecuniary benefit for its members; and</w:t>
      </w:r>
    </w:p>
    <w:p w14:paraId="16DA151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it is not a registered community housing provider;</w:t>
      </w:r>
    </w:p>
    <w:p w14:paraId="4767CB8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b/>
          <w:bCs/>
          <w:i/>
          <w:iCs/>
          <w:color w:val="000000"/>
          <w:sz w:val="23"/>
          <w:szCs w:val="23"/>
          <w:lang w:eastAsia="en-AU"/>
          <w14:ligatures w14:val="standardContextual"/>
        </w:rPr>
        <w:t>NRAS approved participant</w:t>
      </w:r>
      <w:r w:rsidRPr="00080391">
        <w:rPr>
          <w:rFonts w:eastAsia="Times New Roman"/>
          <w:color w:val="000000"/>
          <w:sz w:val="23"/>
          <w:szCs w:val="23"/>
          <w:lang w:eastAsia="en-AU"/>
          <w14:ligatures w14:val="standardContextual"/>
        </w:rPr>
        <w:t xml:space="preserve"> means an approved participant within the meaning of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w:t>
      </w:r>
    </w:p>
    <w:p w14:paraId="73F8C2E6"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0" w:name="Elkera_Print_TOC44"/>
      <w:bookmarkStart w:id="491" w:name="Elkera_Print_BK44"/>
      <w:r w:rsidRPr="00080391">
        <w:rPr>
          <w:rFonts w:eastAsia="Times New Roman"/>
          <w:b/>
          <w:bCs/>
          <w:color w:val="000000"/>
          <w:sz w:val="26"/>
          <w:szCs w:val="26"/>
          <w:lang w:eastAsia="en-AU"/>
          <w14:ligatures w14:val="standardContextual"/>
        </w:rPr>
        <w:t>38—Abandoned property—prescribed period (section 105W of Act)</w:t>
      </w:r>
      <w:bookmarkEnd w:id="490"/>
      <w:bookmarkEnd w:id="491"/>
    </w:p>
    <w:p w14:paraId="2959FA3A"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For the purposes of section 105W(1)(b)(ii) and (2)(b) of the Act, the period of 7 days is prescribed.</w:t>
      </w:r>
    </w:p>
    <w:p w14:paraId="7BE14288" w14:textId="77777777" w:rsidR="00080391" w:rsidRPr="00080391" w:rsidRDefault="00080391" w:rsidP="0008039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92" w:name="id7292e476_3662_4421_b0a2_dcda964f3208_4"/>
      <w:r w:rsidRPr="00080391">
        <w:rPr>
          <w:rFonts w:eastAsia="Times New Roman"/>
          <w:b/>
          <w:bCs/>
          <w:color w:val="000000"/>
          <w:sz w:val="32"/>
          <w:szCs w:val="32"/>
          <w:lang w:eastAsia="en-AU"/>
          <w14:ligatures w14:val="standardContextual"/>
        </w:rPr>
        <w:t>Schedule 1—Forms</w:t>
      </w:r>
      <w:bookmarkEnd w:id="492"/>
    </w:p>
    <w:p w14:paraId="0BC255D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A1—</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47B(3))</w:t>
      </w:r>
    </w:p>
    <w:p w14:paraId="3963EB74"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Application for a prospective tenant to enter into a residential tenancy</w:t>
      </w:r>
    </w:p>
    <w:p w14:paraId="494C8C85"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18B799D1"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This is an application to enter into a residential tenancy agreement ONLY. You will be notified on the outcome of your application by the landlord/agent.</w:t>
      </w:r>
    </w:p>
    <w:p w14:paraId="5694B60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A landlord, an agent of a landlord and a prospective tenant must use this form as the application form to enter into a residential tenancy agreement (see </w:t>
      </w:r>
      <w:hyperlink w:anchor="id01c6d833_bb80_40df_81b8_fc6400e3a783_3" w:history="1">
        <w:r w:rsidRPr="00080391">
          <w:rPr>
            <w:rFonts w:eastAsia="Times New Roman"/>
            <w:i/>
            <w:iCs/>
            <w:color w:val="000000"/>
            <w:sz w:val="20"/>
            <w:szCs w:val="20"/>
            <w:lang w:eastAsia="en-AU"/>
            <w14:ligatures w14:val="standardContextual"/>
          </w:rPr>
          <w:t>regulation 8(5)</w:t>
        </w:r>
      </w:hyperlink>
      <w:r w:rsidRPr="00080391">
        <w:rPr>
          <w:rFonts w:eastAsia="Times New Roman"/>
          <w:i/>
          <w:iCs/>
          <w:color w:val="000000"/>
          <w:sz w:val="20"/>
          <w:szCs w:val="20"/>
          <w:lang w:eastAsia="en-AU"/>
          <w14:ligatures w14:val="standardContextual"/>
        </w:rPr>
        <w:t xml:space="preserve"> and section 47B(3) of the </w:t>
      </w:r>
      <w:hyperlink r:id="rId133"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w:t>
      </w:r>
    </w:p>
    <w:p w14:paraId="2218E35F"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See also information to be provided by landlords to tenants before or at the time of entering into a residential tenancy agreement pursuant to section 48 of the</w:t>
      </w:r>
      <w:r w:rsidRPr="00080391">
        <w:rPr>
          <w:rFonts w:eastAsia="Times New Roman"/>
          <w:color w:val="000000"/>
          <w:sz w:val="20"/>
          <w:szCs w:val="20"/>
          <w:lang w:eastAsia="en-AU"/>
          <w14:ligatures w14:val="standardContextual"/>
        </w:rPr>
        <w:t xml:space="preserve"> </w:t>
      </w:r>
      <w:hyperlink r:id="rId134"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xml:space="preserve"> – information and template form available on Consumer and Business Services website.</w:t>
      </w:r>
    </w:p>
    <w:p w14:paraId="2FD77467" w14:textId="2F752052" w:rsidR="00BB5DE5"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A person, including a landlord that is a purpose-built student accommodation provider, must not require or receive a payment (other than rent or a bond) from a prospective tenant for a residential tenancy or the renewal or extension of a residential tenancy (see section 53 of the </w:t>
      </w:r>
      <w:hyperlink r:id="rId135"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w:t>
      </w:r>
    </w:p>
    <w:p w14:paraId="3B65B132" w14:textId="77777777" w:rsidR="00BB5DE5" w:rsidRDefault="00BB5DE5">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7799526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1—Address of the rental premises available to rent</w:t>
      </w:r>
    </w:p>
    <w:p w14:paraId="4FFC3CF2"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1ABAFAD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line 1</w:t>
      </w:r>
    </w:p>
    <w:p w14:paraId="1235C54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line 2</w:t>
      </w:r>
    </w:p>
    <w:p w14:paraId="33DEE17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Suburb</w:t>
      </w:r>
    </w:p>
    <w:p w14:paraId="087D029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Postcode</w:t>
      </w:r>
    </w:p>
    <w:p w14:paraId="3ED99C6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2—Exclusions</w:t>
      </w:r>
    </w:p>
    <w:p w14:paraId="3D51AF59"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01C0CF5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Parts of premises excluded from residential tenancy:[</w:t>
      </w:r>
      <w:r w:rsidRPr="00080391">
        <w:rPr>
          <w:rFonts w:eastAsia="Times New Roman"/>
          <w:i/>
          <w:iCs/>
          <w:color w:val="000000"/>
          <w:sz w:val="23"/>
          <w:szCs w:val="23"/>
          <w:lang w:eastAsia="en-AU"/>
          <w14:ligatures w14:val="standardContextual"/>
        </w:rPr>
        <w:t>specify any part/s of the rental premises which will be excluded from the residential tenancy</w:t>
      </w:r>
      <w:r w:rsidRPr="00080391">
        <w:rPr>
          <w:rFonts w:eastAsia="Times New Roman"/>
          <w:color w:val="000000"/>
          <w:sz w:val="23"/>
          <w:szCs w:val="23"/>
          <w:lang w:eastAsia="en-AU"/>
          <w14:ligatures w14:val="standardContextual"/>
        </w:rPr>
        <w:t>]</w:t>
      </w:r>
    </w:p>
    <w:p w14:paraId="5CDDEBB4"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3—Duration of residential tenancy at the rental premises</w:t>
      </w:r>
    </w:p>
    <w:p w14:paraId="48A848B6"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 (the Prospective Tenant may indicate a preferred duration here)]</w:t>
      </w:r>
    </w:p>
    <w:p w14:paraId="7AFA434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Duration of residential tenancy:</w:t>
      </w:r>
      <w:r w:rsidRPr="00080391">
        <w:rPr>
          <w:rFonts w:eastAsia="Times New Roman"/>
          <w:i/>
          <w:iCs/>
          <w:color w:val="000000"/>
          <w:sz w:val="23"/>
          <w:szCs w:val="23"/>
          <w:lang w:eastAsia="en-AU"/>
          <w14:ligatures w14:val="standardContextual"/>
        </w:rPr>
        <w:t>[tick 1 box]</w:t>
      </w:r>
    </w:p>
    <w:p w14:paraId="6DF51BB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Periodic</w:t>
      </w:r>
    </w:p>
    <w:p w14:paraId="6F34480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12-months</w:t>
      </w:r>
    </w:p>
    <w:p w14:paraId="43BB9EE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Other fixed-term [</w:t>
      </w:r>
      <w:r w:rsidRPr="00080391">
        <w:rPr>
          <w:rFonts w:eastAsia="Times New Roman"/>
          <w:i/>
          <w:iCs/>
          <w:color w:val="000000"/>
          <w:sz w:val="23"/>
          <w:szCs w:val="23"/>
          <w:lang w:eastAsia="en-AU"/>
          <w14:ligatures w14:val="standardContextual"/>
        </w:rPr>
        <w:t>specify</w:t>
      </w:r>
      <w:r w:rsidRPr="00080391">
        <w:rPr>
          <w:rFonts w:eastAsia="Times New Roman"/>
          <w:color w:val="000000"/>
          <w:sz w:val="23"/>
          <w:szCs w:val="23"/>
          <w:lang w:eastAsia="en-AU"/>
          <w14:ligatures w14:val="standardContextual"/>
        </w:rPr>
        <w:t>]:</w:t>
      </w:r>
    </w:p>
    <w:p w14:paraId="0FCB57C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Prospective Tenant's preferred duration: [</w:t>
      </w:r>
      <w:r w:rsidRPr="00080391">
        <w:rPr>
          <w:rFonts w:eastAsia="Times New Roman"/>
          <w:i/>
          <w:iCs/>
          <w:color w:val="000000"/>
          <w:sz w:val="23"/>
          <w:szCs w:val="23"/>
          <w:lang w:eastAsia="en-AU"/>
          <w14:ligatures w14:val="standardContextual"/>
        </w:rPr>
        <w:t>Prospective Tenant may insert duration</w:t>
      </w:r>
      <w:r w:rsidRPr="00080391">
        <w:rPr>
          <w:rFonts w:eastAsia="Times New Roman"/>
          <w:color w:val="000000"/>
          <w:sz w:val="23"/>
          <w:szCs w:val="23"/>
          <w:lang w:eastAsia="en-AU"/>
          <w14:ligatures w14:val="standardContextual"/>
        </w:rPr>
        <w:t>]</w:t>
      </w:r>
    </w:p>
    <w:p w14:paraId="06F39463"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 rental premises available for occupation: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w:t>
      </w:r>
    </w:p>
    <w:p w14:paraId="49904FB0"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The landlord has advertised, intends to advertise or has entered into an existing sales agency agreement for the sale of the premises:</w:t>
      </w:r>
      <w:r w:rsidRPr="00080391">
        <w:rPr>
          <w:rFonts w:eastAsia="Times New Roman"/>
          <w:i/>
          <w:iCs/>
          <w:color w:val="000000"/>
          <w:sz w:val="23"/>
          <w:szCs w:val="23"/>
          <w:lang w:eastAsia="en-AU"/>
          <w14:ligatures w14:val="standardContextual"/>
        </w:rPr>
        <w:t>[tick 1 box]</w:t>
      </w:r>
    </w:p>
    <w:p w14:paraId="404DF5D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Yes</w:t>
      </w:r>
    </w:p>
    <w:p w14:paraId="09DD305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No</w:t>
      </w:r>
    </w:p>
    <w:p w14:paraId="05936CE5"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03C53C0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landlord must ensure that a prospective tenant is advised, before entering into a residential tenancy agreement, if the landlord has advertised, or intends to advertise, the residential premises for sale and of any existing sales agency agreement for the sale of the residential premises.</w:t>
      </w:r>
    </w:p>
    <w:p w14:paraId="409C79D0"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If a landlord intends to sell the premises within 3 months after the date on which the residential tenancy agreement is to be entered into, the landlord or the agent for the landlord</w:t>
      </w:r>
      <w:r w:rsidRPr="00080391">
        <w:rPr>
          <w:rFonts w:eastAsia="Times New Roman"/>
          <w:color w:val="000000"/>
          <w:sz w:val="20"/>
          <w:szCs w:val="20"/>
          <w:lang w:eastAsia="en-AU"/>
          <w14:ligatures w14:val="standardContextual"/>
        </w:rPr>
        <w:t>—</w:t>
      </w:r>
    </w:p>
    <w:p w14:paraId="4DF9ECE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b/>
        <w:t>(a)</w:t>
      </w:r>
      <w:r w:rsidRPr="00080391">
        <w:rPr>
          <w:rFonts w:eastAsia="Times New Roman"/>
          <w:color w:val="000000"/>
          <w:sz w:val="20"/>
          <w:szCs w:val="20"/>
          <w:lang w:eastAsia="en-AU"/>
          <w14:ligatures w14:val="standardContextual"/>
        </w:rPr>
        <w:tab/>
      </w:r>
      <w:r w:rsidRPr="00080391">
        <w:rPr>
          <w:rFonts w:eastAsia="Times New Roman"/>
          <w:i/>
          <w:iCs/>
          <w:color w:val="000000"/>
          <w:sz w:val="20"/>
          <w:szCs w:val="20"/>
          <w:lang w:eastAsia="en-AU"/>
          <w14:ligatures w14:val="standardContextual"/>
        </w:rPr>
        <w:t>must display and distribute that information in accordance with the requirements of the Commissioner for Consumer Affairs; and</w:t>
      </w:r>
    </w:p>
    <w:p w14:paraId="0802AA5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b/>
        <w:t>(b)</w:t>
      </w:r>
      <w:r w:rsidRPr="00080391">
        <w:rPr>
          <w:rFonts w:eastAsia="Times New Roman"/>
          <w:color w:val="000000"/>
          <w:sz w:val="20"/>
          <w:szCs w:val="20"/>
          <w:lang w:eastAsia="en-AU"/>
          <w14:ligatures w14:val="standardContextual"/>
        </w:rPr>
        <w:tab/>
      </w:r>
      <w:r w:rsidRPr="00080391">
        <w:rPr>
          <w:rFonts w:eastAsia="Times New Roman"/>
          <w:i/>
          <w:iCs/>
          <w:color w:val="000000"/>
          <w:sz w:val="20"/>
          <w:szCs w:val="20"/>
          <w:lang w:eastAsia="en-AU"/>
          <w14:ligatures w14:val="standardContextual"/>
        </w:rPr>
        <w:t>must not induce a tenant to enter into a residential tenancy agreement by knowingly concealing that information.</w:t>
      </w:r>
    </w:p>
    <w:p w14:paraId="694EBE6C" w14:textId="77777777" w:rsidR="00080391" w:rsidRPr="00080391" w:rsidRDefault="00080391" w:rsidP="00BB5DE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4—Rent payable</w:t>
      </w:r>
    </w:p>
    <w:p w14:paraId="0CEC331E"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5C71BF5E"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Rent payable for the residential tenancy (per week): $</w:t>
      </w:r>
      <w:r w:rsidRPr="00080391">
        <w:rPr>
          <w:rFonts w:eastAsia="Times New Roman"/>
          <w:i/>
          <w:iCs/>
          <w:color w:val="000000"/>
          <w:sz w:val="23"/>
          <w:szCs w:val="23"/>
          <w:lang w:eastAsia="en-AU"/>
          <w14:ligatures w14:val="standardContextual"/>
        </w:rPr>
        <w:t>[insert amount]</w:t>
      </w:r>
    </w:p>
    <w:p w14:paraId="12C75F34"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Frequency of rent payable: </w:t>
      </w:r>
      <w:r w:rsidRPr="00080391">
        <w:rPr>
          <w:rFonts w:eastAsia="Times New Roman"/>
          <w:i/>
          <w:iCs/>
          <w:color w:val="000000"/>
          <w:sz w:val="23"/>
          <w:szCs w:val="23"/>
          <w:lang w:eastAsia="en-AU"/>
          <w14:ligatures w14:val="standardContextual"/>
        </w:rPr>
        <w:t>[tick 1 box]</w:t>
      </w:r>
    </w:p>
    <w:p w14:paraId="059C108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Weekly</w:t>
      </w:r>
    </w:p>
    <w:p w14:paraId="4F31EAB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Fortnightly</w:t>
      </w:r>
    </w:p>
    <w:p w14:paraId="49059398" w14:textId="5C660212"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Calendar Monthly</w:t>
      </w:r>
    </w:p>
    <w:p w14:paraId="506A4CF9" w14:textId="77777777" w:rsidR="00BB5DE5" w:rsidRDefault="00BB5DE5" w:rsidP="00BB5DE5">
      <w:pPr>
        <w:spacing w:after="0" w:line="6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5FBFB64"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lastRenderedPageBreak/>
        <w:t>Note—</w:t>
      </w:r>
    </w:p>
    <w:p w14:paraId="5EE82EFA"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landlord/agent cannot offer premises for rent under a residential tenancy agreement unless the rent is offered as a fixed amount, and cannot invite offers of an amount of rent higher than the advertised price.</w:t>
      </w:r>
    </w:p>
    <w:p w14:paraId="0C5F0C35"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landlord/agent cannot require the payment of more than two weeks’ rent under a residential tenancy agreement before the end of the first two weeks of the tenancy.</w:t>
      </w:r>
    </w:p>
    <w:p w14:paraId="3564097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5—Bond</w:t>
      </w:r>
    </w:p>
    <w:p w14:paraId="59CD2879"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2E9693E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A bond payment is required: </w:t>
      </w:r>
      <w:r w:rsidRPr="00080391">
        <w:rPr>
          <w:rFonts w:eastAsia="Times New Roman"/>
          <w:i/>
          <w:iCs/>
          <w:color w:val="000000"/>
          <w:sz w:val="23"/>
          <w:szCs w:val="23"/>
          <w:lang w:eastAsia="en-AU"/>
          <w14:ligatures w14:val="standardContextual"/>
        </w:rPr>
        <w:t>[tick 1 box]</w:t>
      </w:r>
    </w:p>
    <w:p w14:paraId="61B4FEF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Yes</w:t>
      </w:r>
    </w:p>
    <w:p w14:paraId="77A6928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No</w:t>
      </w:r>
    </w:p>
    <w:p w14:paraId="4C508A2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Bond amount payable: $ </w:t>
      </w:r>
      <w:r w:rsidRPr="00080391">
        <w:rPr>
          <w:rFonts w:eastAsia="Times New Roman"/>
          <w:i/>
          <w:iCs/>
          <w:color w:val="000000"/>
          <w:sz w:val="23"/>
          <w:szCs w:val="23"/>
          <w:lang w:eastAsia="en-AU"/>
          <w14:ligatures w14:val="standardContextual"/>
        </w:rPr>
        <w:t>[insert amount]</w:t>
      </w:r>
    </w:p>
    <w:p w14:paraId="48D1DCA7"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360AD99F"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The maximum bond for a residential tenancy agreement is:</w:t>
      </w:r>
    </w:p>
    <w:p w14:paraId="594B724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b/>
        <w:t>•</w:t>
      </w:r>
      <w:r w:rsidRPr="00080391">
        <w:rPr>
          <w:rFonts w:eastAsia="Times New Roman"/>
          <w:color w:val="000000"/>
          <w:sz w:val="20"/>
          <w:szCs w:val="20"/>
          <w:lang w:eastAsia="en-AU"/>
          <w14:ligatures w14:val="standardContextual"/>
        </w:rPr>
        <w:tab/>
      </w:r>
      <w:r w:rsidRPr="00080391">
        <w:rPr>
          <w:rFonts w:eastAsia="Times New Roman"/>
          <w:i/>
          <w:iCs/>
          <w:color w:val="000000"/>
          <w:sz w:val="20"/>
          <w:szCs w:val="20"/>
          <w:lang w:eastAsia="en-AU"/>
          <w14:ligatures w14:val="standardContextual"/>
        </w:rPr>
        <w:t>If the weekly rent is $800 or less, up to 4 weeks rent</w:t>
      </w:r>
    </w:p>
    <w:p w14:paraId="3E6B7BD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b/>
        <w:t>•</w:t>
      </w:r>
      <w:r w:rsidRPr="00080391">
        <w:rPr>
          <w:rFonts w:eastAsia="Times New Roman"/>
          <w:color w:val="000000"/>
          <w:sz w:val="20"/>
          <w:szCs w:val="20"/>
          <w:lang w:eastAsia="en-AU"/>
          <w14:ligatures w14:val="standardContextual"/>
        </w:rPr>
        <w:tab/>
      </w:r>
      <w:r w:rsidRPr="00080391">
        <w:rPr>
          <w:rFonts w:eastAsia="Times New Roman"/>
          <w:i/>
          <w:iCs/>
          <w:color w:val="000000"/>
          <w:sz w:val="20"/>
          <w:szCs w:val="20"/>
          <w:lang w:eastAsia="en-AU"/>
          <w14:ligatures w14:val="standardContextual"/>
        </w:rPr>
        <w:t>If the weekly rent is more than $800, up to 6 weeks rent</w:t>
      </w:r>
    </w:p>
    <w:p w14:paraId="3C799DA0"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Some government programs are available to assist with payments of bond monies, such as a South Australian Housing Trust bond guarantee. Prospective tenants cannot be required to divulge whether such assistance will be sought/provided.</w:t>
      </w:r>
    </w:p>
    <w:p w14:paraId="20A0CC6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6—Rates and charges</w:t>
      </w:r>
    </w:p>
    <w:p w14:paraId="53CE7DF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33C3FBF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Rates and charges for the following prescribed services will be paid by: </w:t>
      </w:r>
      <w:r w:rsidRPr="00080391">
        <w:rPr>
          <w:rFonts w:eastAsia="Times New Roman"/>
          <w:i/>
          <w:iCs/>
          <w:color w:val="000000"/>
          <w:sz w:val="23"/>
          <w:szCs w:val="23"/>
          <w:lang w:eastAsia="en-AU"/>
          <w14:ligatures w14:val="standardContextual"/>
        </w:rPr>
        <w:t>[tick 1 box in each case]</w:t>
      </w:r>
    </w:p>
    <w:p w14:paraId="00A6479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Water:</w:t>
      </w:r>
    </w:p>
    <w:p w14:paraId="061628C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Tenant</w:t>
      </w:r>
    </w:p>
    <w:p w14:paraId="1B28275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Landlord</w:t>
      </w:r>
    </w:p>
    <w:p w14:paraId="6E7A75B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Electricity:</w:t>
      </w:r>
    </w:p>
    <w:p w14:paraId="6B034CC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Tenant</w:t>
      </w:r>
    </w:p>
    <w:p w14:paraId="78A6502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Landlord</w:t>
      </w:r>
    </w:p>
    <w:p w14:paraId="1F5ECA5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Gas:</w:t>
      </w:r>
    </w:p>
    <w:p w14:paraId="1285D03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Tenant</w:t>
      </w:r>
    </w:p>
    <w:p w14:paraId="3291889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Landlord</w:t>
      </w:r>
    </w:p>
    <w:p w14:paraId="14314AE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Not applicable</w:t>
      </w:r>
    </w:p>
    <w:p w14:paraId="4212DE5A"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68E8EE25"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Electricity, gas and water are to be paid as agreed between the landlord and tenant. In the absence of an agreement, rates and charges based on the level of consumption are to be paid by the tenant. However, if the consumption is not separately metered or the rates and charges are not based on the level of consumption, the landlords is responsible for the charges.</w:t>
      </w:r>
    </w:p>
    <w:p w14:paraId="4B04FE46" w14:textId="494AC1C1" w:rsidR="00BB5DE5"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The tenant may be required to pay rates and charges as an apportionment of the cost of a service if the property is not separately metered (for example, in a unit complex).</w:t>
      </w:r>
    </w:p>
    <w:p w14:paraId="53F7E25A" w14:textId="77777777" w:rsidR="00BB5DE5" w:rsidRDefault="00BB5DE5">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199B8E70"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lastRenderedPageBreak/>
        <w:t>In relation to statutory charges, tenants are not liable for water connection or sewerage services that run past the premises.</w:t>
      </w:r>
    </w:p>
    <w:p w14:paraId="7FB40B57"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Specify any other charges or effects on charges (for example, telephone/internet/subscription television/solar): </w:t>
      </w:r>
      <w:r w:rsidRPr="00080391">
        <w:rPr>
          <w:rFonts w:eastAsia="Times New Roman"/>
          <w:i/>
          <w:iCs/>
          <w:color w:val="000000"/>
          <w:sz w:val="23"/>
          <w:szCs w:val="23"/>
          <w:lang w:eastAsia="en-AU"/>
          <w14:ligatures w14:val="standardContextual"/>
        </w:rPr>
        <w:t>[insert details]</w:t>
      </w:r>
    </w:p>
    <w:p w14:paraId="392412B3"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37EE2DE0"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tenant cannot be required to pay rates and charges for the supply of electricity, gas and water unless the landlord provides a copy of the invoice within 30 days of the authority issuing the invoice. All statutory charges, such as the availability of water or sewerage services that run past the rental premises, must be borne by the landlord.</w:t>
      </w:r>
    </w:p>
    <w:p w14:paraId="4762C3D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landlord should consider taking out insurance for the rental premises, and a tenant should consider taking out insurance for their contents in the premises.</w:t>
      </w:r>
    </w:p>
    <w:p w14:paraId="32FFE44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7—Prospective tenant details</w:t>
      </w:r>
    </w:p>
    <w:p w14:paraId="1DE6259B"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213D77AA"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Each prospective tenant over the age of 18 years must complete a separate Application Form</w:t>
      </w:r>
    </w:p>
    <w:p w14:paraId="4E246BC1"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Prospective Tenant]</w:t>
      </w:r>
    </w:p>
    <w:p w14:paraId="6646B163"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w:t>
      </w:r>
    </w:p>
    <w:p w14:paraId="411020D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Current address:</w:t>
      </w:r>
    </w:p>
    <w:p w14:paraId="22C8DE4E"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Email:</w:t>
      </w:r>
    </w:p>
    <w:p w14:paraId="0F05160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Phone 1:</w:t>
      </w:r>
    </w:p>
    <w:p w14:paraId="512ACD2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Phone 2:</w:t>
      </w:r>
    </w:p>
    <w:p w14:paraId="720D3D5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Joint Application with:</w:t>
      </w:r>
    </w:p>
    <w:p w14:paraId="00F7FDB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Are all prospective tenants over the age of 18 and have legal capacity to enter into a residential tenancy agreement? </w:t>
      </w:r>
      <w:r w:rsidRPr="00080391">
        <w:rPr>
          <w:rFonts w:eastAsia="Times New Roman"/>
          <w:i/>
          <w:iCs/>
          <w:color w:val="000000"/>
          <w:sz w:val="23"/>
          <w:szCs w:val="23"/>
          <w:lang w:eastAsia="en-AU"/>
          <w14:ligatures w14:val="standardContextual"/>
        </w:rPr>
        <w:t>[tick 1 box]</w:t>
      </w:r>
    </w:p>
    <w:p w14:paraId="44CD22B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Yes</w:t>
      </w:r>
    </w:p>
    <w:p w14:paraId="0CBA443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No</w:t>
      </w:r>
    </w:p>
    <w:p w14:paraId="60D6CC16"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8—Landlord/Agent details</w:t>
      </w:r>
    </w:p>
    <w:p w14:paraId="2B60625A"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2BA9E1E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Landlord (only required if no applicable Agent)</w:t>
      </w:r>
    </w:p>
    <w:p w14:paraId="2F4D02A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Individual or Company/Legal Entity Name:</w:t>
      </w:r>
    </w:p>
    <w:p w14:paraId="386BE4C3"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ABN (if applicable):</w:t>
      </w:r>
    </w:p>
    <w:p w14:paraId="1E33DEB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Email:</w:t>
      </w:r>
    </w:p>
    <w:p w14:paraId="46F4C09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Phone 1:</w:t>
      </w:r>
    </w:p>
    <w:p w14:paraId="368D491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Phone 2:</w:t>
      </w:r>
    </w:p>
    <w:p w14:paraId="65397781"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Postal address/Address for service:</w:t>
      </w:r>
    </w:p>
    <w:p w14:paraId="68AA77A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Agent (if applicable)</w:t>
      </w:r>
    </w:p>
    <w:p w14:paraId="6EBC9801"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Agent Name/ Agent Company/Legal Entity Name:</w:t>
      </w:r>
    </w:p>
    <w:p w14:paraId="54205ED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ABN (if applicable):</w:t>
      </w:r>
    </w:p>
    <w:p w14:paraId="78E431E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Agent's Registered Land Agent (RLA) Number:</w:t>
      </w:r>
    </w:p>
    <w:p w14:paraId="655B612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Contact person:</w:t>
      </w:r>
    </w:p>
    <w:p w14:paraId="7DAB074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Email:</w:t>
      </w:r>
    </w:p>
    <w:p w14:paraId="2543478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Phone 1:</w:t>
      </w:r>
    </w:p>
    <w:p w14:paraId="211AB42C"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Phone 2:</w:t>
      </w:r>
    </w:p>
    <w:p w14:paraId="187EB814" w14:textId="172A29A6" w:rsidR="00BB5DE5"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Postal address/Address for service:</w:t>
      </w:r>
    </w:p>
    <w:p w14:paraId="478C70FD"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068A4A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9—Prospective Tenant Documentation</w:t>
      </w:r>
    </w:p>
    <w:p w14:paraId="5981FFF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6B44E03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The landlord/agent requests a copy of the following selected documents (please attach copies to this Application Form):</w:t>
      </w:r>
    </w:p>
    <w:p w14:paraId="4C5AC778"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Category 1: Identification</w:t>
      </w:r>
    </w:p>
    <w:p w14:paraId="51A31BA3"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Maximum of two documents from the following options (at least one should be photographic):</w:t>
      </w:r>
    </w:p>
    <w:p w14:paraId="79681C4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Driver’s Licence</w:t>
      </w:r>
    </w:p>
    <w:p w14:paraId="2A117E0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Passport</w:t>
      </w:r>
    </w:p>
    <w:p w14:paraId="7C1C88D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Birth Certificate</w:t>
      </w:r>
    </w:p>
    <w:p w14:paraId="6DBB7A9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Proof of age card</w:t>
      </w:r>
    </w:p>
    <w:p w14:paraId="4C5A2FA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Category 2: Ability to pay rent</w:t>
      </w:r>
    </w:p>
    <w:p w14:paraId="3AE2A97A"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Maximum of two of the following options:</w:t>
      </w:r>
    </w:p>
    <w:p w14:paraId="248C93A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Bank statement with outgoing transactions and bank account numbers redacted or removed</w:t>
      </w:r>
    </w:p>
    <w:p w14:paraId="400A0BF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A payslip or document confirming employment</w:t>
      </w:r>
    </w:p>
    <w:p w14:paraId="5C7A04C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Proof of pension/other income</w:t>
      </w:r>
    </w:p>
    <w:p w14:paraId="5017394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documents directly relating to financial capacity or primary source of income: </w:t>
      </w:r>
      <w:r w:rsidRPr="00080391">
        <w:rPr>
          <w:rFonts w:eastAsia="Times New Roman"/>
          <w:i/>
          <w:iCs/>
          <w:color w:val="000000"/>
          <w:sz w:val="23"/>
          <w:szCs w:val="23"/>
          <w:lang w:eastAsia="en-AU"/>
          <w14:ligatures w14:val="standardContextual"/>
        </w:rPr>
        <w:t>[specify details]</w:t>
      </w:r>
    </w:p>
    <w:p w14:paraId="25FCA4CB"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684AD756"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Although not more than 2 documents from each of the above categories can be requested by a landlord/agent, prospective tenants may attach further documentation to this Application Form if it might assist their rental application.</w:t>
      </w:r>
    </w:p>
    <w:p w14:paraId="1A33E50C"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person who holds prospective tenant information must protect the information and must destroy it 30 days after the successful tenant signs the residential tenancy agreement specified on this Application Form (unless the prospective tenant has consented for the information to be kept for a longer period – but it must be destroyed as soon as practicable 6 months after the date of this Application Form).</w:t>
      </w:r>
    </w:p>
    <w:p w14:paraId="53E6B8E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10—Referees</w:t>
      </w:r>
    </w:p>
    <w:p w14:paraId="55514572"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Prospective Tenant]</w:t>
      </w:r>
    </w:p>
    <w:p w14:paraId="29E20F1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Please provide relevant referees regarding your suitability as a tenant and their contact details:</w:t>
      </w:r>
    </w:p>
    <w:p w14:paraId="6069B5A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Prospective Tenant:</w:t>
      </w:r>
    </w:p>
    <w:p w14:paraId="526BA34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Referee 1:</w:t>
      </w:r>
    </w:p>
    <w:p w14:paraId="06630D0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Full name:</w:t>
      </w:r>
    </w:p>
    <w:p w14:paraId="20F73DD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Relationship to Prospective Tenant:</w:t>
      </w:r>
    </w:p>
    <w:p w14:paraId="480BACA8"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Contact details:</w:t>
      </w:r>
    </w:p>
    <w:p w14:paraId="02EB7D2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Referee 2:</w:t>
      </w:r>
    </w:p>
    <w:p w14:paraId="1F2E008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Full name:</w:t>
      </w:r>
    </w:p>
    <w:p w14:paraId="42D6814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Relationship to Prospective Tenant:</w:t>
      </w:r>
    </w:p>
    <w:p w14:paraId="3A2A498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w:t>
      </w:r>
      <w:r w:rsidRPr="00080391">
        <w:rPr>
          <w:rFonts w:eastAsia="Times New Roman"/>
          <w:color w:val="000000"/>
          <w:sz w:val="23"/>
          <w:szCs w:val="23"/>
          <w:lang w:eastAsia="en-AU"/>
          <w14:ligatures w14:val="standardContextual"/>
        </w:rPr>
        <w:tab/>
        <w:t>Contact details:</w:t>
      </w:r>
    </w:p>
    <w:p w14:paraId="03546804" w14:textId="27C8C1A7" w:rsidR="00BB5DE5" w:rsidRDefault="00080391" w:rsidP="00080391">
      <w:pPr>
        <w:keepLines/>
        <w:autoSpaceDE w:val="0"/>
        <w:autoSpaceDN w:val="0"/>
        <w:adjustRightInd w:val="0"/>
        <w:spacing w:before="120" w:after="0" w:line="240" w:lineRule="auto"/>
        <w:jc w:val="left"/>
        <w:rPr>
          <w:rFonts w:eastAsia="Times New Roman"/>
          <w:i/>
          <w:iCs/>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Other relevant referee information: </w:t>
      </w:r>
      <w:r w:rsidRPr="00080391">
        <w:rPr>
          <w:rFonts w:eastAsia="Times New Roman"/>
          <w:i/>
          <w:iCs/>
          <w:color w:val="000000"/>
          <w:sz w:val="23"/>
          <w:szCs w:val="23"/>
          <w:lang w:eastAsia="en-AU"/>
          <w14:ligatures w14:val="standardContextual"/>
        </w:rPr>
        <w:t>[specify]</w:t>
      </w:r>
    </w:p>
    <w:p w14:paraId="5BB9FDCE" w14:textId="77777777" w:rsidR="00BB5DE5" w:rsidRDefault="00BB5DE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582700FF"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lastRenderedPageBreak/>
        <w:t>Note—</w:t>
      </w:r>
    </w:p>
    <w:p w14:paraId="6B5E2289"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 xml:space="preserve">A landlord or an agent of a landlord must not request the provision of information relating to the employment of the prospective tenant, other than a payslip or a document that confirms their employment (see </w:t>
      </w:r>
      <w:hyperlink w:anchor="id0e6a336b_f3d8_4944_b5bc_95b6737e80" w:history="1">
        <w:r w:rsidRPr="00080391">
          <w:rPr>
            <w:rFonts w:eastAsia="Times New Roman"/>
            <w:color w:val="000000"/>
            <w:sz w:val="20"/>
            <w:szCs w:val="20"/>
            <w:lang w:eastAsia="en-AU"/>
            <w14:ligatures w14:val="standardContextual"/>
          </w:rPr>
          <w:t>regulation 8(1)(h)</w:t>
        </w:r>
      </w:hyperlink>
      <w:r w:rsidRPr="00080391">
        <w:rPr>
          <w:rFonts w:eastAsia="Times New Roman"/>
          <w:color w:val="000000"/>
          <w:sz w:val="20"/>
          <w:szCs w:val="20"/>
          <w:lang w:eastAsia="en-AU"/>
          <w14:ligatures w14:val="standardContextual"/>
        </w:rPr>
        <w:t>).</w:t>
      </w:r>
    </w:p>
    <w:p w14:paraId="155FC1D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11—Residential Tenancy Databases</w:t>
      </w:r>
    </w:p>
    <w:p w14:paraId="159BB6C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11BF1B0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The landlord/agent can determine a prospective tenant’s suitability and may check a prospective tenant’s prior history as a tenant. Landlords/agents may use residential tenancy databases for this purpose. They must provide the name and contact details of the residential tenancy database/s used at the time of making this application, unless provided to the prospective tenant not more than 7 days before the date of this Application Form:</w:t>
      </w:r>
    </w:p>
    <w:p w14:paraId="6B7C9A41"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Residential Tenancy Database 1:</w:t>
      </w:r>
    </w:p>
    <w:p w14:paraId="2636B11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Contact details for Residential Tenancy Database 1:</w:t>
      </w:r>
    </w:p>
    <w:p w14:paraId="1B34946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Residential Tenancy Database 2:</w:t>
      </w:r>
    </w:p>
    <w:p w14:paraId="4B2DED1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Contact details for Residential Tenancy Database 2:</w:t>
      </w:r>
    </w:p>
    <w:p w14:paraId="3BEE4621"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Residential Tenancy Database 3:</w:t>
      </w:r>
    </w:p>
    <w:p w14:paraId="3F053C9A"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Contact details for Residential Tenancy Database 3:</w:t>
      </w:r>
    </w:p>
    <w:p w14:paraId="46F2A6E7"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65F9C648"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further requirements for landlords/agents to follow when using Residential Tenancy Databases in the </w:t>
      </w:r>
      <w:hyperlink r:id="rId136"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A landlord/agent/residential tenancy database operator must not charge a fee for giving a person listed personal information in a residential tenancy database.</w:t>
      </w:r>
    </w:p>
    <w:p w14:paraId="3A38943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12—Ways to submit your application</w:t>
      </w:r>
    </w:p>
    <w:p w14:paraId="279BF16E"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Landlord/Agent]</w:t>
      </w:r>
    </w:p>
    <w:p w14:paraId="2489D9D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Submit your application using one of the following methods:</w:t>
      </w:r>
    </w:p>
    <w:p w14:paraId="5775B3AA"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Submission method 1:</w:t>
      </w:r>
    </w:p>
    <w:p w14:paraId="597A55F3"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Submission method 2:</w:t>
      </w:r>
    </w:p>
    <w:p w14:paraId="45403946"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Submission method 3:</w:t>
      </w:r>
    </w:p>
    <w:p w14:paraId="4BE1FEC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13—Signature</w:t>
      </w:r>
    </w:p>
    <w:p w14:paraId="37F81C0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[To be filled in by Prospective Tenant]</w:t>
      </w:r>
    </w:p>
    <w:p w14:paraId="4457ABB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Signature of Prospective Tenant: </w:t>
      </w:r>
      <w:r w:rsidRPr="00080391">
        <w:rPr>
          <w:rFonts w:eastAsia="Times New Roman"/>
          <w:i/>
          <w:iCs/>
          <w:color w:val="000000"/>
          <w:sz w:val="23"/>
          <w:szCs w:val="23"/>
          <w:lang w:eastAsia="en-AU"/>
          <w14:ligatures w14:val="standardContextual"/>
        </w:rPr>
        <w:t>[insert signature]</w:t>
      </w:r>
    </w:p>
    <w:p w14:paraId="7263FC72"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Date of application: </w:t>
      </w:r>
      <w:r w:rsidRPr="00080391">
        <w:rPr>
          <w:rFonts w:eastAsia="Times New Roman"/>
          <w:i/>
          <w:iCs/>
          <w:color w:val="000000"/>
          <w:sz w:val="23"/>
          <w:szCs w:val="23"/>
          <w:lang w:eastAsia="en-AU"/>
          <w14:ligatures w14:val="standardContextual"/>
        </w:rPr>
        <w:t>[insert date]</w:t>
      </w:r>
    </w:p>
    <w:p w14:paraId="00D8A79D"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12A2F1C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A prospective tenant must not give a landlord/agent false information or a falsified document in connection with an application to enter a residential tenancy agreement (see section 47B(2a) of the Act). This offence carries a maximum penalty of $20 000 and an expiation fee of $1 200.</w:t>
      </w:r>
    </w:p>
    <w:p w14:paraId="10230F0F"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If you are successful in your application to enter into a residential tenancy, you can only keep a pet on the rental premises with the prior approval of the landlord. A separate Application For Approval To Keep A Pet On Rental Premises form is available on the Consumer and Business Services website.</w:t>
      </w:r>
    </w:p>
    <w:p w14:paraId="2C05594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4)</w:t>
      </w:r>
    </w:p>
    <w:p w14:paraId="643FAC8F"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Short Fixed Term Tenancies</w:t>
      </w:r>
    </w:p>
    <w:p w14:paraId="79CBDA60"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1C85971A" w14:textId="50AC29FB" w:rsidR="00BB5DE5"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The landlord must complete Part A of this form in duplicate and give both copies to the tenant to sign. The tenant should then complete Part B and return 1 copy to the landlord.</w:t>
      </w:r>
    </w:p>
    <w:p w14:paraId="77D36A8E" w14:textId="77777777" w:rsidR="00BB5DE5" w:rsidRDefault="00BB5DE5">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4C028E9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Part A—Notice to be given to tenant by landlord</w:t>
      </w:r>
    </w:p>
    <w:p w14:paraId="1925485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46560E3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I give you notice under section 4 of the </w:t>
      </w:r>
      <w:hyperlink r:id="rId137"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 xml:space="preserve"> that the residential tenancy agreement you have entered into is a short fixed term tenancy of </w:t>
      </w:r>
      <w:r w:rsidRPr="00080391">
        <w:rPr>
          <w:rFonts w:eastAsia="Times New Roman"/>
          <w:i/>
          <w:iCs/>
          <w:color w:val="000000"/>
          <w:sz w:val="23"/>
          <w:szCs w:val="23"/>
          <w:lang w:eastAsia="en-AU"/>
          <w14:ligatures w14:val="standardContextual"/>
        </w:rPr>
        <w:t>[insert relevant number of days between 1 and 90]</w:t>
      </w:r>
      <w:r w:rsidRPr="00080391">
        <w:rPr>
          <w:rFonts w:eastAsia="Times New Roman"/>
          <w:color w:val="000000"/>
          <w:sz w:val="23"/>
          <w:szCs w:val="23"/>
          <w:lang w:eastAsia="en-AU"/>
          <w14:ligatures w14:val="standardContextual"/>
        </w:rPr>
        <w:t xml:space="preserve"> days.</w:t>
      </w:r>
    </w:p>
    <w:p w14:paraId="6E6D6764"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762465BB"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short fixed term tenancy is a tenancy for a term of 90 days or less.</w:t>
      </w:r>
    </w:p>
    <w:p w14:paraId="6D5FA14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r>
      <w:r w:rsidRPr="00080391">
        <w:rPr>
          <w:rFonts w:eastAsia="Times New Roman"/>
          <w:b/>
          <w:bCs/>
          <w:color w:val="000000"/>
          <w:sz w:val="23"/>
          <w:szCs w:val="23"/>
          <w:lang w:eastAsia="en-AU"/>
          <w14:ligatures w14:val="standardContextual"/>
        </w:rPr>
        <w:t>You are warned that the term of your tenancy will come to an end at the completion of this period and that you should not expect to continue in possession of the premises after that time.</w:t>
      </w:r>
    </w:p>
    <w:p w14:paraId="08BA313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Details of relevant residential tenancy agreement—</w:t>
      </w:r>
    </w:p>
    <w:p w14:paraId="69FF4639" w14:textId="77777777" w:rsidR="00080391" w:rsidRPr="00080391" w:rsidRDefault="00080391" w:rsidP="00080391">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Name of landlord:</w:t>
      </w:r>
    </w:p>
    <w:p w14:paraId="0135F5D7" w14:textId="77777777" w:rsidR="00080391" w:rsidRPr="00080391" w:rsidRDefault="00080391" w:rsidP="00080391">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rented premises:</w:t>
      </w:r>
    </w:p>
    <w:p w14:paraId="0E24F99F" w14:textId="77777777" w:rsidR="00080391" w:rsidRPr="00080391" w:rsidRDefault="00080391" w:rsidP="00080391">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Commencement date:   </w:t>
      </w:r>
    </w:p>
    <w:p w14:paraId="3B890B4D" w14:textId="77777777" w:rsidR="00080391" w:rsidRPr="00080391" w:rsidRDefault="00080391" w:rsidP="00080391">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Last day of tenancy:</w:t>
      </w:r>
    </w:p>
    <w:p w14:paraId="13835358"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302101F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7D55B7B2"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5C752CBC"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Part B—Statement to be signed by tenant</w:t>
      </w:r>
    </w:p>
    <w:p w14:paraId="164218EB"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00C2A313"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The landlord should have completed Part A of this form and given you 2 copies. You should complete Part B and return 1 copy to the landlord.</w:t>
      </w:r>
    </w:p>
    <w:p w14:paraId="45F6D01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I </w:t>
      </w:r>
      <w:r w:rsidRPr="00080391">
        <w:rPr>
          <w:rFonts w:eastAsia="Times New Roman"/>
          <w:i/>
          <w:iCs/>
          <w:color w:val="000000"/>
          <w:sz w:val="23"/>
          <w:szCs w:val="23"/>
          <w:lang w:eastAsia="en-AU"/>
          <w14:ligatures w14:val="standardContextual"/>
        </w:rPr>
        <w:t>[insert name of tenant]</w:t>
      </w:r>
      <w:r w:rsidRPr="00080391">
        <w:rPr>
          <w:rFonts w:eastAsia="Times New Roman"/>
          <w:color w:val="000000"/>
          <w:sz w:val="23"/>
          <w:szCs w:val="23"/>
          <w:lang w:eastAsia="en-AU"/>
          <w14:ligatures w14:val="standardContextual"/>
        </w:rPr>
        <w:t xml:space="preserve"> understand that I have entered a short fixed term tenancy of 90 days or less—</w:t>
      </w:r>
    </w:p>
    <w:p w14:paraId="289ADBED" w14:textId="77777777" w:rsidR="00080391" w:rsidRPr="00080391" w:rsidRDefault="00080391" w:rsidP="00080391">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starting on: </w:t>
      </w:r>
      <w:r w:rsidRPr="00080391">
        <w:rPr>
          <w:rFonts w:eastAsia="Times New Roman"/>
          <w:i/>
          <w:iCs/>
          <w:color w:val="000000"/>
          <w:sz w:val="23"/>
          <w:szCs w:val="23"/>
          <w:lang w:eastAsia="en-AU"/>
          <w14:ligatures w14:val="standardContextual"/>
        </w:rPr>
        <w:t>[insert commencement date]</w:t>
      </w:r>
    </w:p>
    <w:p w14:paraId="57F3EDE9" w14:textId="77777777" w:rsidR="00080391" w:rsidRPr="00080391" w:rsidRDefault="00080391" w:rsidP="00080391">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and finishing on: </w:t>
      </w:r>
      <w:r w:rsidRPr="00080391">
        <w:rPr>
          <w:rFonts w:eastAsia="Times New Roman"/>
          <w:i/>
          <w:iCs/>
          <w:color w:val="000000"/>
          <w:sz w:val="23"/>
          <w:szCs w:val="23"/>
          <w:lang w:eastAsia="en-AU"/>
          <w14:ligatures w14:val="standardContextual"/>
        </w:rPr>
        <w:t>[insert end date]</w:t>
      </w:r>
    </w:p>
    <w:p w14:paraId="43FAE32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r>
      <w:r w:rsidRPr="00080391">
        <w:rPr>
          <w:rFonts w:eastAsia="Times New Roman"/>
          <w:b/>
          <w:bCs/>
          <w:color w:val="000000"/>
          <w:sz w:val="23"/>
          <w:szCs w:val="23"/>
          <w:lang w:eastAsia="en-AU"/>
          <w14:ligatures w14:val="standardContextual"/>
        </w:rPr>
        <w:t>I acknowledge receipt of a notice (Part A of Form 1) from the landlord about this tenancy.</w:t>
      </w:r>
    </w:p>
    <w:p w14:paraId="0AEA25E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In accordance with section 4 of the </w:t>
      </w:r>
      <w:hyperlink r:id="rId138"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 xml:space="preserve">, I acknowledge that I do not expect to continue possession of the premises at </w:t>
      </w:r>
      <w:r w:rsidRPr="00080391">
        <w:rPr>
          <w:rFonts w:eastAsia="Times New Roman"/>
          <w:i/>
          <w:iCs/>
          <w:color w:val="000000"/>
          <w:sz w:val="23"/>
          <w:szCs w:val="23"/>
          <w:lang w:eastAsia="en-AU"/>
          <w14:ligatures w14:val="standardContextual"/>
        </w:rPr>
        <w:t>[insert address of rented premises]</w:t>
      </w:r>
      <w:r w:rsidRPr="00080391">
        <w:rPr>
          <w:rFonts w:eastAsia="Times New Roman"/>
          <w:color w:val="000000"/>
          <w:sz w:val="23"/>
          <w:szCs w:val="23"/>
          <w:lang w:eastAsia="en-AU"/>
          <w14:ligatures w14:val="standardContextual"/>
        </w:rPr>
        <w:t xml:space="preserve"> after the end of the term stated in the agreement.</w:t>
      </w:r>
    </w:p>
    <w:p w14:paraId="53BC6EE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7EF83E6E"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   </w:t>
      </w:r>
    </w:p>
    <w:p w14:paraId="147FF4FB"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2—</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72(1)(h))</w:t>
      </w:r>
    </w:p>
    <w:p w14:paraId="0BE5EDC5"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to enter premises to determine whether breach has been remedied</w:t>
      </w:r>
    </w:p>
    <w:p w14:paraId="0EDF54F8"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28CB5CA0" w14:textId="732F427B" w:rsidR="00BB5DE5"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This notice can only be given after the tenant has been served with a notice of a breach of agreement under section 80 and must be given to the tenant no less than 7 and no more than 14 days before the date of entry (see below).</w:t>
      </w:r>
    </w:p>
    <w:p w14:paraId="771662AA" w14:textId="77777777" w:rsidR="00BB5DE5" w:rsidRDefault="00BB5DE5">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1CAD3840"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lastRenderedPageBreak/>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3C53A5B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notice that I will enter the premises situated at: </w:t>
      </w:r>
      <w:r w:rsidRPr="00080391">
        <w:rPr>
          <w:rFonts w:eastAsia="Times New Roman"/>
          <w:i/>
          <w:iCs/>
          <w:color w:val="000000"/>
          <w:sz w:val="23"/>
          <w:szCs w:val="23"/>
          <w:lang w:eastAsia="en-AU"/>
          <w14:ligatures w14:val="standardContextual"/>
        </w:rPr>
        <w:t>[insert address of rented premises]</w:t>
      </w:r>
    </w:p>
    <w:p w14:paraId="70098611"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 determine whether the following breach has been remedied:</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details of breach to be remedied]</w:t>
      </w:r>
    </w:p>
    <w:p w14:paraId="38692E8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Pr="00080391">
        <w:rPr>
          <w:rFonts w:eastAsia="Times New Roman"/>
          <w:i/>
          <w:iCs/>
          <w:color w:val="000000"/>
          <w:sz w:val="23"/>
          <w:szCs w:val="23"/>
          <w:lang w:eastAsia="en-AU"/>
          <w14:ligatures w14:val="standardContextual"/>
        </w:rPr>
        <w:t>[insert date of entry]</w:t>
      </w:r>
    </w:p>
    <w:p w14:paraId="362B416B"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at: </w:t>
      </w:r>
      <w:r w:rsidRPr="00080391">
        <w:rPr>
          <w:rFonts w:eastAsia="Times New Roman"/>
          <w:i/>
          <w:iCs/>
          <w:color w:val="000000"/>
          <w:sz w:val="23"/>
          <w:szCs w:val="23"/>
          <w:lang w:eastAsia="en-AU"/>
          <w14:ligatures w14:val="standardContextual"/>
        </w:rPr>
        <w:t>[insert time of entry]</w:t>
      </w:r>
    </w:p>
    <w:p w14:paraId="3479852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 xml:space="preserve">Entry to the premises must be made within </w:t>
      </w:r>
      <w:r w:rsidRPr="00080391">
        <w:rPr>
          <w:rFonts w:eastAsia="Times New Roman"/>
          <w:b/>
          <w:bCs/>
          <w:i/>
          <w:iCs/>
          <w:color w:val="000000"/>
          <w:sz w:val="23"/>
          <w:szCs w:val="23"/>
          <w:lang w:eastAsia="en-AU"/>
          <w14:ligatures w14:val="standardContextual"/>
        </w:rPr>
        <w:t>normal hours</w:t>
      </w:r>
      <w:r w:rsidRPr="00080391">
        <w:rPr>
          <w:rFonts w:eastAsia="Times New Roman"/>
          <w:i/>
          <w:iCs/>
          <w:color w:val="000000"/>
          <w:sz w:val="23"/>
          <w:szCs w:val="23"/>
          <w:lang w:eastAsia="en-AU"/>
          <w14:ligatures w14:val="standardContextual"/>
        </w:rPr>
        <w:t xml:space="preserve"> ie hours between 8am and 8pm on any day other than a Sunday or public holiday.</w:t>
      </w:r>
    </w:p>
    <w:p w14:paraId="34F71159"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056162C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0417C8F6"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1F853639"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547DECAB"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7DED2C4A"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0EC920B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54F92D3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7647EF1E"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40AD39D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50902B1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tenant</w:t>
      </w:r>
    </w:p>
    <w:p w14:paraId="45D2109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26D30E4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09D8889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This notice may be served on the tenant (or on an agent of the tenant)—</w:t>
      </w:r>
    </w:p>
    <w:p w14:paraId="52FC38C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w:t>
      </w:r>
      <w:r w:rsidRPr="00080391">
        <w:rPr>
          <w:rFonts w:eastAsia="Times New Roman"/>
          <w:color w:val="000000"/>
          <w:sz w:val="23"/>
          <w:szCs w:val="23"/>
          <w:lang w:eastAsia="en-AU"/>
          <w14:ligatures w14:val="standardContextual"/>
        </w:rPr>
        <w:tab/>
        <w:t>personally; or</w:t>
      </w:r>
    </w:p>
    <w:p w14:paraId="311A3DA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56BBD49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(iii)</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7ED82D3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(iv)</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464AF72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You should retain a copy of this notice.</w:t>
      </w:r>
    </w:p>
    <w:p w14:paraId="44F7CC10"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3—</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79B(3))</w:t>
      </w:r>
    </w:p>
    <w:p w14:paraId="715C4D30" w14:textId="09906221" w:rsidR="00BB5DE5"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administrator of sole tenant's estate or sole tenant's next of kin following the tenant's death</w:t>
      </w:r>
    </w:p>
    <w:p w14:paraId="031140F7" w14:textId="77777777" w:rsidR="00BB5DE5" w:rsidRDefault="00BB5DE5">
      <w:pPr>
        <w:spacing w:after="0" w:line="240" w:lineRule="auto"/>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7D0A204C"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lastRenderedPageBreak/>
        <w:t>Note—</w:t>
      </w:r>
    </w:p>
    <w:p w14:paraId="0885F92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39"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16B4E6AD"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35023E9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w:t>
      </w:r>
      <w:r w:rsidRPr="00080391">
        <w:rPr>
          <w:rFonts w:eastAsia="Times New Roman"/>
          <w:i/>
          <w:iCs/>
          <w:color w:val="000000"/>
          <w:sz w:val="23"/>
          <w:szCs w:val="23"/>
          <w:lang w:eastAsia="en-AU"/>
          <w14:ligatures w14:val="standardContextual"/>
        </w:rPr>
        <w:t>[insert name]</w:t>
      </w:r>
      <w:r w:rsidRPr="00080391">
        <w:rPr>
          <w:rFonts w:eastAsia="Times New Roman"/>
          <w:color w:val="000000"/>
          <w:sz w:val="23"/>
          <w:szCs w:val="23"/>
          <w:lang w:eastAsia="en-AU"/>
          <w14:ligatures w14:val="standardContextual"/>
        </w:rPr>
        <w:t>,</w:t>
      </w:r>
    </w:p>
    <w:p w14:paraId="3227BBC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395AF55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administrator of the estate of </w:t>
      </w:r>
      <w:r w:rsidRPr="00080391">
        <w:rPr>
          <w:rFonts w:eastAsia="Times New Roman"/>
          <w:i/>
          <w:iCs/>
          <w:color w:val="000000"/>
          <w:sz w:val="23"/>
          <w:szCs w:val="23"/>
          <w:lang w:eastAsia="en-AU"/>
          <w14:ligatures w14:val="standardContextual"/>
        </w:rPr>
        <w:t>[insert name of deceased tenant]</w:t>
      </w:r>
    </w:p>
    <w:p w14:paraId="7181F73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next of kin of </w:t>
      </w:r>
      <w:r w:rsidRPr="00080391">
        <w:rPr>
          <w:rFonts w:eastAsia="Times New Roman"/>
          <w:i/>
          <w:iCs/>
          <w:color w:val="000000"/>
          <w:sz w:val="23"/>
          <w:szCs w:val="23"/>
          <w:lang w:eastAsia="en-AU"/>
          <w14:ligatures w14:val="standardContextual"/>
        </w:rPr>
        <w:t>[insert name of deceased tenant]</w:t>
      </w:r>
    </w:p>
    <w:p w14:paraId="21F6148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give notice of termination of a residential tenancy agreement between </w:t>
      </w:r>
      <w:r w:rsidRPr="00080391">
        <w:rPr>
          <w:rFonts w:eastAsia="Times New Roman"/>
          <w:i/>
          <w:iCs/>
          <w:color w:val="000000"/>
          <w:sz w:val="23"/>
          <w:szCs w:val="23"/>
          <w:lang w:eastAsia="en-AU"/>
          <w14:ligatures w14:val="standardContextual"/>
        </w:rPr>
        <w:t>[insert name of deceased tenant]</w:t>
      </w:r>
      <w:r w:rsidRPr="00080391">
        <w:rPr>
          <w:rFonts w:eastAsia="Times New Roman"/>
          <w:color w:val="000000"/>
          <w:sz w:val="23"/>
          <w:szCs w:val="23"/>
          <w:lang w:eastAsia="en-AU"/>
          <w14:ligatures w14:val="standardContextual"/>
        </w:rPr>
        <w:t xml:space="preserve"> as tenant and you as landlord in respect of the premises at:</w:t>
      </w:r>
    </w:p>
    <w:p w14:paraId="787E828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2862DFD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Pr="00080391">
        <w:rPr>
          <w:rFonts w:eastAsia="Times New Roman"/>
          <w:i/>
          <w:iCs/>
          <w:color w:val="000000"/>
          <w:sz w:val="23"/>
          <w:szCs w:val="23"/>
          <w:lang w:eastAsia="en-AU"/>
          <w14:ligatures w14:val="standardContextual"/>
        </w:rPr>
        <w:t>[insert date of termination]</w:t>
      </w:r>
    </w:p>
    <w:p w14:paraId="74332BAD"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the ground that </w:t>
      </w:r>
      <w:r w:rsidRPr="00080391">
        <w:rPr>
          <w:rFonts w:eastAsia="Times New Roman"/>
          <w:i/>
          <w:iCs/>
          <w:color w:val="000000"/>
          <w:sz w:val="23"/>
          <w:szCs w:val="23"/>
          <w:lang w:eastAsia="en-AU"/>
          <w14:ligatures w14:val="standardContextual"/>
        </w:rPr>
        <w:t>[insert name of deceased tenant]</w:t>
      </w:r>
      <w:r w:rsidRPr="00080391">
        <w:rPr>
          <w:rFonts w:eastAsia="Times New Roman"/>
          <w:color w:val="000000"/>
          <w:sz w:val="23"/>
          <w:szCs w:val="23"/>
          <w:lang w:eastAsia="en-AU"/>
          <w14:ligatures w14:val="standardContextual"/>
        </w:rPr>
        <w:t xml:space="preserve"> has died.</w:t>
      </w:r>
    </w:p>
    <w:p w14:paraId="6A1F787E"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administrator/next of kin:</w:t>
      </w:r>
    </w:p>
    <w:p w14:paraId="545E624C"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43EDE65C"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administrator/next of kin:</w:t>
      </w:r>
    </w:p>
    <w:p w14:paraId="18AB2EB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administrator/next of kin:</w:t>
      </w:r>
    </w:p>
    <w:p w14:paraId="7A2BED6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023FA13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5E17E31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556FC0B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3B41621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565D8B09"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administrator/next of kin should ensure an appropriate postage delivery time frame is taken into consideration. The administrator/next of kin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5DABC15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2124339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04DC08A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08452F50"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administrator/next of kin</w:t>
      </w:r>
    </w:p>
    <w:p w14:paraId="6134C37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403B76E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444E8C5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146A8D18" w14:textId="17320EDC"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pacing w:val="-2"/>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r>
      <w:r w:rsidRPr="00080391">
        <w:rPr>
          <w:rFonts w:eastAsia="Times New Roman"/>
          <w:color w:val="000000"/>
          <w:spacing w:val="-2"/>
          <w:sz w:val="23"/>
          <w:szCs w:val="23"/>
          <w:lang w:eastAsia="en-AU"/>
          <w14:ligatures w14:val="standardContextual"/>
        </w:rPr>
        <w:t>by leaving it in a letterbox or other place where it is likely to come to the landlord or agent's attention at their last known place of residence, employment or business; or</w:t>
      </w:r>
    </w:p>
    <w:p w14:paraId="7670DA32" w14:textId="77777777" w:rsidR="00BB5DE5" w:rsidRDefault="00BB5DE5">
      <w:pPr>
        <w:spacing w:after="0" w:line="240" w:lineRule="auto"/>
        <w:jc w:val="left"/>
        <w:rPr>
          <w:rFonts w:eastAsia="Times New Roman"/>
          <w:color w:val="000000"/>
          <w:spacing w:val="-2"/>
          <w:sz w:val="23"/>
          <w:szCs w:val="23"/>
          <w:lang w:eastAsia="en-AU"/>
          <w14:ligatures w14:val="standardContextual"/>
        </w:rPr>
      </w:pPr>
      <w:r>
        <w:rPr>
          <w:rFonts w:eastAsia="Times New Roman"/>
          <w:color w:val="000000"/>
          <w:spacing w:val="-2"/>
          <w:sz w:val="23"/>
          <w:szCs w:val="23"/>
          <w:lang w:eastAsia="en-AU"/>
          <w14:ligatures w14:val="standardContextual"/>
        </w:rPr>
        <w:br w:type="page"/>
      </w:r>
    </w:p>
    <w:p w14:paraId="56B3A0F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443410D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1C77809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2F8C20C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premises are vacated, they should be left in a reasonable condition and in a reasonably clean state. If they are not, the landlord may recover from the bond, or from the tenant's estate directly, the costs required to remediate the premises (with supporting evidence showing the condition of the premises compared to the start of the tenancy, which demonstrates more than wear and tear).</w:t>
      </w:r>
    </w:p>
    <w:p w14:paraId="2DD3486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1D8DF29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premises are vacated, you should ensure that all the keys, remote controls and security devices are left with the landlord or agent, and that the electricity entity, gas company, Australia Post, Telstra etc, are notified so that the new tenants do not use gas, electricity and the telephone on the deceased tenant's accounts, and so that mail can be forwarded.</w:t>
      </w:r>
    </w:p>
    <w:p w14:paraId="69A0236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4—</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79B(4))</w:t>
      </w:r>
    </w:p>
    <w:p w14:paraId="3F7C22FB"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landlord following death of sole tenant</w:t>
      </w:r>
    </w:p>
    <w:p w14:paraId="1856BFDE"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530B627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0"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76CD5F9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the administrator of the deceased tenant's estate or the deceased tenant's next of kin]</w:t>
      </w:r>
    </w:p>
    <w:p w14:paraId="3FDA424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w:t>
      </w:r>
      <w:r w:rsidRPr="00080391">
        <w:rPr>
          <w:rFonts w:eastAsia="Times New Roman"/>
          <w:i/>
          <w:iCs/>
          <w:color w:val="000000"/>
          <w:sz w:val="23"/>
          <w:szCs w:val="23"/>
          <w:lang w:eastAsia="en-AU"/>
          <w14:ligatures w14:val="standardContextual"/>
        </w:rPr>
        <w:t>[insert name of landlord/agent]</w:t>
      </w:r>
      <w:r w:rsidRPr="00080391">
        <w:rPr>
          <w:rFonts w:eastAsia="Times New Roman"/>
          <w:color w:val="000000"/>
          <w:sz w:val="23"/>
          <w:szCs w:val="23"/>
          <w:lang w:eastAsia="en-AU"/>
          <w14:ligatures w14:val="standardContextual"/>
        </w:rPr>
        <w:t xml:space="preserve">, give notice of termination of a residential tenancy agreement between </w:t>
      </w:r>
      <w:r w:rsidRPr="00080391">
        <w:rPr>
          <w:rFonts w:eastAsia="Times New Roman"/>
          <w:i/>
          <w:iCs/>
          <w:color w:val="000000"/>
          <w:sz w:val="23"/>
          <w:szCs w:val="23"/>
          <w:lang w:eastAsia="en-AU"/>
          <w14:ligatures w14:val="standardContextual"/>
        </w:rPr>
        <w:t>[insert name of deceased tenant]</w:t>
      </w:r>
      <w:r w:rsidRPr="00080391">
        <w:rPr>
          <w:rFonts w:eastAsia="Times New Roman"/>
          <w:color w:val="000000"/>
          <w:sz w:val="23"/>
          <w:szCs w:val="23"/>
          <w:lang w:eastAsia="en-AU"/>
          <w14:ligatures w14:val="standardContextual"/>
        </w:rPr>
        <w:t xml:space="preserve"> as tenant and me as landlord in respect of the premises at:</w:t>
      </w:r>
    </w:p>
    <w:p w14:paraId="332DB72C"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7BD8E5D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Pr="00080391">
        <w:rPr>
          <w:rFonts w:eastAsia="Times New Roman"/>
          <w:i/>
          <w:iCs/>
          <w:color w:val="000000"/>
          <w:sz w:val="23"/>
          <w:szCs w:val="23"/>
          <w:lang w:eastAsia="en-AU"/>
          <w14:ligatures w14:val="standardContextual"/>
        </w:rPr>
        <w:t>[insert date of termination]</w:t>
      </w:r>
    </w:p>
    <w:p w14:paraId="4AF6D85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the ground that </w:t>
      </w:r>
      <w:r w:rsidRPr="00080391">
        <w:rPr>
          <w:rFonts w:eastAsia="Times New Roman"/>
          <w:i/>
          <w:iCs/>
          <w:color w:val="000000"/>
          <w:sz w:val="23"/>
          <w:szCs w:val="23"/>
          <w:lang w:eastAsia="en-AU"/>
          <w14:ligatures w14:val="standardContextual"/>
        </w:rPr>
        <w:t>[insert name of deceased tenant]</w:t>
      </w:r>
      <w:r w:rsidRPr="00080391">
        <w:rPr>
          <w:rFonts w:eastAsia="Times New Roman"/>
          <w:color w:val="000000"/>
          <w:sz w:val="23"/>
          <w:szCs w:val="23"/>
          <w:lang w:eastAsia="en-AU"/>
          <w14:ligatures w14:val="standardContextual"/>
        </w:rPr>
        <w:t xml:space="preserve"> has died.</w:t>
      </w:r>
    </w:p>
    <w:p w14:paraId="7AD6CDC8"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1DA170BD"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556EB88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13AA2A4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landlord/agent:</w:t>
      </w:r>
    </w:p>
    <w:p w14:paraId="0223A1DC"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2C0528C6"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5CFA021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7E2EBB6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administrator or next of kin</w:t>
      </w:r>
    </w:p>
    <w:p w14:paraId="61D8BEE7" w14:textId="4A9EBAAB"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administrator or next of kin</w:t>
      </w:r>
    </w:p>
    <w:p w14:paraId="466C15B3"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3208540"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21A4C03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administrator or next of kin's letterbox</w:t>
      </w:r>
    </w:p>
    <w:p w14:paraId="486EE14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administrator or next of kin</w:t>
      </w:r>
    </w:p>
    <w:p w14:paraId="60C494A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708828F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3298FC4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administrator or next of kin—</w:t>
      </w:r>
    </w:p>
    <w:p w14:paraId="3211FFC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778EA85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36DE22F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02F16C6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02D958A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6729F9D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administrator/next of kin</w:t>
      </w:r>
    </w:p>
    <w:p w14:paraId="5061DC4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premises are vacated, they should be left in a reasonable condition and in a reasonably clean state. If they are not, the landlord may recover from the bond, or from the tenant's estate directly, the costs required to remediate the premises (with supporting evidence showing the condition of the premises compared to the start of the tenancy, which demonstrates more than wear and tear).</w:t>
      </w:r>
    </w:p>
    <w:p w14:paraId="554B7C2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4BE7F75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premises are vacated, you should ensure that all the keys, remote controls and security devices are left with the landlord or agent, and that the electricity entity, gas company, Australia Post, Telstra etc, are notified so that the new tenants do not use gas, electricity and the telephone on the deceased tenant's accounts, and so that mail can be forwarded.</w:t>
      </w:r>
    </w:p>
    <w:p w14:paraId="1D09478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5—</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80)</w:t>
      </w:r>
    </w:p>
    <w:p w14:paraId="080B0933"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Landlord's notice of breach to tenant—termination of agreement</w:t>
      </w:r>
    </w:p>
    <w:p w14:paraId="2A6CB19C"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Part 1</w:t>
      </w:r>
    </w:p>
    <w:p w14:paraId="26E67D79"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73684F97" w14:textId="434DA996" w:rsidR="00BB5DE5"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1"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156FA75A" w14:textId="77777777" w:rsidR="00BB5DE5" w:rsidRDefault="00BB5DE5" w:rsidP="00BB5DE5">
      <w:pPr>
        <w:spacing w:after="0" w:line="80" w:lineRule="exact"/>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03C23C6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lastRenderedPageBreak/>
        <w:t>Name of tenant/s:</w:t>
      </w:r>
    </w:p>
    <w:p w14:paraId="4D933E10"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rented premises:</w:t>
      </w:r>
    </w:p>
    <w:p w14:paraId="24C0CA1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Type of breach:</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[tick relevant box]</w:t>
      </w:r>
    </w:p>
    <w:p w14:paraId="131501B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Unpaid rent </w:t>
      </w:r>
      <w:r w:rsidRPr="00080391">
        <w:rPr>
          <w:rFonts w:eastAsia="Times New Roman"/>
          <w:b/>
          <w:bCs/>
          <w:i/>
          <w:iCs/>
          <w:color w:val="000000"/>
          <w:sz w:val="23"/>
          <w:szCs w:val="23"/>
          <w:lang w:eastAsia="en-AU"/>
          <w14:ligatures w14:val="standardContextual"/>
        </w:rPr>
        <w:t>only</w:t>
      </w:r>
    </w:p>
    <w:p w14:paraId="27EF6F8C"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Rent (or part of rent) has remained unpaid for at least 14 days (please refer to Information for the Landlord).</w:t>
      </w:r>
    </w:p>
    <w:p w14:paraId="27970BD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Other breach of agreement</w:t>
      </w:r>
    </w:p>
    <w:p w14:paraId="68AD7FC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A breach other than (or in addition to) unpaid rent, such as unpaid water rates or property damage.</w:t>
      </w:r>
    </w:p>
    <w:p w14:paraId="630D0017"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 xml:space="preserve">There are 2 types of breaches: 'unpaid rent only' and 'other breach of agreement'. The type of breach will determine the period of time you must give the tenant to give up possession of the premises (see </w:t>
      </w:r>
      <w:r w:rsidRPr="00080391">
        <w:rPr>
          <w:rFonts w:eastAsia="Times New Roman"/>
          <w:b/>
          <w:bCs/>
          <w:i/>
          <w:iCs/>
          <w:color w:val="000000"/>
          <w:sz w:val="23"/>
          <w:szCs w:val="23"/>
          <w:lang w:eastAsia="en-AU"/>
          <w14:ligatures w14:val="standardContextual"/>
        </w:rPr>
        <w:t>Part 3</w:t>
      </w:r>
      <w:r w:rsidRPr="00080391">
        <w:rPr>
          <w:rFonts w:eastAsia="Times New Roman"/>
          <w:i/>
          <w:iCs/>
          <w:color w:val="000000"/>
          <w:sz w:val="23"/>
          <w:szCs w:val="23"/>
          <w:lang w:eastAsia="en-AU"/>
          <w14:ligatures w14:val="standardContextual"/>
        </w:rPr>
        <w:t xml:space="preserve">). You must choose 'other breach of agreement' if serving this notice for </w:t>
      </w:r>
      <w:r w:rsidRPr="00080391">
        <w:rPr>
          <w:rFonts w:eastAsia="Times New Roman"/>
          <w:b/>
          <w:bCs/>
          <w:i/>
          <w:iCs/>
          <w:color w:val="000000"/>
          <w:sz w:val="23"/>
          <w:szCs w:val="23"/>
          <w:lang w:eastAsia="en-AU"/>
          <w14:ligatures w14:val="standardContextual"/>
        </w:rPr>
        <w:t>both</w:t>
      </w:r>
      <w:r w:rsidRPr="00080391">
        <w:rPr>
          <w:rFonts w:eastAsia="Times New Roman"/>
          <w:i/>
          <w:iCs/>
          <w:color w:val="000000"/>
          <w:sz w:val="23"/>
          <w:szCs w:val="23"/>
          <w:lang w:eastAsia="en-AU"/>
          <w14:ligatures w14:val="standardContextual"/>
        </w:rPr>
        <w:t xml:space="preserve"> unpaid rent and any other breach of agreement.</w:t>
      </w:r>
    </w:p>
    <w:p w14:paraId="04C94EAC"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The breach is:</w:t>
      </w:r>
    </w:p>
    <w:p w14:paraId="39DBC792"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You must remedy this breach by:</w:t>
      </w:r>
    </w:p>
    <w:p w14:paraId="3F83F086"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Include enough details so that the tenant knows exactly what the breach is and how to remedy the breach. If insufficient space, attach a separate sheet.</w:t>
      </w:r>
    </w:p>
    <w:p w14:paraId="43AF1F4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Part 2</w:t>
      </w:r>
    </w:p>
    <w:p w14:paraId="304F64B2"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You must remedy the breach on or before: </w:t>
      </w:r>
      <w:r w:rsidRPr="00080391">
        <w:rPr>
          <w:rFonts w:eastAsia="Times New Roman"/>
          <w:i/>
          <w:iCs/>
          <w:color w:val="000000"/>
          <w:sz w:val="23"/>
          <w:szCs w:val="23"/>
          <w:lang w:eastAsia="en-AU"/>
          <w14:ligatures w14:val="standardContextual"/>
        </w:rPr>
        <w:t>[insert date]</w:t>
      </w:r>
    </w:p>
    <w:p w14:paraId="70D6D734"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 xml:space="preserve">This must be at least 7 days after this notice is received (or taken to be received) by the tenant. Please refer to </w:t>
      </w:r>
      <w:r w:rsidRPr="00080391">
        <w:rPr>
          <w:rFonts w:eastAsia="Times New Roman"/>
          <w:b/>
          <w:bCs/>
          <w:i/>
          <w:iCs/>
          <w:color w:val="000000"/>
          <w:sz w:val="23"/>
          <w:szCs w:val="23"/>
          <w:lang w:eastAsia="en-AU"/>
          <w14:ligatures w14:val="standardContextual"/>
        </w:rPr>
        <w:t>Part 4</w:t>
      </w:r>
      <w:r w:rsidRPr="00080391">
        <w:rPr>
          <w:rFonts w:eastAsia="Times New Roman"/>
          <w:i/>
          <w:iCs/>
          <w:color w:val="000000"/>
          <w:sz w:val="23"/>
          <w:szCs w:val="23"/>
          <w:lang w:eastAsia="en-AU"/>
          <w14:ligatures w14:val="standardContextual"/>
        </w:rPr>
        <w:t xml:space="preserve"> for further information about the service of this notice on the tenant.</w:t>
      </w:r>
    </w:p>
    <w:p w14:paraId="7D0ADE39"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Part 3</w:t>
      </w:r>
    </w:p>
    <w:p w14:paraId="24FC261F"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If the breach is not remedied on or before the date outlined in </w:t>
      </w:r>
      <w:r w:rsidRPr="00080391">
        <w:rPr>
          <w:rFonts w:eastAsia="Times New Roman"/>
          <w:b/>
          <w:bCs/>
          <w:color w:val="000000"/>
          <w:sz w:val="23"/>
          <w:szCs w:val="23"/>
          <w:lang w:eastAsia="en-AU"/>
          <w14:ligatures w14:val="standardContextual"/>
        </w:rPr>
        <w:t>Part 2</w:t>
      </w:r>
      <w:r w:rsidRPr="00080391">
        <w:rPr>
          <w:rFonts w:eastAsia="Times New Roman"/>
          <w:color w:val="000000"/>
          <w:sz w:val="23"/>
          <w:szCs w:val="23"/>
          <w:lang w:eastAsia="en-AU"/>
          <w14:ligatures w14:val="standardContextual"/>
        </w:rPr>
        <w:t xml:space="preserve"> above, then the tenancy is terminated by force of this notice and you must give up possession of the premises on or before:</w:t>
      </w:r>
    </w:p>
    <w:p w14:paraId="784F3F0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 xml:space="preserve">For a breach of unpaid rent </w:t>
      </w:r>
      <w:r w:rsidRPr="00080391">
        <w:rPr>
          <w:rFonts w:eastAsia="Times New Roman"/>
          <w:b/>
          <w:bCs/>
          <w:color w:val="000000"/>
          <w:sz w:val="23"/>
          <w:szCs w:val="23"/>
          <w:u w:val="single"/>
          <w:lang w:eastAsia="en-AU"/>
          <w14:ligatures w14:val="standardContextual"/>
        </w:rPr>
        <w:t>only</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date]</w:t>
      </w:r>
    </w:p>
    <w:p w14:paraId="1331486F"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 xml:space="preserve">This may be </w:t>
      </w:r>
      <w:r w:rsidRPr="00080391">
        <w:rPr>
          <w:rFonts w:eastAsia="Times New Roman"/>
          <w:b/>
          <w:bCs/>
          <w:i/>
          <w:iCs/>
          <w:color w:val="000000"/>
          <w:sz w:val="23"/>
          <w:szCs w:val="23"/>
          <w:lang w:eastAsia="en-AU"/>
          <w14:ligatures w14:val="standardContextual"/>
        </w:rPr>
        <w:t>any day after</w:t>
      </w:r>
      <w:r w:rsidRPr="00080391">
        <w:rPr>
          <w:rFonts w:eastAsia="Times New Roman"/>
          <w:i/>
          <w:iCs/>
          <w:color w:val="000000"/>
          <w:sz w:val="23"/>
          <w:szCs w:val="23"/>
          <w:lang w:eastAsia="en-AU"/>
          <w14:ligatures w14:val="standardContextual"/>
        </w:rPr>
        <w:t xml:space="preserve"> the date provided in </w:t>
      </w:r>
      <w:r w:rsidRPr="00080391">
        <w:rPr>
          <w:rFonts w:eastAsia="Times New Roman"/>
          <w:b/>
          <w:bCs/>
          <w:i/>
          <w:iCs/>
          <w:color w:val="000000"/>
          <w:sz w:val="23"/>
          <w:szCs w:val="23"/>
          <w:lang w:eastAsia="en-AU"/>
          <w14:ligatures w14:val="standardContextual"/>
        </w:rPr>
        <w:t>Part 2</w:t>
      </w:r>
      <w:r w:rsidRPr="00080391">
        <w:rPr>
          <w:rFonts w:eastAsia="Times New Roman"/>
          <w:i/>
          <w:iCs/>
          <w:color w:val="000000"/>
          <w:sz w:val="23"/>
          <w:szCs w:val="23"/>
          <w:lang w:eastAsia="en-AU"/>
          <w14:ligatures w14:val="standardContextual"/>
        </w:rPr>
        <w:t xml:space="preserve"> on or before which the tenant was required to remedy the breach.</w:t>
      </w:r>
    </w:p>
    <w:p w14:paraId="64B484F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 xml:space="preserve">For any other breach of agreement (which may also include unpaid rent): </w:t>
      </w:r>
      <w:r w:rsidRPr="00080391">
        <w:rPr>
          <w:rFonts w:eastAsia="Times New Roman"/>
          <w:i/>
          <w:iCs/>
          <w:color w:val="000000"/>
          <w:sz w:val="23"/>
          <w:szCs w:val="23"/>
          <w:lang w:eastAsia="en-AU"/>
          <w14:ligatures w14:val="standardContextual"/>
        </w:rPr>
        <w:t>[insert date]</w:t>
      </w:r>
    </w:p>
    <w:p w14:paraId="7C5EE6BA"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 xml:space="preserve">This must be </w:t>
      </w:r>
      <w:r w:rsidRPr="00080391">
        <w:rPr>
          <w:rFonts w:eastAsia="Times New Roman"/>
          <w:b/>
          <w:bCs/>
          <w:i/>
          <w:iCs/>
          <w:color w:val="000000"/>
          <w:sz w:val="23"/>
          <w:szCs w:val="23"/>
          <w:lang w:eastAsia="en-AU"/>
          <w14:ligatures w14:val="standardContextual"/>
        </w:rPr>
        <w:t>at least 7 days after</w:t>
      </w:r>
      <w:r w:rsidRPr="00080391">
        <w:rPr>
          <w:rFonts w:eastAsia="Times New Roman"/>
          <w:i/>
          <w:iCs/>
          <w:color w:val="000000"/>
          <w:sz w:val="23"/>
          <w:szCs w:val="23"/>
          <w:lang w:eastAsia="en-AU"/>
          <w14:ligatures w14:val="standardContextual"/>
        </w:rPr>
        <w:t xml:space="preserve"> the date provided in </w:t>
      </w:r>
      <w:r w:rsidRPr="00080391">
        <w:rPr>
          <w:rFonts w:eastAsia="Times New Roman"/>
          <w:b/>
          <w:bCs/>
          <w:i/>
          <w:iCs/>
          <w:color w:val="000000"/>
          <w:sz w:val="23"/>
          <w:szCs w:val="23"/>
          <w:lang w:eastAsia="en-AU"/>
          <w14:ligatures w14:val="standardContextual"/>
        </w:rPr>
        <w:t>Part 2</w:t>
      </w:r>
      <w:r w:rsidRPr="00080391">
        <w:rPr>
          <w:rFonts w:eastAsia="Times New Roman"/>
          <w:i/>
          <w:iCs/>
          <w:color w:val="000000"/>
          <w:sz w:val="23"/>
          <w:szCs w:val="23"/>
          <w:lang w:eastAsia="en-AU"/>
          <w14:ligatures w14:val="standardContextual"/>
        </w:rPr>
        <w:t xml:space="preserve"> on or before which the tenant was required to remedy the breach.</w:t>
      </w:r>
    </w:p>
    <w:p w14:paraId="5FC6615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 xml:space="preserve">The landlord </w:t>
      </w:r>
      <w:r w:rsidRPr="00080391">
        <w:rPr>
          <w:rFonts w:eastAsia="Times New Roman"/>
          <w:b/>
          <w:bCs/>
          <w:i/>
          <w:iCs/>
          <w:color w:val="000000"/>
          <w:sz w:val="23"/>
          <w:szCs w:val="23"/>
          <w:lang w:eastAsia="en-AU"/>
          <w14:ligatures w14:val="standardContextual"/>
        </w:rPr>
        <w:t>only</w:t>
      </w:r>
      <w:r w:rsidRPr="00080391">
        <w:rPr>
          <w:rFonts w:eastAsia="Times New Roman"/>
          <w:i/>
          <w:iCs/>
          <w:color w:val="000000"/>
          <w:sz w:val="23"/>
          <w:szCs w:val="23"/>
          <w:lang w:eastAsia="en-AU"/>
          <w14:ligatures w14:val="standardContextual"/>
        </w:rPr>
        <w:t xml:space="preserve"> needs to complete </w:t>
      </w:r>
      <w:r w:rsidRPr="00080391">
        <w:rPr>
          <w:rFonts w:eastAsia="Times New Roman"/>
          <w:b/>
          <w:bCs/>
          <w:i/>
          <w:iCs/>
          <w:color w:val="000000"/>
          <w:sz w:val="23"/>
          <w:szCs w:val="23"/>
          <w:lang w:eastAsia="en-AU"/>
          <w14:ligatures w14:val="standardContextual"/>
        </w:rPr>
        <w:t>A</w:t>
      </w:r>
      <w:r w:rsidRPr="00080391">
        <w:rPr>
          <w:rFonts w:eastAsia="Times New Roman"/>
          <w:i/>
          <w:iCs/>
          <w:color w:val="000000"/>
          <w:sz w:val="23"/>
          <w:szCs w:val="23"/>
          <w:lang w:eastAsia="en-AU"/>
          <w14:ligatures w14:val="standardContextual"/>
        </w:rPr>
        <w:t xml:space="preserve"> or </w:t>
      </w:r>
      <w:r w:rsidRPr="00080391">
        <w:rPr>
          <w:rFonts w:eastAsia="Times New Roman"/>
          <w:b/>
          <w:bCs/>
          <w:i/>
          <w:iCs/>
          <w:color w:val="000000"/>
          <w:sz w:val="23"/>
          <w:szCs w:val="23"/>
          <w:lang w:eastAsia="en-AU"/>
          <w14:ligatures w14:val="standardContextual"/>
        </w:rPr>
        <w:t>B</w:t>
      </w:r>
      <w:r w:rsidRPr="00080391">
        <w:rPr>
          <w:rFonts w:eastAsia="Times New Roman"/>
          <w:i/>
          <w:iCs/>
          <w:color w:val="000000"/>
          <w:sz w:val="23"/>
          <w:szCs w:val="23"/>
          <w:lang w:eastAsia="en-AU"/>
          <w14:ligatures w14:val="standardContextual"/>
        </w:rPr>
        <w:t xml:space="preserve">. Please refer to type of breach (outlined in </w:t>
      </w:r>
      <w:r w:rsidRPr="00080391">
        <w:rPr>
          <w:rFonts w:eastAsia="Times New Roman"/>
          <w:b/>
          <w:bCs/>
          <w:i/>
          <w:iCs/>
          <w:color w:val="000000"/>
          <w:sz w:val="23"/>
          <w:szCs w:val="23"/>
          <w:lang w:eastAsia="en-AU"/>
          <w14:ligatures w14:val="standardContextual"/>
        </w:rPr>
        <w:t>Part 1</w:t>
      </w:r>
      <w:r w:rsidRPr="00080391">
        <w:rPr>
          <w:rFonts w:eastAsia="Times New Roman"/>
          <w:i/>
          <w:iCs/>
          <w:color w:val="000000"/>
          <w:sz w:val="23"/>
          <w:szCs w:val="23"/>
          <w:lang w:eastAsia="en-AU"/>
          <w14:ligatures w14:val="standardContextual"/>
        </w:rPr>
        <w:t xml:space="preserve">) and Important Information, Landlords for further information. The landlord is not entitled to possession of the premises </w:t>
      </w:r>
      <w:r w:rsidRPr="00080391">
        <w:rPr>
          <w:rFonts w:eastAsia="Times New Roman"/>
          <w:b/>
          <w:bCs/>
          <w:i/>
          <w:iCs/>
          <w:color w:val="000000"/>
          <w:sz w:val="23"/>
          <w:szCs w:val="23"/>
          <w:lang w:eastAsia="en-AU"/>
          <w14:ligatures w14:val="standardContextual"/>
        </w:rPr>
        <w:t>until the day after</w:t>
      </w:r>
      <w:r w:rsidRPr="00080391">
        <w:rPr>
          <w:rFonts w:eastAsia="Times New Roman"/>
          <w:i/>
          <w:iCs/>
          <w:color w:val="000000"/>
          <w:sz w:val="23"/>
          <w:szCs w:val="23"/>
          <w:lang w:eastAsia="en-AU"/>
          <w14:ligatures w14:val="standardContextual"/>
        </w:rPr>
        <w:t xml:space="preserve"> the date specified in either </w:t>
      </w:r>
      <w:r w:rsidRPr="00080391">
        <w:rPr>
          <w:rFonts w:eastAsia="Times New Roman"/>
          <w:b/>
          <w:bCs/>
          <w:i/>
          <w:iCs/>
          <w:color w:val="000000"/>
          <w:sz w:val="23"/>
          <w:szCs w:val="23"/>
          <w:lang w:eastAsia="en-AU"/>
          <w14:ligatures w14:val="standardContextual"/>
        </w:rPr>
        <w:t>A</w:t>
      </w:r>
      <w:r w:rsidRPr="00080391">
        <w:rPr>
          <w:rFonts w:eastAsia="Times New Roman"/>
          <w:i/>
          <w:iCs/>
          <w:color w:val="000000"/>
          <w:sz w:val="23"/>
          <w:szCs w:val="23"/>
          <w:lang w:eastAsia="en-AU"/>
          <w14:ligatures w14:val="standardContextual"/>
        </w:rPr>
        <w:t xml:space="preserve"> or </w:t>
      </w:r>
      <w:r w:rsidRPr="00080391">
        <w:rPr>
          <w:rFonts w:eastAsia="Times New Roman"/>
          <w:b/>
          <w:bCs/>
          <w:i/>
          <w:iCs/>
          <w:color w:val="000000"/>
          <w:sz w:val="23"/>
          <w:szCs w:val="23"/>
          <w:lang w:eastAsia="en-AU"/>
          <w14:ligatures w14:val="standardContextual"/>
        </w:rPr>
        <w:t>B</w:t>
      </w:r>
      <w:r w:rsidRPr="00080391">
        <w:rPr>
          <w:rFonts w:eastAsia="Times New Roman"/>
          <w:i/>
          <w:iCs/>
          <w:color w:val="000000"/>
          <w:sz w:val="23"/>
          <w:szCs w:val="23"/>
          <w:lang w:eastAsia="en-AU"/>
          <w14:ligatures w14:val="standardContextual"/>
        </w:rPr>
        <w:t>.</w:t>
      </w:r>
    </w:p>
    <w:p w14:paraId="5890EC2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Part 4</w:t>
      </w:r>
    </w:p>
    <w:p w14:paraId="4AC0215B"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the tenant on: </w:t>
      </w:r>
      <w:r w:rsidRPr="00080391">
        <w:rPr>
          <w:rFonts w:eastAsia="Times New Roman"/>
          <w:i/>
          <w:iCs/>
          <w:color w:val="000000"/>
          <w:sz w:val="23"/>
          <w:szCs w:val="23"/>
          <w:lang w:eastAsia="en-AU"/>
          <w14:ligatures w14:val="standardContextual"/>
        </w:rPr>
        <w:t>[insert date]</w:t>
      </w:r>
    </w:p>
    <w:p w14:paraId="47CC78B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This notice was served by:</w:t>
      </w:r>
    </w:p>
    <w:p w14:paraId="0A3F404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37927236" w14:textId="12E01D69" w:rsidR="00BB5DE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3AD504AF" w14:textId="77777777" w:rsidR="00BB5DE5" w:rsidRDefault="00BB5DE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83449DA"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5901E79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391D886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emailing it to the tenant: </w:t>
      </w:r>
      <w:r w:rsidRPr="00080391">
        <w:rPr>
          <w:rFonts w:eastAsia="Times New Roman"/>
          <w:i/>
          <w:iCs/>
          <w:color w:val="000000"/>
          <w:sz w:val="23"/>
          <w:szCs w:val="23"/>
          <w:lang w:eastAsia="en-AU"/>
          <w14:ligatures w14:val="standardContextual"/>
        </w:rPr>
        <w:t>[insert email address]</w:t>
      </w:r>
    </w:p>
    <w:p w14:paraId="3D07CD3C"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This notice will be taken to be received by the tenant on the day it is emailed to the tenant. A notice served on the tenant by email should still be signed by the landlord/agent.</w:t>
      </w:r>
    </w:p>
    <w:p w14:paraId="6F59588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w:t>
      </w:r>
    </w:p>
    <w:p w14:paraId="51A5214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Part 5</w:t>
      </w:r>
    </w:p>
    <w:p w14:paraId="46FBA27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3E93EBF2"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Telephone:</w:t>
      </w:r>
    </w:p>
    <w:p w14:paraId="4BCF786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714B114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w:t>
      </w:r>
    </w:p>
    <w:p w14:paraId="67E2FFC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0A7A47B0"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IMPORTANT INFORMATION</w:t>
      </w:r>
    </w:p>
    <w:p w14:paraId="101CE3B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TENANTS</w:t>
      </w:r>
    </w:p>
    <w:p w14:paraId="3F5970F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You may apply to the South Australian Civil and Administrative Tribunal (SACAT) to reinstate the tenancy if you believe you are not in breach of your agreement or the breach has been remedied. If you do not remedy the breach (or apply to SACAT) the tenants and all occupants will need to move out of the premises with their possessions on or before the date specified in </w:t>
      </w:r>
      <w:r w:rsidRPr="00080391">
        <w:rPr>
          <w:rFonts w:eastAsia="Times New Roman"/>
          <w:b/>
          <w:bCs/>
          <w:color w:val="000000"/>
          <w:sz w:val="23"/>
          <w:szCs w:val="23"/>
          <w:lang w:eastAsia="en-AU"/>
          <w14:ligatures w14:val="standardContextual"/>
        </w:rPr>
        <w:t>Part 3</w:t>
      </w:r>
      <w:r w:rsidRPr="00080391">
        <w:rPr>
          <w:rFonts w:eastAsia="Times New Roman"/>
          <w:color w:val="000000"/>
          <w:sz w:val="23"/>
          <w:szCs w:val="23"/>
          <w:lang w:eastAsia="en-AU"/>
          <w14:ligatures w14:val="standardContextual"/>
        </w:rPr>
        <w:t>.</w:t>
      </w:r>
    </w:p>
    <w:p w14:paraId="6550CE56"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If you are a co-tenant under a residential tenancy agreement and your tenancy is terminated due to the actions of another tenant, you may wish to seek advice about negotiating a new tenancy with the landlord, or seek advice on whether options are available to make an application to SACAT.</w:t>
      </w:r>
    </w:p>
    <w:p w14:paraId="6808A211"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LANDLORDS</w:t>
      </w:r>
    </w:p>
    <w:p w14:paraId="2E3E4470"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Rent (or part of rent) must remain unpaid for at least 14 days before serving this notice on the tenant. For example, if rent is paid to 1 March (and rent is payable fortnightly), then this notice can first be served on 17 March for unpaid rent due on 2 March and 16 March. The 14 days do not include the day that rent is due.</w:t>
      </w:r>
    </w:p>
    <w:p w14:paraId="25D4437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If the tenant does not remedy the breach or give up possession of the premises on or before the date specified in </w:t>
      </w:r>
      <w:r w:rsidRPr="00080391">
        <w:rPr>
          <w:rFonts w:eastAsia="Times New Roman"/>
          <w:b/>
          <w:bCs/>
          <w:color w:val="000000"/>
          <w:sz w:val="23"/>
          <w:szCs w:val="23"/>
          <w:lang w:eastAsia="en-AU"/>
          <w14:ligatures w14:val="standardContextual"/>
        </w:rPr>
        <w:t>Part 3</w:t>
      </w:r>
      <w:r w:rsidRPr="00080391">
        <w:rPr>
          <w:rFonts w:eastAsia="Times New Roman"/>
          <w:color w:val="000000"/>
          <w:sz w:val="23"/>
          <w:szCs w:val="23"/>
          <w:lang w:eastAsia="en-AU"/>
          <w14:ligatures w14:val="standardContextual"/>
        </w:rPr>
        <w:t xml:space="preserve">, you </w:t>
      </w:r>
      <w:r w:rsidRPr="00080391">
        <w:rPr>
          <w:rFonts w:eastAsia="Times New Roman"/>
          <w:b/>
          <w:bCs/>
          <w:color w:val="000000"/>
          <w:sz w:val="23"/>
          <w:szCs w:val="23"/>
          <w:lang w:eastAsia="en-AU"/>
          <w14:ligatures w14:val="standardContextual"/>
        </w:rPr>
        <w:t>cannot</w:t>
      </w:r>
      <w:r w:rsidRPr="00080391">
        <w:rPr>
          <w:rFonts w:eastAsia="Times New Roman"/>
          <w:color w:val="000000"/>
          <w:sz w:val="23"/>
          <w:szCs w:val="23"/>
          <w:lang w:eastAsia="en-AU"/>
          <w14:ligatures w14:val="standardContextual"/>
        </w:rPr>
        <w:t xml:space="preserve"> enter the premises unless the tenant has abandoned or voluntarily gives up possession of the premises, or you have applied to the South Australian Civil and Administrative Tribunal (SACAT) and received an order authorising you to take possession. You are not entitled to possession of the premises until the day after the date specified in </w:t>
      </w:r>
      <w:r w:rsidRPr="00080391">
        <w:rPr>
          <w:rFonts w:eastAsia="Times New Roman"/>
          <w:b/>
          <w:bCs/>
          <w:color w:val="000000"/>
          <w:sz w:val="23"/>
          <w:szCs w:val="23"/>
          <w:lang w:eastAsia="en-AU"/>
          <w14:ligatures w14:val="standardContextual"/>
        </w:rPr>
        <w:t>Part 3</w:t>
      </w:r>
      <w:r w:rsidRPr="00080391">
        <w:rPr>
          <w:rFonts w:eastAsia="Times New Roman"/>
          <w:color w:val="000000"/>
          <w:sz w:val="23"/>
          <w:szCs w:val="23"/>
          <w:lang w:eastAsia="en-AU"/>
          <w14:ligatures w14:val="standardContextual"/>
        </w:rPr>
        <w:t>—this is the earliest you can apply to SACAT for an order authorising you to take possession.</w:t>
      </w:r>
    </w:p>
    <w:p w14:paraId="5B2E2B90"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6—</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80A)</w:t>
      </w:r>
    </w:p>
    <w:p w14:paraId="154A17A5" w14:textId="1E7CF825" w:rsidR="00BB5DE5"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landlord on ground of drug contamination</w:t>
      </w:r>
    </w:p>
    <w:p w14:paraId="3B4858A4" w14:textId="77777777" w:rsidR="00BB5DE5" w:rsidRDefault="00BB5DE5">
      <w:pPr>
        <w:spacing w:after="0" w:line="240" w:lineRule="auto"/>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5679D0BC"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lastRenderedPageBreak/>
        <w:t>Note—</w:t>
      </w:r>
    </w:p>
    <w:p w14:paraId="1A499431"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2"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13C6D1C1"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4D69843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landlord and you as tenant in respect of the premises at:</w:t>
      </w:r>
    </w:p>
    <w:p w14:paraId="64015D03"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235A16A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 you have engaged in, or you have allowed another person to engage in, drug related conduct on the premises or ancillary property and testing for contamination indicates that the premises or ancillary property are contaminated as a result of that drug related conduct.</w:t>
      </w:r>
    </w:p>
    <w:p w14:paraId="5224DBD7"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A landlord may terminate a tenancy on this ground immediately.</w:t>
      </w:r>
    </w:p>
    <w:p w14:paraId="6B129DA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to deliver up vacant possession of the premises on </w:t>
      </w:r>
      <w:r w:rsidRPr="00080391">
        <w:rPr>
          <w:rFonts w:eastAsia="Times New Roman"/>
          <w:i/>
          <w:iCs/>
          <w:color w:val="000000"/>
          <w:sz w:val="23"/>
          <w:szCs w:val="23"/>
          <w:lang w:eastAsia="en-AU"/>
          <w14:ligatures w14:val="standardContextual"/>
        </w:rPr>
        <w:t>[insert date on which tenant is required to vacate premises]</w:t>
      </w:r>
    </w:p>
    <w:p w14:paraId="4436BB47"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02BB61D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69A5672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0972E1D2"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174DE49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2246801F"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05ADD8E4"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79665C1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66E7160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4A45BFC6"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70DADA9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170157A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tenant</w:t>
      </w:r>
    </w:p>
    <w:p w14:paraId="298D934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375858F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535B03A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tenant (or on an agent of the tenant)—</w:t>
      </w:r>
    </w:p>
    <w:p w14:paraId="65A90A4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20FBCDA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770DA90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tenant's attention at their last known place of residence, employment or business; or</w:t>
      </w:r>
    </w:p>
    <w:p w14:paraId="621978AF" w14:textId="1F130390" w:rsidR="00BB5DE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377C787D" w14:textId="77777777" w:rsidR="00BB5DE5" w:rsidRDefault="00BB5DE5" w:rsidP="00BB5DE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637AC04" w14:textId="2714E694"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2.</w:t>
      </w:r>
      <w:r w:rsidRPr="00080391">
        <w:rPr>
          <w:rFonts w:eastAsia="Times New Roman"/>
          <w:color w:val="000000"/>
          <w:sz w:val="23"/>
          <w:szCs w:val="23"/>
          <w:lang w:eastAsia="en-AU"/>
          <w14:ligatures w14:val="standardContextual"/>
        </w:rPr>
        <w:tab/>
        <w:t>You sho</w:t>
      </w:r>
      <w:r w:rsidR="00BB5DE5">
        <w:rPr>
          <w:rFonts w:eastAsia="Times New Roman"/>
          <w:color w:val="000000"/>
          <w:sz w:val="23"/>
          <w:szCs w:val="23"/>
          <w:lang w:eastAsia="en-AU"/>
          <w14:ligatures w14:val="standardContextual"/>
        </w:rPr>
        <w:t>u</w:t>
      </w:r>
      <w:r w:rsidRPr="00080391">
        <w:rPr>
          <w:rFonts w:eastAsia="Times New Roman"/>
          <w:color w:val="000000"/>
          <w:sz w:val="23"/>
          <w:szCs w:val="23"/>
          <w:lang w:eastAsia="en-AU"/>
          <w14:ligatures w14:val="standardContextual"/>
        </w:rPr>
        <w:t>ld retain a copy of this notice.</w:t>
      </w:r>
    </w:p>
    <w:p w14:paraId="20CED226"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3960B43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Testing for drug contamination conducted in relation to the premises or ancillary property showed that the premises or ancillary property were contaminated. The cost of such remediation of the contamination may be recovered from the bond, and the landlord may be entitled to further compensation for the remediation.</w:t>
      </w:r>
    </w:p>
    <w:p w14:paraId="4DEEE64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when you vacate the premises, leave them in a reasonable condition and in a reasonably clean state. If you do not, the landlord may recover from the bond, or from you directly, the costs required to remediate the premises (with supporting evidence showing the condition of the premises compared to the start of the tenancy, which demonstrates more than wear and tear).</w:t>
      </w:r>
    </w:p>
    <w:p w14:paraId="6105A13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3005956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When you vacate the premises, ensure that you leave all the keys, remote controls and security devices with the landlord or agent, and notify the electricity entity, gas company, Australia Post, Telstra etc, so that the new tenants do not use gas, electricity and the telephone on your accounts, and so that mail can be forwarded to you.</w:t>
      </w:r>
    </w:p>
    <w:p w14:paraId="6140E6D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If you are a co-tenant under a residential tenancy agreement and your tenancy is terminated due to the actions of another tenant, you may wish to seek advice about negotiating a new tenancy with the landlord, or seek advice on whether options are available to make an application to SACAT.</w:t>
      </w:r>
    </w:p>
    <w:p w14:paraId="11E45A7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7—</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81 or 82)</w:t>
      </w:r>
    </w:p>
    <w:p w14:paraId="0070307A"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of periodic tenancy by landlord because possession is required by landlord</w:t>
      </w:r>
    </w:p>
    <w:p w14:paraId="6B005B3C"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community housing provider (for fixed term or periodic tenancy)</w:t>
      </w:r>
    </w:p>
    <w:p w14:paraId="07B8FF5E"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5F296DD2"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3"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536705BA"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A landlord who is not a registered community housing provider may use this form to terminate a periodic tenancy on a ground (or grounds) set out in this form, and cannot use this form to terminate a fixed term tenancy. If a landlord wishes to terminate a fixed term tenancy at the end of the fixed term, </w:t>
      </w:r>
      <w:hyperlink w:anchor="idecf972cb_8a81_488f_a8ce_4e72993c7824_1" w:history="1">
        <w:r w:rsidRPr="00080391">
          <w:rPr>
            <w:rFonts w:eastAsia="Times New Roman"/>
            <w:i/>
            <w:iCs/>
            <w:color w:val="000000"/>
            <w:sz w:val="20"/>
            <w:szCs w:val="20"/>
            <w:lang w:eastAsia="en-AU"/>
            <w14:ligatures w14:val="standardContextual"/>
          </w:rPr>
          <w:t>Form 9</w:t>
        </w:r>
      </w:hyperlink>
      <w:r w:rsidRPr="00080391">
        <w:rPr>
          <w:rFonts w:eastAsia="Times New Roman"/>
          <w:i/>
          <w:iCs/>
          <w:color w:val="000000"/>
          <w:sz w:val="20"/>
          <w:szCs w:val="20"/>
          <w:lang w:eastAsia="en-AU"/>
          <w14:ligatures w14:val="standardContextual"/>
        </w:rPr>
        <w:t xml:space="preserve"> must be used. In any other case, application must be made to the South Australian Civil and Administrative Tribunal.</w:t>
      </w:r>
    </w:p>
    <w:p w14:paraId="325394C0"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landlord who is a registered community housing provider can use this form to terminate a fixed term or a periodic tenancy.</w:t>
      </w:r>
    </w:p>
    <w:p w14:paraId="4B7E5DF8"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49E7D33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landlord and you as tenant and for you to deliver up vacant possession of the premises at:</w:t>
      </w:r>
    </w:p>
    <w:p w14:paraId="5D9F33A2" w14:textId="09FB1B3C" w:rsidR="00972025" w:rsidRDefault="00080391" w:rsidP="00080391">
      <w:pPr>
        <w:keepLines/>
        <w:autoSpaceDE w:val="0"/>
        <w:autoSpaceDN w:val="0"/>
        <w:adjustRightInd w:val="0"/>
        <w:spacing w:before="120" w:after="0" w:line="240" w:lineRule="auto"/>
        <w:jc w:val="left"/>
        <w:rPr>
          <w:rFonts w:eastAsia="Times New Roman"/>
          <w:i/>
          <w:iCs/>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01507ACF" w14:textId="77777777" w:rsidR="00972025" w:rsidRDefault="00972025" w:rsidP="00972025">
      <w:pPr>
        <w:spacing w:after="0" w:line="80" w:lineRule="exact"/>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3F8CA658"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 xml:space="preserve">on </w:t>
      </w:r>
      <w:r w:rsidRPr="00080391">
        <w:rPr>
          <w:rFonts w:eastAsia="Times New Roman"/>
          <w:i/>
          <w:iCs/>
          <w:color w:val="000000"/>
          <w:sz w:val="23"/>
          <w:szCs w:val="23"/>
          <w:lang w:eastAsia="en-AU"/>
          <w14:ligatures w14:val="standardContextual"/>
        </w:rPr>
        <w:t>[insert date on which tenant is required to vacate premises]</w:t>
      </w:r>
      <w:r w:rsidRPr="00080391">
        <w:rPr>
          <w:rFonts w:eastAsia="Times New Roman"/>
          <w:color w:val="000000"/>
          <w:sz w:val="23"/>
          <w:szCs w:val="23"/>
          <w:lang w:eastAsia="en-AU"/>
          <w14:ligatures w14:val="standardContextual"/>
        </w:rPr>
        <w:t>, being a date that is—</w:t>
      </w:r>
    </w:p>
    <w:p w14:paraId="11D6454E"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appropriate box and complete details as required]</w:t>
      </w:r>
    </w:p>
    <w:p w14:paraId="642D71D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not less than </w:t>
      </w:r>
      <w:r w:rsidRPr="00080391">
        <w:rPr>
          <w:rFonts w:eastAsia="Times New Roman"/>
          <w:i/>
          <w:iCs/>
          <w:color w:val="000000"/>
          <w:sz w:val="23"/>
          <w:szCs w:val="23"/>
          <w:lang w:eastAsia="en-AU"/>
          <w14:ligatures w14:val="standardContextual"/>
        </w:rPr>
        <w:t>[insert number]</w:t>
      </w:r>
      <w:r w:rsidRPr="00080391">
        <w:rPr>
          <w:rFonts w:eastAsia="Times New Roman"/>
          <w:color w:val="000000"/>
          <w:sz w:val="23"/>
          <w:szCs w:val="23"/>
          <w:lang w:eastAsia="en-AU"/>
          <w14:ligatures w14:val="standardContextual"/>
        </w:rPr>
        <w:t xml:space="preserve"> days, if this notice is being given on one (or more) of the following grounds:</w:t>
      </w:r>
    </w:p>
    <w:p w14:paraId="3E742668"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period of notice given on these grounds must be at least 60 days or if, under the terms of the periodic tenancy, rent is payable at intervals of greater than 60 days, that greater period.</w:t>
      </w:r>
    </w:p>
    <w:p w14:paraId="08F24890"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ONE OR MORE OF THE FOLLOWING BOXES TO INDICATE THE GROUND/S</w:t>
      </w:r>
    </w:p>
    <w:p w14:paraId="51D67B8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landlord requires possession of the premises for demolition</w:t>
      </w:r>
    </w:p>
    <w:p w14:paraId="2C4EB5C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landlord requires possession of the premises for repairs or renovations that cannot be carried out conveniently while the tenant remains in possession of the premises</w:t>
      </w:r>
    </w:p>
    <w:p w14:paraId="629F654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landlord requires possession of the premises for the landlord's own occupation, or occupation by the landlord's spouse, child or parent, or occupation by the spouse of the landlord's child or parent</w:t>
      </w:r>
    </w:p>
    <w:p w14:paraId="17FE6A6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landlord requires possession for the landlord to give vacant possession to a purchaser of the premises as they have entered into a contract of sale dated: </w:t>
      </w:r>
      <w:r w:rsidRPr="00080391">
        <w:rPr>
          <w:rFonts w:eastAsia="Times New Roman"/>
          <w:i/>
          <w:iCs/>
          <w:color w:val="000000"/>
          <w:sz w:val="23"/>
          <w:szCs w:val="23"/>
          <w:lang w:eastAsia="en-AU"/>
          <w14:ligatures w14:val="standardContextual"/>
        </w:rPr>
        <w:t>[insert date of contract of sale]</w:t>
      </w:r>
    </w:p>
    <w:p w14:paraId="1643ED8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landlord requires possession of the premises for the purposes of the sale of the premises for which the landlord has entered into a sales agency agreement with a registered agent: </w:t>
      </w:r>
      <w:r w:rsidRPr="00080391">
        <w:rPr>
          <w:rFonts w:eastAsia="Times New Roman"/>
          <w:i/>
          <w:iCs/>
          <w:color w:val="000000"/>
          <w:sz w:val="23"/>
          <w:szCs w:val="23"/>
          <w:lang w:eastAsia="en-AU"/>
          <w14:ligatures w14:val="standardContextual"/>
        </w:rPr>
        <w:t>[insert date of sales agency agreement]</w:t>
      </w:r>
    </w:p>
    <w:p w14:paraId="46FCD353"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If this notice is being given on one of the above grounds, the landlord must provide the tenant with written evidence, as approved by the Commissioner, to support the ground.</w:t>
      </w:r>
    </w:p>
    <w:p w14:paraId="6C43EB3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not less than 28 days, if, this notice is being given on one (or both) of the following grounds:</w:t>
      </w:r>
    </w:p>
    <w:p w14:paraId="04A3BBE8"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ONE OR MORE OF THE FOLLOWING BOXES TO INDICATE THE GROUND/S</w:t>
      </w:r>
    </w:p>
    <w:p w14:paraId="186C70C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have ceased to be a member of the community housing provider</w:t>
      </w:r>
    </w:p>
    <w:p w14:paraId="133020D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you no longer satisfy a condition or conditions specified by the tenancy agreement with the community housing provider as essential to the continuation of the tenancy, namely </w:t>
      </w:r>
      <w:r w:rsidRPr="00080391">
        <w:rPr>
          <w:rFonts w:eastAsia="Times New Roman"/>
          <w:i/>
          <w:iCs/>
          <w:color w:val="000000"/>
          <w:sz w:val="23"/>
          <w:szCs w:val="23"/>
          <w:lang w:eastAsia="en-AU"/>
          <w14:ligatures w14:val="standardContextual"/>
        </w:rPr>
        <w:t>[state condition(s) no longer satisfied by the tenant]</w:t>
      </w:r>
    </w:p>
    <w:p w14:paraId="3867E28B"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046AC89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0F9CFC8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14909412"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098D45E4"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0BBEFD0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38FD5D5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6AF2B91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7CB42D3A" w14:textId="51920489"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69C4E411"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73803FB"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2AFD7C0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598C6CE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tenant</w:t>
      </w:r>
    </w:p>
    <w:p w14:paraId="7B3A37D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037C810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5A6FC30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If the landlord is a registered community housing provider and the tenant has ceased to be a member of the provider or no longer satisfies an essential requirement to remain as a tenant, the period of notice must be at least 28 days.</w:t>
      </w:r>
    </w:p>
    <w:p w14:paraId="0C9A1F0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Except where the landlord is a registered community housing provider, this notice cannot be used if the tenancy has been entered into for a fixed term.</w:t>
      </w:r>
    </w:p>
    <w:p w14:paraId="0FA4A1C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It is a criminal offence under section 81 of the </w:t>
      </w:r>
      <w:hyperlink r:id="rId144"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 xml:space="preserve"> to state a false ground of termination in this notice.</w:t>
      </w:r>
    </w:p>
    <w:p w14:paraId="39DE905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 xml:space="preserve">A landlord who recovers possession of premises under section 81 of the </w:t>
      </w:r>
      <w:hyperlink r:id="rId145"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 xml:space="preserve"> must not, without the consent of the Tribunal, grant a fresh tenancy over the premises before the end of the period specified in section 81(4).</w:t>
      </w:r>
    </w:p>
    <w:p w14:paraId="2A54B6B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Except where the termination is for a failure to pay rent, if the premises are subject to a housing improvement notice or are subject (or potentially subject) to rent control, the Tribunal must give its authorisation to this notice before it is effective.</w:t>
      </w:r>
    </w:p>
    <w:p w14:paraId="0EF28B8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6.</w:t>
      </w:r>
      <w:r w:rsidRPr="00080391">
        <w:rPr>
          <w:rFonts w:eastAsia="Times New Roman"/>
          <w:color w:val="000000"/>
          <w:sz w:val="23"/>
          <w:szCs w:val="23"/>
          <w:lang w:eastAsia="en-AU"/>
          <w14:ligatures w14:val="standardContextual"/>
        </w:rPr>
        <w:tab/>
        <w:t>This notice may be served on the tenant (or on an agent of the tenant)—</w:t>
      </w:r>
    </w:p>
    <w:p w14:paraId="09DECBD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433E3013"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43C71B4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486D31A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2015BCF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7.</w:t>
      </w:r>
      <w:r w:rsidRPr="00080391">
        <w:rPr>
          <w:rFonts w:eastAsia="Times New Roman"/>
          <w:color w:val="000000"/>
          <w:sz w:val="23"/>
          <w:szCs w:val="23"/>
          <w:lang w:eastAsia="en-AU"/>
          <w14:ligatures w14:val="standardContextual"/>
        </w:rPr>
        <w:tab/>
        <w:t xml:space="preserve">Landlords should determine whether the ground specified for termination chosen on this form requires this form to be accompanied by supporting written evidence (see </w:t>
      </w:r>
      <w:hyperlink w:anchor="idb4943a43_27d5_45db_8aca_881fff6e3a" w:history="1">
        <w:r w:rsidRPr="00080391">
          <w:rPr>
            <w:rFonts w:eastAsia="Times New Roman"/>
            <w:color w:val="000000"/>
            <w:sz w:val="23"/>
            <w:szCs w:val="23"/>
            <w:lang w:eastAsia="en-AU"/>
            <w14:ligatures w14:val="standardContextual"/>
          </w:rPr>
          <w:t>regulation 32</w:t>
        </w:r>
      </w:hyperlink>
      <w:r w:rsidRPr="00080391">
        <w:rPr>
          <w:rFonts w:eastAsia="Times New Roman"/>
          <w:color w:val="000000"/>
          <w:sz w:val="23"/>
          <w:szCs w:val="23"/>
          <w:lang w:eastAsia="en-AU"/>
          <w14:ligatures w14:val="standardContextual"/>
        </w:rPr>
        <w:t>). It is also prudent for landlords to seek out the specific written evidence, as approved by the Commissioner for Consumer Affairs, which must support the ground for termination (as published on the CBS website), and retain copies of the written evidence provided to tenants that accompany this form.</w:t>
      </w:r>
    </w:p>
    <w:p w14:paraId="7D000508" w14:textId="3694B75F"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8.</w:t>
      </w:r>
      <w:r w:rsidRPr="00080391">
        <w:rPr>
          <w:rFonts w:eastAsia="Times New Roman"/>
          <w:color w:val="000000"/>
          <w:sz w:val="23"/>
          <w:szCs w:val="23"/>
          <w:lang w:eastAsia="en-AU"/>
          <w14:ligatures w14:val="standardContextual"/>
        </w:rPr>
        <w:tab/>
        <w:t>You should retain a copy of this notice.</w:t>
      </w:r>
    </w:p>
    <w:p w14:paraId="024B824B"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4CDFCEB"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Information for the tenant</w:t>
      </w:r>
    </w:p>
    <w:p w14:paraId="6D6C845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You may vacate the premises before the date specified in this notice. If you give the landlord or agent written notice of at least 7 days before you vacate the premises, you will not be liable to pay rent after the day on which you vacate. If you give the landlord or agent written notice of less than 7 days before you vacate the premises, you will not be liable to pay rent from the 7th day after you give notice to the landlord or agent.</w:t>
      </w:r>
    </w:p>
    <w:p w14:paraId="771D9D3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When you vacate the premises, you should leave them in a reasonable condition and in a reasonably clean state. If you do not, the landlord may recover from the bond, or from you directly, the costs required to remediate the premises (with supporting evidence showing the condition of the premises compared to the start of the tenancy, which demonstrates more than wear and tear).</w:t>
      </w:r>
    </w:p>
    <w:p w14:paraId="462586B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28AE3A2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When you vacate the premises, ensure that you leave all the keys, remote controls and security devices with the landlord or agent, and notify the electricity entity, gas company, Australia Post, Telstra etc, so that the new tenants do not use gas, electricity and the telephone on your accounts, and so that mail can be forwarded to you.</w:t>
      </w:r>
    </w:p>
    <w:p w14:paraId="3EF9C6E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If the landlord has specified 1 of the first 5 grounds for termination listed on this form, they are required to provide you with supporting written evidence as approved by the Commissioner for Consumer Affairs. Please check the CBS website for information on the specific written evidence that has been approved to accompany this form. If the approved written evidence does not accompany this form, the notice of termination may not be valid.</w:t>
      </w:r>
    </w:p>
    <w:p w14:paraId="0F516D5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6.</w:t>
      </w:r>
      <w:r w:rsidRPr="00080391">
        <w:rPr>
          <w:rFonts w:eastAsia="Times New Roman"/>
          <w:color w:val="000000"/>
          <w:sz w:val="23"/>
          <w:szCs w:val="23"/>
          <w:lang w:eastAsia="en-AU"/>
          <w14:ligatures w14:val="standardContextual"/>
        </w:rPr>
        <w:tab/>
        <w:t>If you are a co-tenant under a residential tenancy agreement and your tenancy is terminated due to the actions of another tenant, you may wish to seek advice about negotiating a new tenancy with the landlord, or seek advice on whether options are available to make an application to SACAT.</w:t>
      </w:r>
    </w:p>
    <w:p w14:paraId="41DD0E2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8—</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83)</w:t>
      </w:r>
    </w:p>
    <w:p w14:paraId="5875D78C"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of periodic tenancy by landlord on specified ground</w:t>
      </w:r>
    </w:p>
    <w:p w14:paraId="3BDAF1B9"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59781435"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6"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6EAC1276"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 landlord cannot use this form to terminate a fixed term tenancy. If a landlord wishes to terminate a fixed term tenancy at the end of the fixed term, </w:t>
      </w:r>
      <w:hyperlink w:anchor="idecf972cb_8a81_488f_a8ce_4e72993c7824_1" w:history="1">
        <w:r w:rsidRPr="00080391">
          <w:rPr>
            <w:rFonts w:eastAsia="Times New Roman"/>
            <w:i/>
            <w:iCs/>
            <w:color w:val="000000"/>
            <w:sz w:val="20"/>
            <w:szCs w:val="20"/>
            <w:lang w:eastAsia="en-AU"/>
            <w14:ligatures w14:val="standardContextual"/>
          </w:rPr>
          <w:t>Form 9</w:t>
        </w:r>
      </w:hyperlink>
      <w:r w:rsidRPr="00080391">
        <w:rPr>
          <w:rFonts w:eastAsia="Times New Roman"/>
          <w:i/>
          <w:iCs/>
          <w:color w:val="000000"/>
          <w:sz w:val="20"/>
          <w:szCs w:val="20"/>
          <w:lang w:eastAsia="en-AU"/>
          <w14:ligatures w14:val="standardContextual"/>
        </w:rPr>
        <w:t xml:space="preserve"> must be used (or, if the landlord is a registered community housing provider, </w:t>
      </w:r>
      <w:hyperlink w:anchor="id05d9bf08_c84c_4988_a89a_2648db0b762f_6" w:history="1">
        <w:r w:rsidRPr="00080391">
          <w:rPr>
            <w:rFonts w:eastAsia="Times New Roman"/>
            <w:i/>
            <w:iCs/>
            <w:color w:val="000000"/>
            <w:sz w:val="20"/>
            <w:szCs w:val="20"/>
            <w:lang w:eastAsia="en-AU"/>
            <w14:ligatures w14:val="standardContextual"/>
          </w:rPr>
          <w:t>Form 7</w:t>
        </w:r>
      </w:hyperlink>
      <w:r w:rsidRPr="00080391">
        <w:rPr>
          <w:rFonts w:eastAsia="Times New Roman"/>
          <w:i/>
          <w:iCs/>
          <w:color w:val="000000"/>
          <w:sz w:val="20"/>
          <w:szCs w:val="20"/>
          <w:lang w:eastAsia="en-AU"/>
          <w14:ligatures w14:val="standardContextual"/>
        </w:rPr>
        <w:t xml:space="preserve"> may be used if it is applicable). In any other case, application must be made to the South Australian Civil and Administrative Tribunal.</w:t>
      </w:r>
    </w:p>
    <w:p w14:paraId="5A4D379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5F59BBD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landlord and you as tenant and for you to deliver up vacant possession of the premises at:</w:t>
      </w:r>
    </w:p>
    <w:p w14:paraId="10894011"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7C6B8EC9" w14:textId="07621191" w:rsidR="00972025"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w:t>
      </w:r>
    </w:p>
    <w:p w14:paraId="5848A93D"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551A137"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TICK ONE OR MORE OF THE FOLLOWING BOXES TO INDICATE THE GROUND/S</w:t>
      </w:r>
    </w:p>
    <w:p w14:paraId="67A29FE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either you or a person you permitted to enter the premises gave rise to a serious risk to the life, health or safety of the landlord, the landlord's agent or a person who resides in the immediate vicinity of the premises</w:t>
      </w:r>
    </w:p>
    <w:p w14:paraId="64DD7AD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either you or another person residing at the premises threatened or intimidated the landlord, the landlord's agent or a contractor or employee of the landlord or agent</w:t>
      </w:r>
    </w:p>
    <w:p w14:paraId="1FBDA79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kept a pet on the premises without the required authorisation</w:t>
      </w:r>
    </w:p>
    <w:p w14:paraId="49D291B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induced the landlord to enter into the tenancy by a statement or representation about your identity or place of occupation that you knew to be false, misleading or deceptive, or by knowingly concealing a material fact in respect of your identity or place of occupation</w:t>
      </w:r>
    </w:p>
    <w:p w14:paraId="2E2CCEC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it was a term of the residential tenancy agreement that you meet the eligibility requirements of the charity, being the landlord, to reside at the premises and you no longer meet the eligibility requirements</w:t>
      </w:r>
    </w:p>
    <w:p w14:paraId="0804A19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it was a term of the residential tenancy agreement that you meet the eligibility requirements under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 to reside at the premises and you no longer meet the eligibility requirements</w:t>
      </w:r>
    </w:p>
    <w:p w14:paraId="34B7479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it was a term of the residential tenancy agreement that you be a student of an educational institution and you are no longer a student of the institution</w:t>
      </w:r>
    </w:p>
    <w:p w14:paraId="7643294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it was a term of the residential tenancy agreement that you be an employee of the landlord and you are no longer the landlord's employee</w:t>
      </w:r>
    </w:p>
    <w:p w14:paraId="09926694"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[insert the particulars of the ground/s of the termination]</w:t>
      </w:r>
    </w:p>
    <w:p w14:paraId="5075E5A6"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Pr="00080391">
        <w:rPr>
          <w:rFonts w:eastAsia="Times New Roman"/>
          <w:i/>
          <w:iCs/>
          <w:color w:val="000000"/>
          <w:sz w:val="23"/>
          <w:szCs w:val="23"/>
          <w:lang w:eastAsia="en-AU"/>
          <w14:ligatures w14:val="standardContextual"/>
        </w:rPr>
        <w:t>[insert date on which tenant is required to vacate premises]</w:t>
      </w:r>
    </w:p>
    <w:p w14:paraId="55F7FFB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being a date that is at least 90 days after this notice is given.</w:t>
      </w:r>
    </w:p>
    <w:p w14:paraId="261B388D"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7D553DD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4A32E31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1D3E857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02929168"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4BE0E33A"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0D79F481"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1AA5A77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60167FA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5A2D354A"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1362341F" w14:textId="77777777" w:rsidR="00080391" w:rsidRPr="00080391" w:rsidRDefault="00080391" w:rsidP="00972025">
      <w:pPr>
        <w:keepLines/>
        <w:tabs>
          <w:tab w:val="center" w:pos="397"/>
          <w:tab w:val="left" w:pos="794"/>
        </w:tabs>
        <w:autoSpaceDE w:val="0"/>
        <w:autoSpaceDN w:val="0"/>
        <w:adjustRightInd w:val="0"/>
        <w:spacing w:before="115"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397653BE" w14:textId="77777777" w:rsidR="00080391" w:rsidRPr="00080391" w:rsidRDefault="00080391" w:rsidP="00972025">
      <w:pPr>
        <w:keepLines/>
        <w:tabs>
          <w:tab w:val="center" w:pos="397"/>
          <w:tab w:val="left" w:pos="794"/>
        </w:tabs>
        <w:autoSpaceDE w:val="0"/>
        <w:autoSpaceDN w:val="0"/>
        <w:adjustRightInd w:val="0"/>
        <w:spacing w:before="115"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tenant</w:t>
      </w:r>
    </w:p>
    <w:p w14:paraId="0B7768A2" w14:textId="5F65C869" w:rsidR="00972025" w:rsidRDefault="00080391" w:rsidP="00972025">
      <w:pPr>
        <w:keepLines/>
        <w:tabs>
          <w:tab w:val="center" w:pos="397"/>
          <w:tab w:val="left" w:pos="794"/>
        </w:tabs>
        <w:autoSpaceDE w:val="0"/>
        <w:autoSpaceDN w:val="0"/>
        <w:adjustRightInd w:val="0"/>
        <w:spacing w:before="115" w:after="0" w:line="240" w:lineRule="auto"/>
        <w:ind w:left="794" w:hanging="794"/>
        <w:jc w:val="left"/>
        <w:rPr>
          <w:rFonts w:eastAsia="Times New Roman"/>
          <w:i/>
          <w:iCs/>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5EC64C4B" w14:textId="77777777" w:rsidR="00972025" w:rsidRDefault="00972025" w:rsidP="00972025">
      <w:pPr>
        <w:spacing w:after="0" w:line="80" w:lineRule="exact"/>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7EF5C2B3"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Information for the landlord</w:t>
      </w:r>
    </w:p>
    <w:p w14:paraId="353B418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cannot be used if the tenancy has been entered into for a fixed term.</w:t>
      </w:r>
    </w:p>
    <w:p w14:paraId="3D4E365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This notice may be served on the tenant (or on an agent of the tenant)—</w:t>
      </w:r>
    </w:p>
    <w:p w14:paraId="7C88181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0C12600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37FA2B9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1366BA7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670C17B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You should retain a copy of this notice.</w:t>
      </w:r>
    </w:p>
    <w:p w14:paraId="55F66899"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69179A5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If your tenancy agreement is for a periodic tenancy and you wish to leave the rented premises </w:t>
      </w:r>
      <w:r w:rsidRPr="00080391">
        <w:rPr>
          <w:rFonts w:eastAsia="Times New Roman"/>
          <w:color w:val="000000"/>
          <w:sz w:val="23"/>
          <w:szCs w:val="23"/>
          <w:u w:val="single"/>
          <w:lang w:eastAsia="en-AU"/>
          <w14:ligatures w14:val="standardContextual"/>
        </w:rPr>
        <w:t>before</w:t>
      </w:r>
      <w:r w:rsidRPr="00080391">
        <w:rPr>
          <w:rFonts w:eastAsia="Times New Roman"/>
          <w:color w:val="000000"/>
          <w:sz w:val="23"/>
          <w:szCs w:val="23"/>
          <w:lang w:eastAsia="en-AU"/>
          <w14:ligatures w14:val="standardContextual"/>
        </w:rPr>
        <w:t xml:space="preserve"> the date on which the landlord has indicated vacant possession of the premises is required, you may do so by serving a notice of termination (see </w:t>
      </w:r>
      <w:hyperlink w:anchor="id68cd6f65_2912_4bcf_b48d_0cba2fd1c317_e" w:history="1">
        <w:r w:rsidRPr="00080391">
          <w:rPr>
            <w:rFonts w:eastAsia="Times New Roman"/>
            <w:color w:val="000000"/>
            <w:sz w:val="23"/>
            <w:szCs w:val="23"/>
            <w:lang w:eastAsia="en-AU"/>
            <w14:ligatures w14:val="standardContextual"/>
          </w:rPr>
          <w:t>Form 16</w:t>
        </w:r>
      </w:hyperlink>
      <w:r w:rsidRPr="00080391">
        <w:rPr>
          <w:rFonts w:eastAsia="Times New Roman"/>
          <w:color w:val="000000"/>
          <w:sz w:val="23"/>
          <w:szCs w:val="23"/>
          <w:lang w:eastAsia="en-AU"/>
          <w14:ligatures w14:val="standardContextual"/>
        </w:rPr>
        <w:t>) on the landlord at least 21 days before leaving, or a period equivalent to a single rental period of your tenancy (whichever is longer).</w:t>
      </w:r>
    </w:p>
    <w:p w14:paraId="4989A106"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Example—</w:t>
      </w:r>
    </w:p>
    <w:p w14:paraId="3FF348B5"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If you pay rent per calendar month, instead of giving written notice of 21 days, you would be required to give written notice of 1 calendar month.</w:t>
      </w:r>
    </w:p>
    <w:p w14:paraId="7339265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When you vacate the premises, you should leave them in a reasonable condition and in a reasonably clean state. If you do not, the landlord may recover from the bond, or from you directly, the costs required to remediate the premises (with supporting evidence showing the condition of the premises compared to the start of the tenancy, which demonstrates more than wear and tear).</w:t>
      </w:r>
    </w:p>
    <w:p w14:paraId="727FADB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2739346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When you vacate the premises, ensure that you leave all the keys, remote controls and security devices with the landlord or agent, and notify the electricity entity, gas company, Australia Post, Telstra etc, so that the new tenants do not use gas, electricity and the telephone on your accounts, and so that mail can be forwarded to you.</w:t>
      </w:r>
    </w:p>
    <w:p w14:paraId="589C404A" w14:textId="43609D15" w:rsidR="00767D9F"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If you are a co-tenant under a residential tenancy agreement and your tenancy is terminated due to the actions of another tenant, you may wish to seek advice about negotiating a new tenancy with the landlord, or seek advice on whether options are available to make an application to SACAT.</w:t>
      </w:r>
    </w:p>
    <w:p w14:paraId="6C770325" w14:textId="77777777" w:rsidR="00767D9F" w:rsidRDefault="00767D9F">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D5B2DCC"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Form 9—</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83A)</w:t>
      </w:r>
    </w:p>
    <w:p w14:paraId="2DF8DFED"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landlord at end of fixed term tenancy (General Form)</w:t>
      </w:r>
    </w:p>
    <w:p w14:paraId="3FB34178"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5AE35F2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7"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5FC71F3B"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A landlord may end a fixed term residential tenancy agreement at the end of the fixed term on a ground of termination set out in this notice after giving notice of at least 60 days to the tenant. If notice is not given, the agreement continues for a periodic tenancy, with a tenancy period equivalent to the interval between rental payment times under the agreement and with terms of agreement that in other respects are the same as those applying under the agreement immediately before the end of the fixed term.</w:t>
      </w:r>
    </w:p>
    <w:p w14:paraId="75060B1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03E5ABA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landlord and you as tenant and for you to deliver up vacant possession of the premises at:</w:t>
      </w:r>
    </w:p>
    <w:p w14:paraId="1CF72E90"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51C21EAE"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w:t>
      </w:r>
    </w:p>
    <w:p w14:paraId="1F1FE74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ONE OR MORE OF THE FOLLOWING BOXES TO INDICATE THE GROUND/S</w:t>
      </w:r>
    </w:p>
    <w:p w14:paraId="25F8887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landlord requires possession of the premises for demolition</w:t>
      </w:r>
    </w:p>
    <w:p w14:paraId="4A98898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landlord requires possession of the premises for repairs or renovations that cannot be carried out conveniently while you remain in possession of the premises</w:t>
      </w:r>
    </w:p>
    <w:p w14:paraId="58E2199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landlord requires possession of the premises for the landlord's own occupation, or occupation by the landlord's spouse, child or parent, or occupation by the spouse of the landlord's child or parent</w:t>
      </w:r>
    </w:p>
    <w:p w14:paraId="74FCFCF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landlord requires possession for the landlord to give vacant possession to a purchaser of the premises as they have entered into a contract of sale dated: </w:t>
      </w:r>
      <w:r w:rsidRPr="00080391">
        <w:rPr>
          <w:rFonts w:eastAsia="Times New Roman"/>
          <w:i/>
          <w:iCs/>
          <w:color w:val="000000"/>
          <w:sz w:val="23"/>
          <w:szCs w:val="23"/>
          <w:lang w:eastAsia="en-AU"/>
          <w14:ligatures w14:val="standardContextual"/>
        </w:rPr>
        <w:t>[insert date of contract of sale]</w:t>
      </w:r>
    </w:p>
    <w:p w14:paraId="288074C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landlord requires possession of the premises for the purposes of the sale of the premises for which the landlord has entered into a sales agency agreement with a registered agent: </w:t>
      </w:r>
      <w:r w:rsidRPr="00080391">
        <w:rPr>
          <w:rFonts w:eastAsia="Times New Roman"/>
          <w:i/>
          <w:iCs/>
          <w:color w:val="000000"/>
          <w:sz w:val="23"/>
          <w:szCs w:val="23"/>
          <w:lang w:eastAsia="en-AU"/>
          <w14:ligatures w14:val="standardContextual"/>
        </w:rPr>
        <w:t>[insert date of sales agency agreement]</w:t>
      </w:r>
    </w:p>
    <w:p w14:paraId="630CDE3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If this notice is being given on one of the above grounds, the landlord must provide the tenant with written evidence, as approved by the Commissioner, to support the ground.</w:t>
      </w:r>
    </w:p>
    <w:p w14:paraId="7FB5E1B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either you or a person you permitted to enter the premises intentionally or negligently caused serious damage to the premises, an area near the premises or safety equipment located on the premises or an area near the premises</w:t>
      </w:r>
    </w:p>
    <w:p w14:paraId="7FA0D50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either you or a person you permitted to enter the premises gave rise to a serious risk to the life, health or safety of the landlord, the landlord's agent or a person who resides in the immediate vicinity of the premises</w:t>
      </w:r>
    </w:p>
    <w:p w14:paraId="5818C27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caused or permitted the premises to be unfit for human habitation, destroyed totally or destroyed to the extent that they are unsafe</w:t>
      </w:r>
    </w:p>
    <w:p w14:paraId="48E8F1C6" w14:textId="6B24D166"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either you or another person residing at the premises threatened or intimidated the landlord, the landlord's agent or a contractor or employee of the landlord or agent</w:t>
      </w:r>
    </w:p>
    <w:p w14:paraId="7E821C1B"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B9008A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have been given 2 notices for breaching the residential tenancy agreement for the same or substantially similar breach, and you have breached the agreement a third time in the same or substantially similar manner as set out in the first 2 notices</w:t>
      </w:r>
    </w:p>
    <w:p w14:paraId="4FA8D2B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have used the premises, or caused the premises to be used, for an illegal purpose (including drug related conduct)</w:t>
      </w:r>
    </w:p>
    <w:p w14:paraId="1AA7E35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failed to pay the bond in accordance with the residential tenancy agreement</w:t>
      </w:r>
    </w:p>
    <w:p w14:paraId="35C8361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kept a pet on the premises without the required authorisation</w:t>
      </w:r>
    </w:p>
    <w:p w14:paraId="5CCF51B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induced the landlord to enter into the tenancy by a statement or representation about your identity or place of occupation that you knew to be false, misleading or deceptive, or by knowingly concealing a material fact in respect of your identity or place of occupation</w:t>
      </w:r>
    </w:p>
    <w:p w14:paraId="187EB90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it was a term of the residential tenancy agreement that you meet the eligibility requirements of the charity, being the landlord, to reside at the premises and you no longer meet the eligibility requirements</w:t>
      </w:r>
    </w:p>
    <w:p w14:paraId="508C98A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it was a term of the residential tenancy agreement that you meet the eligibility requirements under the </w:t>
      </w:r>
      <w:r w:rsidRPr="00080391">
        <w:rPr>
          <w:rFonts w:eastAsia="Times New Roman"/>
          <w:i/>
          <w:iCs/>
          <w:color w:val="000000"/>
          <w:sz w:val="23"/>
          <w:szCs w:val="23"/>
          <w:lang w:eastAsia="en-AU"/>
          <w14:ligatures w14:val="standardContextual"/>
        </w:rPr>
        <w:t>National Rental Affordability Scheme Regulations 2020</w:t>
      </w:r>
      <w:r w:rsidRPr="00080391">
        <w:rPr>
          <w:rFonts w:eastAsia="Times New Roman"/>
          <w:color w:val="000000"/>
          <w:sz w:val="23"/>
          <w:szCs w:val="23"/>
          <w:lang w:eastAsia="en-AU"/>
          <w14:ligatures w14:val="standardContextual"/>
        </w:rPr>
        <w:t xml:space="preserve"> of the Commonwealth to reside at the premises and you no longer meet the eligibility requirements</w:t>
      </w:r>
    </w:p>
    <w:p w14:paraId="3CC851F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it was a term of the residential tenancy agreement that you be a student of an educational institution and you are no longer a student of the institution</w:t>
      </w:r>
    </w:p>
    <w:p w14:paraId="6BFC9B9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it was a term of the residential tenancy agreement that you be an employee of the landlord and you are no longer the landlord's employee</w:t>
      </w:r>
    </w:p>
    <w:p w14:paraId="54EAA2B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you failed to accept an offer made by the landlord (who is a purpose-built student accommodation provider) to extend or renew the residential tenancy agreement within 30 days of receiving the offer</w:t>
      </w:r>
    </w:p>
    <w:p w14:paraId="48700CE2"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0DAB16DE"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 xml:space="preserve">A purpose-built student accommodation provider who terminates a residential tenancy agreement on the above ground must not impose a charge or a fee to the tenant due to the termination of the agreement or because the tenant failed to accept in writing the offer within the time required (see </w:t>
      </w:r>
      <w:hyperlink w:anchor="idbc8cd425_5f97_4587_8b92_221f6e4358" w:history="1">
        <w:r w:rsidRPr="00080391">
          <w:rPr>
            <w:rFonts w:eastAsia="Times New Roman"/>
            <w:color w:val="000000"/>
            <w:sz w:val="20"/>
            <w:szCs w:val="20"/>
            <w:lang w:eastAsia="en-AU"/>
            <w14:ligatures w14:val="standardContextual"/>
          </w:rPr>
          <w:t>regulation 25(2)</w:t>
        </w:r>
      </w:hyperlink>
      <w:r w:rsidRPr="00080391">
        <w:rPr>
          <w:rFonts w:eastAsia="Times New Roman"/>
          <w:color w:val="000000"/>
          <w:sz w:val="20"/>
          <w:szCs w:val="20"/>
          <w:lang w:eastAsia="en-AU"/>
          <w14:ligatures w14:val="standardContextual"/>
        </w:rPr>
        <w:t>).</w:t>
      </w:r>
    </w:p>
    <w:p w14:paraId="7798F12D"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See also section 53 of the Act under which a purpose-built student accommodation provider must not receive payment for the residential tenancy from the tenant other than rent and bond.</w:t>
      </w:r>
    </w:p>
    <w:p w14:paraId="416943D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[insert the particulars of the ground/s of the termination]</w:t>
      </w:r>
    </w:p>
    <w:p w14:paraId="7E5C1F36"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Pr="00080391">
        <w:rPr>
          <w:rFonts w:eastAsia="Times New Roman"/>
          <w:i/>
          <w:iCs/>
          <w:color w:val="000000"/>
          <w:sz w:val="23"/>
          <w:szCs w:val="23"/>
          <w:lang w:eastAsia="en-AU"/>
          <w14:ligatures w14:val="standardContextual"/>
        </w:rPr>
        <w:t>[insert date the fixed term ends]</w:t>
      </w:r>
      <w:r w:rsidRPr="00080391">
        <w:rPr>
          <w:rFonts w:eastAsia="Times New Roman"/>
          <w:color w:val="000000"/>
          <w:sz w:val="23"/>
          <w:szCs w:val="23"/>
          <w:lang w:eastAsia="en-AU"/>
          <w14:ligatures w14:val="standardContextual"/>
        </w:rPr>
        <w:t>, being a date that is at least 60 days after this notice is given.</w:t>
      </w:r>
    </w:p>
    <w:p w14:paraId="2F265CD8"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6DC4989E"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2A1FD08C"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21905B1C"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landlord/agent:</w:t>
      </w:r>
    </w:p>
    <w:p w14:paraId="3A040941"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47E3D269"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0A0BF12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072EDA9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2B852EB2" w14:textId="1BC170B4"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670D5BF7" w14:textId="77777777" w:rsidR="00972025" w:rsidRDefault="00972025" w:rsidP="0097202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F5D39F5"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268536E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5F993AE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tenant</w:t>
      </w:r>
    </w:p>
    <w:p w14:paraId="14748B3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560E007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7234D19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A landlord who recovers possession of premises under section 83A of the </w:t>
      </w:r>
      <w:hyperlink r:id="rId148"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 xml:space="preserve"> on 1 of the first 5 grounds specified in this notice must not, without the consent of the Tribunal, grant a fresh tenancy over the premises before the end of the period specified in section 91A.</w:t>
      </w:r>
    </w:p>
    <w:p w14:paraId="6F5A3B9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This notice may be served on the tenant (or an agent of the tenant)—</w:t>
      </w:r>
    </w:p>
    <w:p w14:paraId="73ACFBA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4E40045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08F4995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2AAB568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0A2259A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 xml:space="preserve">Landlords should determine whether the ground specified for termination chosen on this form requires this form to be accompanied by supporting written evidence (see </w:t>
      </w:r>
      <w:hyperlink w:anchor="idb4943a43_27d5_45db_8aca_881fff6e3a" w:history="1">
        <w:r w:rsidRPr="00080391">
          <w:rPr>
            <w:rFonts w:eastAsia="Times New Roman"/>
            <w:color w:val="000000"/>
            <w:sz w:val="23"/>
            <w:szCs w:val="23"/>
            <w:lang w:eastAsia="en-AU"/>
            <w14:ligatures w14:val="standardContextual"/>
          </w:rPr>
          <w:t>regulation 32</w:t>
        </w:r>
      </w:hyperlink>
      <w:r w:rsidRPr="00080391">
        <w:rPr>
          <w:rFonts w:eastAsia="Times New Roman"/>
          <w:color w:val="000000"/>
          <w:sz w:val="23"/>
          <w:szCs w:val="23"/>
          <w:lang w:eastAsia="en-AU"/>
          <w14:ligatures w14:val="standardContextual"/>
        </w:rPr>
        <w:t>). It is also prudent for landlords to seek out the specific written evidence, as approved by the Commissioner for Consumer Affairs, which must support the ground for termination (as published on the CBS website), and retain copies of the written evidence provided to tenants that accompany this form.</w:t>
      </w:r>
    </w:p>
    <w:p w14:paraId="62D6E7E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You should retain a copy of this notice.</w:t>
      </w:r>
    </w:p>
    <w:p w14:paraId="698BB9F9"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306A679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you vacate the premises, you should leave them in a reasonable condition and in a reasonably clean state. If you do not, the landlord may recover from the bond, or from you directly, the costs required to remediate the premises (with supporting evidence showing the condition of the premises compared to the start of the tenancy, which demonstrates more than wear and tear).</w:t>
      </w:r>
    </w:p>
    <w:p w14:paraId="7D15C9E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47F06569" w14:textId="04CBBDEE"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you vacate the premises, ensure that you leave all the keys, remote controls and security devices with the landlord or agent, and notify the electricity entity, gas company, Australia Post, Telstra etc, so that the new tenants do not use gas, electricity and the telephone on your accounts, and so that mail can be forwarded to you.</w:t>
      </w:r>
    </w:p>
    <w:p w14:paraId="1741FF4C" w14:textId="77777777" w:rsidR="00972025" w:rsidRDefault="00972025" w:rsidP="0097202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C6F3E9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4.</w:t>
      </w:r>
      <w:r w:rsidRPr="00080391">
        <w:rPr>
          <w:rFonts w:eastAsia="Times New Roman"/>
          <w:color w:val="000000"/>
          <w:sz w:val="23"/>
          <w:szCs w:val="23"/>
          <w:lang w:eastAsia="en-AU"/>
          <w14:ligatures w14:val="standardContextual"/>
        </w:rPr>
        <w:tab/>
        <w:t>If the landlord has specified 1 of the first 5 grounds for termination listed on this form, they are required to provide you with supporting written evidence as approved by the Commissioner for Consumer Affairs. Please check the CBS website for information on the specific written evidence that has been approved to accompany this form. If the approved written evidence does not accompany this form, the notice of termination may not be valid.</w:t>
      </w:r>
    </w:p>
    <w:p w14:paraId="02C111B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5.</w:t>
      </w:r>
      <w:r w:rsidRPr="00080391">
        <w:rPr>
          <w:rFonts w:eastAsia="Times New Roman"/>
          <w:color w:val="000000"/>
          <w:sz w:val="23"/>
          <w:szCs w:val="23"/>
          <w:lang w:eastAsia="en-AU"/>
          <w14:ligatures w14:val="standardContextual"/>
        </w:rPr>
        <w:tab/>
        <w:t>If you are a co-tenant under a residential tenancy agreement and your tenancy is terminated due to the actions of another tenant, you may wish to seek advice about negotiating a new tenancy with the landlord, or seek advice on whether options are available to make an application to SACAT.</w:t>
      </w:r>
    </w:p>
    <w:p w14:paraId="43D10121"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10—</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83B)</w:t>
      </w:r>
    </w:p>
    <w:p w14:paraId="4425278E"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landlord where agreement frustrated</w:t>
      </w:r>
    </w:p>
    <w:p w14:paraId="606B57E3"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11178F7C"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49"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4FE850B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tenant]</w:t>
      </w:r>
    </w:p>
    <w:p w14:paraId="1E6DD0C1"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landlord and you as tenant in respect of the premises at:</w:t>
      </w:r>
    </w:p>
    <w:p w14:paraId="75EE4624"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5105BE99"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w:t>
      </w:r>
    </w:p>
    <w:p w14:paraId="646DE69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have been destroyed or rendered uninhabitable</w:t>
      </w:r>
    </w:p>
    <w:p w14:paraId="67344E73"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A landlord may terminate a tenancy on this ground immediately.</w:t>
      </w:r>
    </w:p>
    <w:p w14:paraId="5CB28DE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have ceased to be lawfully usable for residential purposes</w:t>
      </w:r>
    </w:p>
    <w:p w14:paraId="48FBE2D7"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A landlord may terminate a tenancy on this ground immediately.</w:t>
      </w:r>
    </w:p>
    <w:p w14:paraId="023A23D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have been acquired by compulsory process</w:t>
      </w:r>
    </w:p>
    <w:p w14:paraId="0B7E428E"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period of notice given on these grounds must be at least 60 days.</w:t>
      </w:r>
    </w:p>
    <w:p w14:paraId="05CC0BB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to deliver up vacant possession of the premises on </w:t>
      </w:r>
      <w:r w:rsidRPr="00080391">
        <w:rPr>
          <w:rFonts w:eastAsia="Times New Roman"/>
          <w:i/>
          <w:iCs/>
          <w:color w:val="000000"/>
          <w:sz w:val="23"/>
          <w:szCs w:val="23"/>
          <w:lang w:eastAsia="en-AU"/>
          <w14:ligatures w14:val="standardContextual"/>
        </w:rPr>
        <w:t>[insert date on which tenant is required to vacate premises]</w:t>
      </w:r>
    </w:p>
    <w:p w14:paraId="7FE9686B"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landlord/agent:</w:t>
      </w:r>
    </w:p>
    <w:p w14:paraId="3857CDB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1B7C516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landlord/agent:</w:t>
      </w:r>
    </w:p>
    <w:p w14:paraId="0B4CC24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landlord/agent:</w:t>
      </w:r>
    </w:p>
    <w:p w14:paraId="1AC5E50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34F0F399"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1ABE003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0619EF7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tenant</w:t>
      </w:r>
    </w:p>
    <w:p w14:paraId="2C050472" w14:textId="7ABB2DED"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tenant</w:t>
      </w:r>
    </w:p>
    <w:p w14:paraId="79DDD7FA"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7885D2F"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landlord/agent should ensure an appropriate postage delivery time frame is taken into consideration. The landlord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256BB0C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tenant's letterbox</w:t>
      </w:r>
    </w:p>
    <w:p w14:paraId="2F68F6C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tenant</w:t>
      </w:r>
    </w:p>
    <w:p w14:paraId="68CF937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7E5858D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1E5668C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tenant (or on an agent of the tenant)—</w:t>
      </w:r>
    </w:p>
    <w:p w14:paraId="73FDBD2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684E89D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280ABC9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3EF1011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3EC4615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0ED836F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17C1066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If your tenancy agreement is for a periodic tenancy and you wish to leave the rented premises </w:t>
      </w:r>
      <w:r w:rsidRPr="00080391">
        <w:rPr>
          <w:rFonts w:eastAsia="Times New Roman"/>
          <w:color w:val="000000"/>
          <w:sz w:val="23"/>
          <w:szCs w:val="23"/>
          <w:u w:val="single"/>
          <w:lang w:eastAsia="en-AU"/>
          <w14:ligatures w14:val="standardContextual"/>
        </w:rPr>
        <w:t>before</w:t>
      </w:r>
      <w:r w:rsidRPr="00080391">
        <w:rPr>
          <w:rFonts w:eastAsia="Times New Roman"/>
          <w:color w:val="000000"/>
          <w:sz w:val="23"/>
          <w:szCs w:val="23"/>
          <w:lang w:eastAsia="en-AU"/>
          <w14:ligatures w14:val="standardContextual"/>
        </w:rPr>
        <w:t xml:space="preserve"> the date on which the landlord has indicated vacant possession of the premises is required, you may do so by serving a notice of termination (see </w:t>
      </w:r>
      <w:hyperlink w:anchor="id68cd6f65_2912_4bcf_b48d_0cba2fd1c317_e" w:history="1">
        <w:r w:rsidRPr="00080391">
          <w:rPr>
            <w:rFonts w:eastAsia="Times New Roman"/>
            <w:color w:val="000000"/>
            <w:sz w:val="23"/>
            <w:szCs w:val="23"/>
            <w:lang w:eastAsia="en-AU"/>
            <w14:ligatures w14:val="standardContextual"/>
          </w:rPr>
          <w:t>Form 16</w:t>
        </w:r>
      </w:hyperlink>
      <w:r w:rsidRPr="00080391">
        <w:rPr>
          <w:rFonts w:eastAsia="Times New Roman"/>
          <w:color w:val="000000"/>
          <w:sz w:val="23"/>
          <w:szCs w:val="23"/>
          <w:lang w:eastAsia="en-AU"/>
          <w14:ligatures w14:val="standardContextual"/>
        </w:rPr>
        <w:t>) on the landlord at least 21 days before leaving, or a period equivalent to a single rental period of your tenancy (whichever is longer).</w:t>
      </w:r>
    </w:p>
    <w:p w14:paraId="631EABFA"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Example—</w:t>
      </w:r>
    </w:p>
    <w:p w14:paraId="2AB86F83" w14:textId="77777777" w:rsidR="00080391" w:rsidRPr="00080391" w:rsidRDefault="00080391" w:rsidP="00080391">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If you pay rent per calendar month, instead of giving written notice of 21 days, you would be required to give written notice of 1 calendar month.</w:t>
      </w:r>
    </w:p>
    <w:p w14:paraId="009AB85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when you vacate the premises, leave them in a reasonable condition and in a reasonably clean state (however this obligation may not apply if the premises are rendered uninhabitable). If you do not, the landlord may recover from the bond, or from you directly, the costs required to remediate the premises (with supporting evidence showing the condition of the premises compared to the start of the tenancy, which demonstrates more than wear and tear).</w:t>
      </w:r>
    </w:p>
    <w:p w14:paraId="4A9E29C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If possible, you should agree with the landlord on how the bond should be paid. Applications for bond payments are generally made online with Consumer and Business Services. If agreement cannot be reached with the landlord, you should contact Consumer and Business Services.</w:t>
      </w:r>
    </w:p>
    <w:p w14:paraId="30B5D17F" w14:textId="048C2324"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When you vacate the premises, ensure that you leave all the keys, remote controls and security devices with the landlord or agent, and notify the electricity entity, gas company, Australia Post, Telstra etc, so that the new tenants do not use gas, electricity and the telephone on your accounts, and so that mail can be forwarded to you.</w:t>
      </w:r>
    </w:p>
    <w:p w14:paraId="0F2CC12C"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A32D36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5.</w:t>
      </w:r>
      <w:r w:rsidRPr="00080391">
        <w:rPr>
          <w:rFonts w:eastAsia="Times New Roman"/>
          <w:color w:val="000000"/>
          <w:sz w:val="23"/>
          <w:szCs w:val="23"/>
          <w:lang w:eastAsia="en-AU"/>
          <w14:ligatures w14:val="standardContextual"/>
        </w:rPr>
        <w:tab/>
        <w:t>If you are a co-tenant under a residential tenancy agreement and your tenancy is terminated due to the actions of another tenant, you may wish to seek advice about negotiating a new tenancy with the landlord, or seek advice on whether options are available to make an application to SACAT.</w:t>
      </w:r>
    </w:p>
    <w:p w14:paraId="1AE4B6DD"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11—</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85)</w:t>
      </w:r>
    </w:p>
    <w:p w14:paraId="534808B6"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by tenant to landlord to remedy breach of agreement—Notice of termination</w:t>
      </w:r>
    </w:p>
    <w:p w14:paraId="0D831273"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78678191"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0"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r w:rsidRPr="00080391">
        <w:rPr>
          <w:rFonts w:eastAsia="Times New Roman"/>
          <w:color w:val="000000"/>
          <w:sz w:val="20"/>
          <w:szCs w:val="20"/>
          <w:lang w:eastAsia="en-AU"/>
          <w14:ligatures w14:val="standardContextual"/>
        </w:rPr>
        <w:t>.</w:t>
      </w:r>
    </w:p>
    <w:p w14:paraId="35E295E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For periodic tenancies, </w:t>
      </w:r>
      <w:hyperlink w:anchor="id68cd6f65_2912_4bcf_b48d_0cba2fd1c317_e" w:history="1">
        <w:r w:rsidRPr="00080391">
          <w:rPr>
            <w:rFonts w:eastAsia="Times New Roman"/>
            <w:i/>
            <w:iCs/>
            <w:color w:val="000000"/>
            <w:sz w:val="20"/>
            <w:szCs w:val="20"/>
            <w:lang w:eastAsia="en-AU"/>
            <w14:ligatures w14:val="standardContextual"/>
          </w:rPr>
          <w:t>Form 16</w:t>
        </w:r>
      </w:hyperlink>
      <w:r w:rsidRPr="00080391">
        <w:rPr>
          <w:rFonts w:eastAsia="Times New Roman"/>
          <w:i/>
          <w:iCs/>
          <w:color w:val="000000"/>
          <w:sz w:val="20"/>
          <w:szCs w:val="20"/>
          <w:lang w:eastAsia="en-AU"/>
          <w14:ligatures w14:val="standardContextual"/>
        </w:rPr>
        <w:t xml:space="preserve"> should be used for a notice of termination where no breach of agreement is alleged.</w:t>
      </w:r>
    </w:p>
    <w:p w14:paraId="509EA7D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719A083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 give notice that you are in breach of the residential tenancy agreement that relates to the following premises:</w:t>
      </w:r>
    </w:p>
    <w:p w14:paraId="3D3B3F9D"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rented premises:</w:t>
      </w:r>
    </w:p>
    <w:p w14:paraId="25044513"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This breach is as follows:</w:t>
      </w:r>
    </w:p>
    <w:p w14:paraId="2FDAB7FB"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[include enough details so that the landlord receiving this notice will know exactly what the breach is]</w:t>
      </w:r>
    </w:p>
    <w:p w14:paraId="74D0D5FF"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You must remedy the breach as follows:</w:t>
      </w:r>
    </w:p>
    <w:p w14:paraId="0AAE9239"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[include enough details so that the landlord receiving this notice will know exactly what has to be done to remedy the breach]</w:t>
      </w:r>
    </w:p>
    <w:p w14:paraId="662C4E7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 xml:space="preserve">This breach must be remedied within </w:t>
      </w:r>
      <w:r w:rsidRPr="00080391">
        <w:rPr>
          <w:rFonts w:eastAsia="Times New Roman"/>
          <w:i/>
          <w:iCs/>
          <w:color w:val="000000"/>
          <w:sz w:val="23"/>
          <w:szCs w:val="23"/>
          <w:lang w:eastAsia="en-AU"/>
          <w14:ligatures w14:val="standardContextual"/>
        </w:rPr>
        <w:t>[insert number of days as per information below]</w:t>
      </w:r>
      <w:r w:rsidRPr="00080391">
        <w:rPr>
          <w:rFonts w:eastAsia="Times New Roman"/>
          <w:color w:val="000000"/>
          <w:sz w:val="23"/>
          <w:szCs w:val="23"/>
          <w:lang w:eastAsia="en-AU"/>
          <w14:ligatures w14:val="standardContextual"/>
        </w:rPr>
        <w:t xml:space="preserve"> days from the date on which this notice is given to you.</w:t>
      </w:r>
    </w:p>
    <w:p w14:paraId="4CCB79E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If the breach is not remedied within this period, then the tenancy is terminated by force of this notice from the following date:</w:t>
      </w:r>
    </w:p>
    <w:p w14:paraId="350FAB98"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[insert date]</w:t>
      </w:r>
    </w:p>
    <w:p w14:paraId="3536AD8D"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0DACD111"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39DD40A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780651C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257D57C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549E3900"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54FD938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1F12B7A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2C1B7DC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35B5BA93"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17C36D7A" w14:textId="3FB11FC3"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091C4666" w14:textId="77777777" w:rsidR="00972025" w:rsidRDefault="00972025" w:rsidP="0097202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F4B8D2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5072F4F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w:t>
      </w:r>
    </w:p>
    <w:p w14:paraId="652CCC32"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02A28EE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 xml:space="preserve">The period allowed under </w:t>
      </w:r>
      <w:r w:rsidRPr="00080391">
        <w:rPr>
          <w:rFonts w:eastAsia="Times New Roman"/>
          <w:b/>
          <w:bCs/>
          <w:color w:val="000000"/>
          <w:sz w:val="23"/>
          <w:szCs w:val="23"/>
          <w:lang w:eastAsia="en-AU"/>
          <w14:ligatures w14:val="standardContextual"/>
        </w:rPr>
        <w:t>Item B</w:t>
      </w:r>
      <w:r w:rsidRPr="00080391">
        <w:rPr>
          <w:rFonts w:eastAsia="Times New Roman"/>
          <w:color w:val="000000"/>
          <w:sz w:val="23"/>
          <w:szCs w:val="23"/>
          <w:lang w:eastAsia="en-AU"/>
          <w14:ligatures w14:val="standardContextual"/>
        </w:rPr>
        <w:t xml:space="preserve"> to remedy the breach must be at least 7 clear days from the day on which this notice is received or is expected to be received by the landlord.</w:t>
      </w:r>
    </w:p>
    <w:p w14:paraId="31510D9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The date specified in </w:t>
      </w:r>
      <w:r w:rsidRPr="00080391">
        <w:rPr>
          <w:rFonts w:eastAsia="Times New Roman"/>
          <w:b/>
          <w:bCs/>
          <w:color w:val="000000"/>
          <w:sz w:val="23"/>
          <w:szCs w:val="23"/>
          <w:lang w:eastAsia="en-AU"/>
          <w14:ligatures w14:val="standardContextual"/>
        </w:rPr>
        <w:t>Item C</w:t>
      </w:r>
      <w:r w:rsidRPr="00080391">
        <w:rPr>
          <w:rFonts w:eastAsia="Times New Roman"/>
          <w:color w:val="000000"/>
          <w:sz w:val="23"/>
          <w:szCs w:val="23"/>
          <w:lang w:eastAsia="en-AU"/>
          <w14:ligatures w14:val="standardContextual"/>
        </w:rPr>
        <w:t xml:space="preserve"> for the end of the tenancy must be at least 8 days after the end of the period specified in Item B above.</w:t>
      </w:r>
    </w:p>
    <w:p w14:paraId="0D83DD6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This notice may be served on the landlord, or on an agent of the landlord—</w:t>
      </w:r>
    </w:p>
    <w:p w14:paraId="16D1D76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0B41E84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7A78E5C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0B13D20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126DC63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4.</w:t>
      </w:r>
      <w:r w:rsidRPr="00080391">
        <w:rPr>
          <w:rFonts w:eastAsia="Times New Roman"/>
          <w:color w:val="000000"/>
          <w:sz w:val="23"/>
          <w:szCs w:val="23"/>
          <w:lang w:eastAsia="en-AU"/>
          <w14:ligatures w14:val="standardContextual"/>
        </w:rPr>
        <w:tab/>
        <w:t>You should retain a copy of this notice.</w:t>
      </w:r>
    </w:p>
    <w:p w14:paraId="185AEEA0"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7381292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You may, within the time period fixed under this notice for termination of the tenancy, or before the tenant gives up possession of the premises, apply to the South Australian Civil and Administrative Tribunal for an order:</w:t>
      </w:r>
    </w:p>
    <w:p w14:paraId="3D14530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declaring that you are not in breach of the residential tenancy agreement;</w:t>
      </w:r>
    </w:p>
    <w:p w14:paraId="4FC2CEB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declaring that you have remedied the breach within the notice period;</w:t>
      </w:r>
    </w:p>
    <w:p w14:paraId="7F806C9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reinstating the tenancy.</w:t>
      </w:r>
    </w:p>
    <w:p w14:paraId="7CD396B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5C4A59B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2B610DA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the landlord should agree on how the bond should be paid. Applications for bond payments are generally made online with Consumer and Business Services. If agreement cannot be reached with the landlord, you should contact Consumer and Business Services.</w:t>
      </w:r>
    </w:p>
    <w:p w14:paraId="4555E51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0B433F6A"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12—</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85AA)</w:t>
      </w:r>
    </w:p>
    <w:p w14:paraId="2DE469A0" w14:textId="3785754E" w:rsidR="00972025"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for successive breaches of agreement by landlord</w:t>
      </w:r>
    </w:p>
    <w:p w14:paraId="15F1F214" w14:textId="77777777" w:rsidR="00972025" w:rsidRDefault="00972025" w:rsidP="00972025">
      <w:pPr>
        <w:spacing w:after="0" w:line="80" w:lineRule="exact"/>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2EB4E7BB"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lastRenderedPageBreak/>
        <w:t>Note—</w:t>
      </w:r>
    </w:p>
    <w:p w14:paraId="6D2ACB25"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1"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1DC03EF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733C01DC"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tenant and you as landlord in respect of the premises at:</w:t>
      </w:r>
    </w:p>
    <w:p w14:paraId="6020525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5304233B"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because you are in breach of a provision of the agreement as follows:</w:t>
      </w:r>
    </w:p>
    <w:p w14:paraId="60C874C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[include enough details so that the landlord receiving this notice will know exactly what the breach is]</w:t>
      </w:r>
    </w:p>
    <w:p w14:paraId="0535218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and you have, on 2 previous occasions in the period of 12 months before the giving of this notice, been in breach of the same provision of the agreement.</w:t>
      </w:r>
    </w:p>
    <w:p w14:paraId="62532D93"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that I will deliver up vacant possession of the premises on </w:t>
      </w:r>
      <w:r w:rsidRPr="00080391">
        <w:rPr>
          <w:rFonts w:eastAsia="Times New Roman"/>
          <w:i/>
          <w:iCs/>
          <w:color w:val="000000"/>
          <w:sz w:val="23"/>
          <w:szCs w:val="23"/>
          <w:lang w:eastAsia="en-AU"/>
          <w14:ligatures w14:val="standardContextual"/>
        </w:rPr>
        <w:t>[insert hand</w:t>
      </w:r>
      <w:r w:rsidRPr="00080391">
        <w:rPr>
          <w:rFonts w:eastAsia="Times New Roman"/>
          <w:i/>
          <w:iCs/>
          <w:color w:val="000000"/>
          <w:sz w:val="23"/>
          <w:szCs w:val="23"/>
          <w:lang w:eastAsia="en-AU"/>
          <w14:ligatures w14:val="standardContextual"/>
        </w:rPr>
        <w:noBreakHyphen/>
        <w:t>over date]</w:t>
      </w:r>
      <w:r w:rsidRPr="00080391">
        <w:rPr>
          <w:rFonts w:eastAsia="Times New Roman"/>
          <w:color w:val="000000"/>
          <w:sz w:val="23"/>
          <w:szCs w:val="23"/>
          <w:lang w:eastAsia="en-AU"/>
          <w14:ligatures w14:val="standardContextual"/>
        </w:rPr>
        <w:t>, being a date that is at least 7 days after this notice is given.</w:t>
      </w:r>
    </w:p>
    <w:p w14:paraId="2C0846D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5492187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03C18B3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330570E0"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72C8234E"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02FF50B0"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17C7326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4FE5515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2B6D6E3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202ADD86"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27811C7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1F2E09A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443602C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w:t>
      </w:r>
    </w:p>
    <w:p w14:paraId="67151FF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3079711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3DF3ADE9"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48638C7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2E10ED14" w14:textId="3E66E0A8" w:rsidR="00972025"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0BC550B2"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A63DA0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43B110F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7AE5CC2B"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5CD67D0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2B87C65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landlord should agree on how the bond should be paid. Applications for bond payments are generally made online with Consumer and Business Services. If agreement cannot be reached with the landlord, you should contact Consumer and Business Services.</w:t>
      </w:r>
    </w:p>
    <w:p w14:paraId="12D1E6E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1994153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13—</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85A)</w:t>
      </w:r>
    </w:p>
    <w:p w14:paraId="60FDDA81"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where residential premises for sale</w:t>
      </w:r>
    </w:p>
    <w:p w14:paraId="05B481AD"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78DF7228"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2"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2F2B5E18"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2DC5986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tenant and you as landlord in respect of the premises at:</w:t>
      </w:r>
    </w:p>
    <w:p w14:paraId="1074B7E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68BF145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because you have entered into a contract for the sale of the premises and did not, before the agreement was entered into, advise me of the prospective sale in accordance with section 47A of the Act.</w:t>
      </w:r>
    </w:p>
    <w:p w14:paraId="057D4DF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that I will deliver up vacant possession of the premises on </w:t>
      </w:r>
      <w:r w:rsidRPr="00080391">
        <w:rPr>
          <w:rFonts w:eastAsia="Times New Roman"/>
          <w:i/>
          <w:iCs/>
          <w:color w:val="000000"/>
          <w:sz w:val="23"/>
          <w:szCs w:val="23"/>
          <w:lang w:eastAsia="en-AU"/>
          <w14:ligatures w14:val="standardContextual"/>
        </w:rPr>
        <w:t>[insert hand</w:t>
      </w:r>
      <w:r w:rsidRPr="00080391">
        <w:rPr>
          <w:rFonts w:eastAsia="Times New Roman"/>
          <w:i/>
          <w:iCs/>
          <w:color w:val="000000"/>
          <w:sz w:val="23"/>
          <w:szCs w:val="23"/>
          <w:lang w:eastAsia="en-AU"/>
          <w14:ligatures w14:val="standardContextual"/>
        </w:rPr>
        <w:noBreakHyphen/>
        <w:t>over date]</w:t>
      </w:r>
      <w:r w:rsidRPr="00080391">
        <w:rPr>
          <w:rFonts w:eastAsia="Times New Roman"/>
          <w:color w:val="000000"/>
          <w:sz w:val="23"/>
          <w:szCs w:val="23"/>
          <w:lang w:eastAsia="en-AU"/>
          <w14:ligatures w14:val="standardContextual"/>
        </w:rPr>
        <w:t>.</w:t>
      </w:r>
    </w:p>
    <w:p w14:paraId="3325B5B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48B8AF94"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70349DE6"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2D9A784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1A0592E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62E1E14A"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0E8CBC43"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481F0AC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69EDC6EA" w14:textId="0EFC9927"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0B8C164F"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1F4EF8C"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0C96C75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0F69592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578CED4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54778FA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09CF428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6F38F43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76FE99E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206339B7"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19A9F2A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27CDD97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1F1C6EF1"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20D8DCA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3A96E3D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landlord should agree on how the bond should be paid. Applications for bond payments are generally made online with Consumer and Business Services. If agreement cannot be reached with the landlord, you should contact Consumer and Business Services.</w:t>
      </w:r>
    </w:p>
    <w:p w14:paraId="49AF86C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6DD2215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14—</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(sections 85B and 85C)</w:t>
      </w:r>
    </w:p>
    <w:p w14:paraId="3155BE0E"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where certain circumstances apply</w:t>
      </w:r>
    </w:p>
    <w:p w14:paraId="4168E272"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6FC41491" w14:textId="2A533454" w:rsidR="00767D9F"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3"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550B4298" w14:textId="77777777" w:rsidR="00767D9F" w:rsidRDefault="00767D9F">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5055E0C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lastRenderedPageBreak/>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099C437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tenant and you as landlord in respect of the premises at:</w:t>
      </w:r>
    </w:p>
    <w:p w14:paraId="4AD5605C"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76DE765F"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w:t>
      </w:r>
    </w:p>
    <w:p w14:paraId="4F700941"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ONE OR MORE OF THE FOLLOWING BOXES TO INDICATE THE GROUND/S</w:t>
      </w:r>
    </w:p>
    <w:p w14:paraId="181FEE7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the premises do not comply with the prescribed minimum housing standards under the </w:t>
      </w:r>
      <w:hyperlink r:id="rId154" w:history="1">
        <w:r w:rsidRPr="00080391">
          <w:rPr>
            <w:rFonts w:eastAsia="Times New Roman"/>
            <w:i/>
            <w:iCs/>
            <w:color w:val="000000"/>
            <w:sz w:val="23"/>
            <w:szCs w:val="23"/>
            <w:lang w:eastAsia="en-AU"/>
            <w14:ligatures w14:val="standardContextual"/>
          </w:rPr>
          <w:t>Housing Improvement Act 2016</w:t>
        </w:r>
      </w:hyperlink>
    </w:p>
    <w:p w14:paraId="1C0B00C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are destroyed totally or to such an extent as to be rendered unsafe</w:t>
      </w:r>
    </w:p>
    <w:p w14:paraId="6D298DB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I have been offered and have accepted accommodation by the South Australian Housing Trust or a community housing provider registered under the </w:t>
      </w:r>
      <w:r w:rsidRPr="00080391">
        <w:rPr>
          <w:rFonts w:eastAsia="Times New Roman"/>
          <w:i/>
          <w:iCs/>
          <w:color w:val="000000"/>
          <w:sz w:val="23"/>
          <w:szCs w:val="23"/>
          <w:lang w:eastAsia="en-AU"/>
          <w14:ligatures w14:val="standardContextual"/>
        </w:rPr>
        <w:t>Community Housing Providers National Law</w:t>
      </w:r>
    </w:p>
    <w:p w14:paraId="6E2E5A8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 require prescribed temporary crisis accommodation and need to vacate the premises in order to obtain that accommodation</w:t>
      </w:r>
    </w:p>
    <w:p w14:paraId="0353DDF7"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If the prescribed temporary crisis accommodation is for persons who are experiencing domestic abuse, please state the accommodation provider here:</w:t>
      </w:r>
    </w:p>
    <w:p w14:paraId="4376F60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I require prescribed care and need to vacate the premises in order to obtain that care</w:t>
      </w:r>
    </w:p>
    <w:p w14:paraId="45C8D484"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that I will deliver up vacant possession of the premises on </w:t>
      </w:r>
      <w:r w:rsidRPr="00080391">
        <w:rPr>
          <w:rFonts w:eastAsia="Times New Roman"/>
          <w:i/>
          <w:iCs/>
          <w:color w:val="000000"/>
          <w:sz w:val="23"/>
          <w:szCs w:val="23"/>
          <w:lang w:eastAsia="en-AU"/>
          <w14:ligatures w14:val="standardContextual"/>
        </w:rPr>
        <w:t>[insert hand</w:t>
      </w:r>
      <w:r w:rsidRPr="00080391">
        <w:rPr>
          <w:rFonts w:eastAsia="Times New Roman"/>
          <w:i/>
          <w:iCs/>
          <w:color w:val="000000"/>
          <w:sz w:val="23"/>
          <w:szCs w:val="23"/>
          <w:lang w:eastAsia="en-AU"/>
          <w14:ligatures w14:val="standardContextual"/>
        </w:rPr>
        <w:noBreakHyphen/>
        <w:t>over date]</w:t>
      </w:r>
      <w:r w:rsidRPr="00080391">
        <w:rPr>
          <w:rFonts w:eastAsia="Times New Roman"/>
          <w:color w:val="000000"/>
          <w:sz w:val="23"/>
          <w:szCs w:val="23"/>
          <w:lang w:eastAsia="en-AU"/>
          <w14:ligatures w14:val="standardContextual"/>
        </w:rPr>
        <w:t>, being a date that is at least 7 days after this notice is given.</w:t>
      </w:r>
    </w:p>
    <w:p w14:paraId="448DAD5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0A40815C"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67AF5F37"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4DE4B50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5A024EB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2591EB7E"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6A03F8A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3567A54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643CFAA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12697CD1"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73E619B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5D757FB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7FB22BA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3B7D678A" w14:textId="77777777" w:rsidR="00767D9F" w:rsidRDefault="00767D9F">
      <w:pPr>
        <w:spacing w:after="0" w:line="240" w:lineRule="auto"/>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7142B0FD" w14:textId="16A7B953"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Information for the tenant</w:t>
      </w:r>
    </w:p>
    <w:p w14:paraId="268CC0A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00C7084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6E9473B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50270B1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04E25DB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7B32B4F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6356108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77C4AA9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4ED1286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the landlord should agree on how the bond should be paid. Applications for bond payments are generally made online with Consumer and Business Services. If agreement cannot be reached with the landlord, you should contact Consumer and Business Services.</w:t>
      </w:r>
    </w:p>
    <w:p w14:paraId="49074D6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38308643"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15—</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85D)</w:t>
      </w:r>
    </w:p>
    <w:p w14:paraId="389B9421"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on grounds of domestic abuse</w:t>
      </w:r>
    </w:p>
    <w:p w14:paraId="438E7D05"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4C5F0A26"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5"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75152BC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483D07D9"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tenant and you as landlord in respect of the premises at:</w:t>
      </w:r>
    </w:p>
    <w:p w14:paraId="6862DD3B"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33CE12A0"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w:t>
      </w:r>
    </w:p>
    <w:p w14:paraId="03AD5713"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ONE OR MORE OF THE FOLLOWING BOXES TO INDICATE THE GROUND/S</w:t>
      </w:r>
    </w:p>
    <w:p w14:paraId="2BF22A4D" w14:textId="041B086A"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an intervention order is in force for my protection, or the protection of a domestic associate of mine who normally resides at the premises, against a person who is a domestic associate of someone who normally resides at the premises</w:t>
      </w:r>
    </w:p>
    <w:p w14:paraId="1C1E86D4"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44DA0D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lastRenderedPageBreak/>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either I am, or a domestic associate of mine who normally resides at the premises is, in some other circumstance of domestic abuse</w:t>
      </w:r>
    </w:p>
    <w:p w14:paraId="312136C5"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that I will deliver up vacant possession of the premises on </w:t>
      </w:r>
      <w:r w:rsidRPr="00080391">
        <w:rPr>
          <w:rFonts w:eastAsia="Times New Roman"/>
          <w:i/>
          <w:iCs/>
          <w:color w:val="000000"/>
          <w:sz w:val="23"/>
          <w:szCs w:val="23"/>
          <w:lang w:eastAsia="en-AU"/>
          <w14:ligatures w14:val="standardContextual"/>
        </w:rPr>
        <w:t>[insert hand</w:t>
      </w:r>
      <w:r w:rsidRPr="00080391">
        <w:rPr>
          <w:rFonts w:eastAsia="Times New Roman"/>
          <w:i/>
          <w:iCs/>
          <w:color w:val="000000"/>
          <w:sz w:val="23"/>
          <w:szCs w:val="23"/>
          <w:lang w:eastAsia="en-AU"/>
          <w14:ligatures w14:val="standardContextual"/>
        </w:rPr>
        <w:noBreakHyphen/>
        <w:t>over date]</w:t>
      </w:r>
      <w:r w:rsidRPr="00080391">
        <w:rPr>
          <w:rFonts w:eastAsia="Times New Roman"/>
          <w:color w:val="000000"/>
          <w:sz w:val="23"/>
          <w:szCs w:val="23"/>
          <w:lang w:eastAsia="en-AU"/>
          <w14:ligatures w14:val="standardContextual"/>
        </w:rPr>
        <w:t>.</w:t>
      </w:r>
    </w:p>
    <w:p w14:paraId="623F0067"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25FF4B4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4DF7D728"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3805F6BE"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57D7AF5D"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086F628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34244D95"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6FC113D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5D23CAB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4125C38C"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60CBBA9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02C2C9F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05CAD3A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5126C673"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5798024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must be accompanied by either of the following evidence as is relevant—</w:t>
      </w:r>
    </w:p>
    <w:p w14:paraId="7D9B7C62"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if this notice is given on the ground of an intervention order being in force—a copy of the intervention order; or</w:t>
      </w:r>
    </w:p>
    <w:p w14:paraId="50FFB6B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if this notice is given on the ground of other circumstances of domestic abuse—a prescribed report.</w:t>
      </w:r>
    </w:p>
    <w:p w14:paraId="7D11286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This notice may be served on the landlord, or on an agent of the landlord—</w:t>
      </w:r>
    </w:p>
    <w:p w14:paraId="1646D6ED"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36AFF2E0"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17055EBC"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4410003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34E5982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You should retain a copy of this notice.</w:t>
      </w:r>
    </w:p>
    <w:p w14:paraId="670BA76C"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landlord</w:t>
      </w:r>
    </w:p>
    <w:p w14:paraId="4522D976" w14:textId="46867E43" w:rsidR="00972025" w:rsidRDefault="00080391" w:rsidP="00080391">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You are required to deal with evidence and information that you receive with this notice in a confidential manner. Criminal penalties apply for contravention of these requirements. See section 85D of the </w:t>
      </w:r>
      <w:hyperlink r:id="rId156" w:history="1">
        <w:r w:rsidRPr="00080391">
          <w:rPr>
            <w:rFonts w:eastAsia="Times New Roman"/>
            <w:i/>
            <w:iCs/>
            <w:color w:val="000000"/>
            <w:sz w:val="23"/>
            <w:szCs w:val="23"/>
            <w:lang w:eastAsia="en-AU"/>
            <w14:ligatures w14:val="standardContextual"/>
          </w:rPr>
          <w:t>Residential Tenancies Act 1995</w:t>
        </w:r>
      </w:hyperlink>
      <w:r w:rsidRPr="00080391">
        <w:rPr>
          <w:rFonts w:eastAsia="Times New Roman"/>
          <w:color w:val="000000"/>
          <w:sz w:val="23"/>
          <w:szCs w:val="23"/>
          <w:lang w:eastAsia="en-AU"/>
          <w14:ligatures w14:val="standardContextual"/>
        </w:rPr>
        <w:t>.</w:t>
      </w:r>
    </w:p>
    <w:p w14:paraId="30A6A815" w14:textId="77777777" w:rsidR="00972025" w:rsidRDefault="00972025" w:rsidP="0097202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4FD6E0A" w14:textId="7541EAD3"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Termination inf</w:t>
      </w:r>
      <w:r w:rsidR="00972025">
        <w:rPr>
          <w:rFonts w:eastAsia="Times New Roman"/>
          <w:b/>
          <w:bCs/>
          <w:color w:val="000000"/>
          <w:sz w:val="26"/>
          <w:szCs w:val="26"/>
          <w:lang w:eastAsia="en-AU"/>
          <w14:ligatures w14:val="standardContextual"/>
        </w:rPr>
        <w:t>o</w:t>
      </w:r>
      <w:r w:rsidRPr="00080391">
        <w:rPr>
          <w:rFonts w:eastAsia="Times New Roman"/>
          <w:b/>
          <w:bCs/>
          <w:color w:val="000000"/>
          <w:sz w:val="26"/>
          <w:szCs w:val="26"/>
          <w:lang w:eastAsia="en-AU"/>
          <w14:ligatures w14:val="standardContextual"/>
        </w:rPr>
        <w:t>rmation</w:t>
      </w:r>
    </w:p>
    <w:p w14:paraId="69735E3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09F2ED2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the landlord should agree on how the bond should be paid. Applications for bond payments are generally made online with Consumer and Business Services. If agreement cannot be reached with the landlord, you should contact Consumer and Business Services.</w:t>
      </w:r>
    </w:p>
    <w:p w14:paraId="4780C45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31F908E9" w14:textId="77777777" w:rsidR="00080391" w:rsidRPr="00080391" w:rsidRDefault="00080391" w:rsidP="00972025">
      <w:pPr>
        <w:keepNext/>
        <w:keepLines/>
        <w:autoSpaceDE w:val="0"/>
        <w:autoSpaceDN w:val="0"/>
        <w:adjustRightInd w:val="0"/>
        <w:spacing w:before="20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16—</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86)</w:t>
      </w:r>
    </w:p>
    <w:p w14:paraId="39D79B2D"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for a periodic tenancy (General Form)</w:t>
      </w:r>
    </w:p>
    <w:p w14:paraId="1F68E098"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157CF97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7"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767C1B2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A tenant cannot use this form to terminate a fixed term tenancy. If a tenant wishes to terminate a fixed term tenancy at the end of the fixed term, </w:t>
      </w:r>
      <w:hyperlink w:anchor="id72fb3816_1853_452f_8cee_b6a492982e7b_a" w:history="1">
        <w:r w:rsidRPr="00080391">
          <w:rPr>
            <w:rFonts w:eastAsia="Times New Roman"/>
            <w:i/>
            <w:iCs/>
            <w:color w:val="000000"/>
            <w:sz w:val="20"/>
            <w:szCs w:val="20"/>
            <w:lang w:eastAsia="en-AU"/>
            <w14:ligatures w14:val="standardContextual"/>
          </w:rPr>
          <w:t>Form 17</w:t>
        </w:r>
      </w:hyperlink>
      <w:r w:rsidRPr="00080391">
        <w:rPr>
          <w:rFonts w:eastAsia="Times New Roman"/>
          <w:i/>
          <w:iCs/>
          <w:color w:val="000000"/>
          <w:sz w:val="20"/>
          <w:szCs w:val="20"/>
          <w:lang w:eastAsia="en-AU"/>
          <w14:ligatures w14:val="standardContextual"/>
        </w:rPr>
        <w:t xml:space="preserve"> must be used. In any other case, application must be made to the South Australian Civil and Administrative Tribunal.</w:t>
      </w:r>
    </w:p>
    <w:p w14:paraId="122BADB3"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r w:rsidRPr="00080391">
        <w:rPr>
          <w:rFonts w:eastAsia="Times New Roman"/>
          <w:color w:val="000000"/>
          <w:sz w:val="23"/>
          <w:szCs w:val="23"/>
          <w:lang w:eastAsia="en-AU"/>
          <w14:ligatures w14:val="standardContextual"/>
        </w:rPr>
        <w:t xml:space="preserve"> </w:t>
      </w:r>
      <w:r w:rsidRPr="00080391">
        <w:rPr>
          <w:rFonts w:eastAsia="Times New Roman"/>
          <w:b/>
          <w:bCs/>
          <w:color w:val="000000"/>
          <w:sz w:val="23"/>
          <w:szCs w:val="23"/>
          <w:lang w:eastAsia="en-AU"/>
          <w14:ligatures w14:val="standardContextual"/>
        </w:rPr>
        <w:t>of</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landlord/agent]</w:t>
      </w:r>
    </w:p>
    <w:p w14:paraId="30B3546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I give notice of termination of a residential tenancy agreement between me as tenant and you as landlord in respect of the premises at:</w:t>
      </w:r>
      <w:r w:rsidRPr="00080391">
        <w:rPr>
          <w:rFonts w:eastAsia="Times New Roman"/>
          <w:i/>
          <w:iCs/>
          <w:color w:val="000000"/>
          <w:sz w:val="23"/>
          <w:szCs w:val="23"/>
          <w:lang w:eastAsia="en-AU"/>
          <w14:ligatures w14:val="standardContextual"/>
        </w:rPr>
        <w:t xml:space="preserve"> [insert address of rented premises]</w:t>
      </w:r>
    </w:p>
    <w:p w14:paraId="6ABA3CA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 xml:space="preserve">I will deliver up possession of the premises to you on </w:t>
      </w:r>
      <w:r w:rsidRPr="00080391">
        <w:rPr>
          <w:rFonts w:eastAsia="Times New Roman"/>
          <w:i/>
          <w:iCs/>
          <w:color w:val="000000"/>
          <w:sz w:val="23"/>
          <w:szCs w:val="23"/>
          <w:lang w:eastAsia="en-AU"/>
          <w14:ligatures w14:val="standardContextual"/>
        </w:rPr>
        <w:t>[insert hand</w:t>
      </w:r>
      <w:r w:rsidRPr="00080391">
        <w:rPr>
          <w:rFonts w:eastAsia="Times New Roman"/>
          <w:i/>
          <w:iCs/>
          <w:color w:val="000000"/>
          <w:sz w:val="23"/>
          <w:szCs w:val="23"/>
          <w:lang w:eastAsia="en-AU"/>
          <w14:ligatures w14:val="standardContextual"/>
        </w:rPr>
        <w:noBreakHyphen/>
        <w:t>over date]</w:t>
      </w:r>
      <w:r w:rsidRPr="00080391">
        <w:rPr>
          <w:rFonts w:eastAsia="Times New Roman"/>
          <w:color w:val="000000"/>
          <w:sz w:val="23"/>
          <w:szCs w:val="23"/>
          <w:lang w:eastAsia="en-AU"/>
          <w14:ligatures w14:val="standardContextual"/>
        </w:rPr>
        <w:t>.</w:t>
      </w:r>
    </w:p>
    <w:p w14:paraId="05B68E58" w14:textId="77777777" w:rsidR="00080391" w:rsidRPr="00080391" w:rsidRDefault="00080391" w:rsidP="0008039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477F831C" w14:textId="77777777" w:rsidR="00080391" w:rsidRPr="00080391" w:rsidRDefault="00080391" w:rsidP="00080391">
      <w:pPr>
        <w:keepNext/>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The hand</w:t>
      </w:r>
      <w:r w:rsidRPr="00080391">
        <w:rPr>
          <w:rFonts w:eastAsia="Times New Roman"/>
          <w:i/>
          <w:iCs/>
          <w:color w:val="000000"/>
          <w:sz w:val="20"/>
          <w:szCs w:val="20"/>
          <w:lang w:eastAsia="en-AU"/>
          <w14:ligatures w14:val="standardContextual"/>
        </w:rPr>
        <w:noBreakHyphen/>
        <w:t>over date must be at least 21 days from the date of this notice, or a period equivalent to a single rental period of your tenancy (whichever is longer).</w:t>
      </w:r>
    </w:p>
    <w:p w14:paraId="01D5AB68" w14:textId="77777777" w:rsidR="00080391" w:rsidRPr="00080391" w:rsidRDefault="00080391" w:rsidP="00080391">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080391">
        <w:rPr>
          <w:rFonts w:eastAsia="Times New Roman"/>
          <w:b/>
          <w:bCs/>
          <w:i/>
          <w:iCs/>
          <w:color w:val="000000"/>
          <w:sz w:val="20"/>
          <w:szCs w:val="20"/>
          <w:lang w:eastAsia="en-AU"/>
          <w14:ligatures w14:val="standardContextual"/>
        </w:rPr>
        <w:t>Example</w:t>
      </w:r>
      <w:r w:rsidRPr="00080391">
        <w:rPr>
          <w:rFonts w:eastAsia="Times New Roman"/>
          <w:b/>
          <w:bCs/>
          <w:color w:val="000000"/>
          <w:sz w:val="20"/>
          <w:szCs w:val="20"/>
          <w:lang w:eastAsia="en-AU"/>
          <w14:ligatures w14:val="standardContextual"/>
        </w:rPr>
        <w:t>—</w:t>
      </w:r>
    </w:p>
    <w:p w14:paraId="7D1D6D46" w14:textId="77777777" w:rsidR="00080391" w:rsidRPr="00080391" w:rsidRDefault="00080391" w:rsidP="00080391">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If you pay rent monthly, instead of giving notice of 21 days, you would be required to give notice of 1 calendar month.</w:t>
      </w:r>
    </w:p>
    <w:p w14:paraId="6CF614F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378FF05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28054AD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6E15349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3E900CF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374EB79A"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61E64E2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5B52469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7E6B6080" w14:textId="4ED5B5A7"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77A6B283" w14:textId="77777777" w:rsidR="00972025" w:rsidRDefault="00972025" w:rsidP="00972025">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862178A"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662E11E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1070AB4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4D6666CE"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6C82BB49"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6E57C02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3774647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073F65FB"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2637F08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4B123FA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1621E69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2D988D78"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5078012B"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26D1C0E3"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the landlord should agree on how the bond should be paid. Applications for bond payments are generally made online with Consumer and Business Services. If agreement cannot be reached with the landlord, you should contact Consumer and Business Services.</w:t>
      </w:r>
    </w:p>
    <w:p w14:paraId="57E19E6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0585C7E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17—</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86A)</w:t>
      </w:r>
    </w:p>
    <w:p w14:paraId="7851D801"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at end of fixed term tenancy (General Form)</w:t>
      </w:r>
    </w:p>
    <w:p w14:paraId="76D89353"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6D98C5D2" w14:textId="5A56DF77" w:rsidR="00972025" w:rsidRDefault="00080391" w:rsidP="00080391">
      <w:pPr>
        <w:keepLines/>
        <w:autoSpaceDE w:val="0"/>
        <w:autoSpaceDN w:val="0"/>
        <w:adjustRightInd w:val="0"/>
        <w:spacing w:before="120" w:after="0" w:line="240" w:lineRule="auto"/>
        <w:ind w:left="794"/>
        <w:jc w:val="left"/>
        <w:rPr>
          <w:rFonts w:eastAsia="Times New Roman"/>
          <w:i/>
          <w:iCs/>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8"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51C7BB82" w14:textId="77777777" w:rsidR="00972025" w:rsidRDefault="00972025">
      <w:pPr>
        <w:spacing w:after="0" w:line="240" w:lineRule="auto"/>
        <w:jc w:val="left"/>
        <w:rPr>
          <w:rFonts w:eastAsia="Times New Roman"/>
          <w:i/>
          <w:iCs/>
          <w:color w:val="000000"/>
          <w:sz w:val="20"/>
          <w:szCs w:val="20"/>
          <w:lang w:eastAsia="en-AU"/>
          <w14:ligatures w14:val="standardContextual"/>
        </w:rPr>
      </w:pPr>
      <w:r>
        <w:rPr>
          <w:rFonts w:eastAsia="Times New Roman"/>
          <w:i/>
          <w:iCs/>
          <w:color w:val="000000"/>
          <w:sz w:val="20"/>
          <w:szCs w:val="20"/>
          <w:lang w:eastAsia="en-AU"/>
          <w14:ligatures w14:val="standardContextual"/>
        </w:rPr>
        <w:br w:type="page"/>
      </w:r>
    </w:p>
    <w:p w14:paraId="18E9EE12"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lastRenderedPageBreak/>
        <w:t>A tenant may end a fixed term residential tenancy agreement at the end of the fixed term without specifying a ground of termination after giving notice of at least 28 days to the landlord/agent. If notice is not given, the agreement continues for a periodic tenancy, with a tenancy period equivalent to the interval between rental payment times under the agreement and with terms of agreement that in other respects are the same as those applying under the agreement immediately before the end of the fixed term.</w:t>
      </w:r>
    </w:p>
    <w:p w14:paraId="615EE7DA"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10F182B2"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you notice that I will deliver up vacant possession of the premises at:</w:t>
      </w:r>
    </w:p>
    <w:p w14:paraId="1C2F9ABE"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695027B7"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Pr="00080391">
        <w:rPr>
          <w:rFonts w:eastAsia="Times New Roman"/>
          <w:i/>
          <w:iCs/>
          <w:color w:val="000000"/>
          <w:sz w:val="23"/>
          <w:szCs w:val="23"/>
          <w:lang w:eastAsia="en-AU"/>
          <w14:ligatures w14:val="standardContextual"/>
        </w:rPr>
        <w:t>[insert date the fixed term ends]</w:t>
      </w:r>
    </w:p>
    <w:p w14:paraId="43107644"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being a date that is not less than 28 days after this notice is given.</w:t>
      </w:r>
    </w:p>
    <w:p w14:paraId="6995DFE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35BC5D0B"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164A2F96"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371056F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of tenant:</w:t>
      </w:r>
    </w:p>
    <w:p w14:paraId="08E655BF"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07744374"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124C5C0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167477A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0D1F111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7BDF8DDF"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4A52A12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5EFCC91A"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22BBE14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1CBE6425"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4F14A2E0"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65B9577F"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125E811A"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4E8B6D6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55EFFF26"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731C37A2" w14:textId="64DB3FA4"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4A2559B5"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C8F3219"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lastRenderedPageBreak/>
        <w:t>Termination information</w:t>
      </w:r>
    </w:p>
    <w:p w14:paraId="3C81A07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53F564E5"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the landlord should agree on how the bond should be paid. Applications for bond payments are generally made online with Consumer and Business Services. If agreement cannot be reached with the landlord, you should contact Consumer and Business Services.</w:t>
      </w:r>
    </w:p>
    <w:p w14:paraId="082C8E78"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30624CF0"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Form 18—</w:t>
      </w:r>
      <w:r w:rsidRPr="00080391">
        <w:rPr>
          <w:rFonts w:eastAsia="Times New Roman"/>
          <w:b/>
          <w:bCs/>
          <w:i/>
          <w:iCs/>
          <w:color w:val="000000"/>
          <w:sz w:val="26"/>
          <w:szCs w:val="26"/>
          <w:lang w:eastAsia="en-AU"/>
          <w14:ligatures w14:val="standardContextual"/>
        </w:rPr>
        <w:t>Residential Tenancies Act 1995</w:t>
      </w:r>
      <w:r w:rsidRPr="00080391">
        <w:rPr>
          <w:rFonts w:eastAsia="Times New Roman"/>
          <w:b/>
          <w:bCs/>
          <w:color w:val="000000"/>
          <w:sz w:val="26"/>
          <w:szCs w:val="26"/>
          <w:lang w:eastAsia="en-AU"/>
          <w14:ligatures w14:val="standardContextual"/>
        </w:rPr>
        <w:t xml:space="preserve"> (section 86B)</w:t>
      </w:r>
    </w:p>
    <w:p w14:paraId="462E67A2" w14:textId="77777777" w:rsidR="00080391" w:rsidRPr="00080391" w:rsidRDefault="00080391" w:rsidP="00080391">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Notice of termination by tenant where agreement frustrated</w:t>
      </w:r>
    </w:p>
    <w:p w14:paraId="7D4A8086"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Note—</w:t>
      </w:r>
    </w:p>
    <w:p w14:paraId="2E318A3E"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i/>
          <w:iCs/>
          <w:color w:val="000000"/>
          <w:sz w:val="20"/>
          <w:szCs w:val="20"/>
          <w:lang w:eastAsia="en-AU"/>
          <w14:ligatures w14:val="standardContextual"/>
        </w:rPr>
        <w:t xml:space="preserve">There are a number of ways in which a tenancy may be terminated under the </w:t>
      </w:r>
      <w:hyperlink r:id="rId159" w:history="1">
        <w:r w:rsidRPr="00080391">
          <w:rPr>
            <w:rFonts w:eastAsia="Times New Roman"/>
            <w:i/>
            <w:iCs/>
            <w:color w:val="000000"/>
            <w:sz w:val="20"/>
            <w:szCs w:val="20"/>
            <w:lang w:eastAsia="en-AU"/>
            <w14:ligatures w14:val="standardContextual"/>
          </w:rPr>
          <w:t>Residential Tenancies Act 1995</w:t>
        </w:r>
      </w:hyperlink>
      <w:r w:rsidRPr="00080391">
        <w:rPr>
          <w:rFonts w:eastAsia="Times New Roman"/>
          <w:i/>
          <w:iCs/>
          <w:color w:val="000000"/>
          <w:sz w:val="20"/>
          <w:szCs w:val="20"/>
          <w:lang w:eastAsia="en-AU"/>
          <w14:ligatures w14:val="standardContextual"/>
        </w:rPr>
        <w:t>, some of which include applying directly to the South Australian Civil and Administrative Tribunal.</w:t>
      </w:r>
    </w:p>
    <w:p w14:paraId="3D914637"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To:</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name of landlord/agent]</w:t>
      </w:r>
    </w:p>
    <w:p w14:paraId="093F6FB8"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I give notice of termination of a residential tenancy agreement between me as tenant and you as landlord in respect of the premises at:</w:t>
      </w:r>
    </w:p>
    <w:p w14:paraId="61ADA11C"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b/>
          <w:bCs/>
          <w:color w:val="000000"/>
          <w:sz w:val="23"/>
          <w:szCs w:val="23"/>
          <w:lang w:eastAsia="en-AU"/>
          <w14:ligatures w14:val="standardContextual"/>
        </w:rPr>
        <w:t>Address of premises:</w:t>
      </w:r>
      <w:r w:rsidRPr="00080391">
        <w:rPr>
          <w:rFonts w:eastAsia="Times New Roman"/>
          <w:color w:val="000000"/>
          <w:sz w:val="23"/>
          <w:szCs w:val="23"/>
          <w:lang w:eastAsia="en-AU"/>
          <w14:ligatures w14:val="standardContextual"/>
        </w:rPr>
        <w:t xml:space="preserve"> </w:t>
      </w:r>
      <w:r w:rsidRPr="00080391">
        <w:rPr>
          <w:rFonts w:eastAsia="Times New Roman"/>
          <w:i/>
          <w:iCs/>
          <w:color w:val="000000"/>
          <w:sz w:val="23"/>
          <w:szCs w:val="23"/>
          <w:lang w:eastAsia="en-AU"/>
          <w14:ligatures w14:val="standardContextual"/>
        </w:rPr>
        <w:t>[insert address of rented premises]</w:t>
      </w:r>
    </w:p>
    <w:p w14:paraId="5D0AA302"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on the ground that—</w:t>
      </w:r>
    </w:p>
    <w:p w14:paraId="7C1C7CE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have been destroyed or rendered uninhabitable</w:t>
      </w:r>
    </w:p>
    <w:p w14:paraId="6BEFDF49"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have ceased to be lawfully usable for residential purposes</w:t>
      </w:r>
    </w:p>
    <w:p w14:paraId="6C55F70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the premises have been acquired by compulsory process</w:t>
      </w:r>
    </w:p>
    <w:p w14:paraId="38F24C44"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A tenant may terminate a tenancy on any of these grounds immediately.</w:t>
      </w:r>
    </w:p>
    <w:p w14:paraId="42649143" w14:textId="77777777" w:rsidR="00080391" w:rsidRPr="00080391" w:rsidRDefault="00080391" w:rsidP="0008039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I give you notice that I will deliver up vacant possession of the premises on </w:t>
      </w:r>
      <w:r w:rsidRPr="00080391">
        <w:rPr>
          <w:rFonts w:eastAsia="Times New Roman"/>
          <w:i/>
          <w:iCs/>
          <w:color w:val="000000"/>
          <w:sz w:val="23"/>
          <w:szCs w:val="23"/>
          <w:lang w:eastAsia="en-AU"/>
          <w14:ligatures w14:val="standardContextual"/>
        </w:rPr>
        <w:t>[insert hand</w:t>
      </w:r>
      <w:r w:rsidRPr="00080391">
        <w:rPr>
          <w:rFonts w:eastAsia="Times New Roman"/>
          <w:i/>
          <w:iCs/>
          <w:color w:val="000000"/>
          <w:sz w:val="23"/>
          <w:szCs w:val="23"/>
          <w:lang w:eastAsia="en-AU"/>
          <w14:ligatures w14:val="standardContextual"/>
        </w:rPr>
        <w:noBreakHyphen/>
        <w:t>over date]</w:t>
      </w:r>
    </w:p>
    <w:p w14:paraId="272598E6"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Signature of tenant:</w:t>
      </w:r>
    </w:p>
    <w:p w14:paraId="6867760F"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Date:</w:t>
      </w:r>
    </w:p>
    <w:p w14:paraId="64291ABA"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Full name of tenant:</w:t>
      </w:r>
    </w:p>
    <w:p w14:paraId="17F34663"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Address for service of tenant:</w:t>
      </w:r>
    </w:p>
    <w:p w14:paraId="6ADFFE42"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Service of notice</w:t>
      </w:r>
    </w:p>
    <w:p w14:paraId="2E2A0FF5"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This notice was served on </w:t>
      </w:r>
      <w:r w:rsidRPr="00080391">
        <w:rPr>
          <w:rFonts w:eastAsia="Times New Roman"/>
          <w:i/>
          <w:iCs/>
          <w:color w:val="000000"/>
          <w:sz w:val="23"/>
          <w:szCs w:val="23"/>
          <w:lang w:eastAsia="en-AU"/>
          <w14:ligatures w14:val="standardContextual"/>
        </w:rPr>
        <w:t>[insert date]</w:t>
      </w:r>
      <w:r w:rsidRPr="00080391">
        <w:rPr>
          <w:rFonts w:eastAsia="Times New Roman"/>
          <w:color w:val="000000"/>
          <w:sz w:val="23"/>
          <w:szCs w:val="23"/>
          <w:lang w:eastAsia="en-AU"/>
          <w14:ligatures w14:val="standardContextual"/>
        </w:rPr>
        <w:t xml:space="preserve"> by:</w:t>
      </w:r>
    </w:p>
    <w:p w14:paraId="1EB2E5B9" w14:textId="77777777" w:rsidR="00080391" w:rsidRPr="00080391" w:rsidRDefault="00080391" w:rsidP="00080391">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t>[Tick 1 box]</w:t>
      </w:r>
    </w:p>
    <w:p w14:paraId="5023BB21"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personally handing it to the landlord/agent</w:t>
      </w:r>
    </w:p>
    <w:p w14:paraId="05CEC16D" w14:textId="4E386476"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mailing it to the landlord/agent</w:t>
      </w:r>
    </w:p>
    <w:p w14:paraId="6472E5D8"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7DF1D4E" w14:textId="77777777" w:rsidR="00080391" w:rsidRPr="00080391" w:rsidRDefault="00080391" w:rsidP="00080391">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080391">
        <w:rPr>
          <w:rFonts w:eastAsia="Times New Roman"/>
          <w:i/>
          <w:iCs/>
          <w:color w:val="000000"/>
          <w:sz w:val="23"/>
          <w:szCs w:val="23"/>
          <w:lang w:eastAsia="en-AU"/>
          <w14:ligatures w14:val="standardContextual"/>
        </w:rPr>
        <w:lastRenderedPageBreak/>
        <w:t>The tenant should ensure an appropriate postage delivery time frame is taken into consideration. The tenant should take all reasonable steps to ensure the dates provided on this notice are accurate and the service of this notice is valid. If serving this notice by mail, you may wish to confirm the postal delivery time frame with the service provider (ie Australia Post).</w:t>
      </w:r>
    </w:p>
    <w:p w14:paraId="757427B4"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placing it in the landlord's/agent's letterbox</w:t>
      </w:r>
    </w:p>
    <w:p w14:paraId="04241397"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emailing it to the landlord/agent</w:t>
      </w:r>
    </w:p>
    <w:p w14:paraId="77102A3F"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r>
      <w:r w:rsidRPr="00080391">
        <w:rPr>
          <w:rFonts w:ascii="Segoe UI Symbol" w:eastAsia="Times New Roman" w:hAnsi="Segoe UI Symbol" w:cs="Segoe UI Symbol"/>
          <w:color w:val="000000"/>
          <w:sz w:val="23"/>
          <w:szCs w:val="23"/>
          <w:lang w:eastAsia="en-AU"/>
          <w14:ligatures w14:val="standardContextual"/>
        </w:rPr>
        <w:t>☐</w:t>
      </w:r>
      <w:r w:rsidRPr="00080391">
        <w:rPr>
          <w:rFonts w:eastAsia="Times New Roman"/>
          <w:color w:val="000000"/>
          <w:sz w:val="23"/>
          <w:szCs w:val="23"/>
          <w:lang w:eastAsia="en-AU"/>
          <w14:ligatures w14:val="standardContextual"/>
        </w:rPr>
        <w:tab/>
        <w:t xml:space="preserve">other </w:t>
      </w:r>
      <w:r w:rsidRPr="00080391">
        <w:rPr>
          <w:rFonts w:eastAsia="Times New Roman"/>
          <w:i/>
          <w:iCs/>
          <w:color w:val="000000"/>
          <w:sz w:val="23"/>
          <w:szCs w:val="23"/>
          <w:lang w:eastAsia="en-AU"/>
          <w14:ligatures w14:val="standardContextual"/>
        </w:rPr>
        <w:t>[please specify below]</w:t>
      </w:r>
    </w:p>
    <w:p w14:paraId="42319B0A"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Information for the tenant</w:t>
      </w:r>
    </w:p>
    <w:p w14:paraId="041594B2"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This notice may be served on the landlord, or on an agent of the landlord—</w:t>
      </w:r>
    </w:p>
    <w:p w14:paraId="4AF61DC5"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personally; or</w:t>
      </w:r>
    </w:p>
    <w:p w14:paraId="5EE0F5B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by sending it by post addressed to the person at their last known place of residence, employment or business; or</w:t>
      </w:r>
    </w:p>
    <w:p w14:paraId="7740586E"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(c)</w:t>
      </w:r>
      <w:r w:rsidRPr="00080391">
        <w:rPr>
          <w:rFonts w:eastAsia="Times New Roman"/>
          <w:color w:val="000000"/>
          <w:sz w:val="23"/>
          <w:szCs w:val="23"/>
          <w:lang w:eastAsia="en-AU"/>
          <w14:ligatures w14:val="standardContextual"/>
        </w:rPr>
        <w:tab/>
        <w:t>by leaving it in a letterbox or other place where it is likely to come to the person's attention at their last known place of residence, employment or business; or</w:t>
      </w:r>
    </w:p>
    <w:p w14:paraId="7A8D6F11"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(d)</w:t>
      </w:r>
      <w:r w:rsidRPr="00080391">
        <w:rPr>
          <w:rFonts w:eastAsia="Times New Roman"/>
          <w:color w:val="000000"/>
          <w:sz w:val="23"/>
          <w:szCs w:val="23"/>
          <w:lang w:eastAsia="en-AU"/>
          <w14:ligatures w14:val="standardContextual"/>
        </w:rPr>
        <w:tab/>
        <w:t>by email to an email address provided by the person for the purposes of service under the Act.</w:t>
      </w:r>
    </w:p>
    <w:p w14:paraId="1EEAC9C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You should retain a copy of this notice.</w:t>
      </w:r>
    </w:p>
    <w:p w14:paraId="304C833B" w14:textId="77777777" w:rsidR="00080391" w:rsidRPr="00080391" w:rsidRDefault="00080391" w:rsidP="00080391">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080391">
        <w:rPr>
          <w:rFonts w:eastAsia="Times New Roman"/>
          <w:b/>
          <w:bCs/>
          <w:color w:val="000000"/>
          <w:sz w:val="26"/>
          <w:szCs w:val="26"/>
          <w:lang w:eastAsia="en-AU"/>
          <w14:ligatures w14:val="standardContextual"/>
        </w:rPr>
        <w:t>Termination information</w:t>
      </w:r>
    </w:p>
    <w:p w14:paraId="02534C66"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t>When the tenant vacates the premises, they should leave them in a reasonable condition and in a reasonably clean state (however this obligation may not apply if the premises are rendered uninhabitable). If they are not, the landlord may recover from the bond, or from the tenant directly, the costs required to remediate the premises (with supporting evidence showing the condition of the premises compared to the start of the tenancy, which demonstrates more than wear and tear).</w:t>
      </w:r>
    </w:p>
    <w:p w14:paraId="50A68FFD"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t>If possible, the tenant and the landlord should agree on how the bond should be paid. Applications for bond payments are generally made online with Consumer and Business Services. If agreement cannot be reached with the landlord, you should contact Consumer and Business Services.</w:t>
      </w:r>
    </w:p>
    <w:p w14:paraId="20EEB9D3" w14:textId="2E891729" w:rsidR="00972025"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3.</w:t>
      </w:r>
      <w:r w:rsidRPr="00080391">
        <w:rPr>
          <w:rFonts w:eastAsia="Times New Roman"/>
          <w:color w:val="000000"/>
          <w:sz w:val="23"/>
          <w:szCs w:val="23"/>
          <w:lang w:eastAsia="en-AU"/>
          <w14:ligatures w14:val="standardContextual"/>
        </w:rPr>
        <w:tab/>
        <w:t>When the tenant vacates the premises, the tenant should ensure that they leave all the keys, remote controls and security devices with the landlord or agent, and notify the electricity entity, gas company, Australia Post, Telstra etc, so that the new tenants do not use gas, electricity and the telephone on the tenant's accounts, and so that mail can be forwarded.</w:t>
      </w:r>
    </w:p>
    <w:p w14:paraId="5C4A4726" w14:textId="77777777" w:rsidR="00972025" w:rsidRDefault="0097202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15BA720" w14:textId="77777777" w:rsidR="00080391" w:rsidRPr="00080391" w:rsidRDefault="00080391" w:rsidP="0008039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080391">
        <w:rPr>
          <w:rFonts w:eastAsia="Times New Roman"/>
          <w:b/>
          <w:bCs/>
          <w:color w:val="000000"/>
          <w:sz w:val="32"/>
          <w:szCs w:val="32"/>
          <w:lang w:eastAsia="en-AU"/>
          <w14:ligatures w14:val="standardContextual"/>
        </w:rPr>
        <w:lastRenderedPageBreak/>
        <w:t xml:space="preserve">Schedule 2—Transitional provision for </w:t>
      </w:r>
      <w:r w:rsidRPr="00080391">
        <w:rPr>
          <w:rFonts w:eastAsia="Times New Roman"/>
          <w:b/>
          <w:bCs/>
          <w:i/>
          <w:iCs/>
          <w:color w:val="000000"/>
          <w:sz w:val="32"/>
          <w:szCs w:val="32"/>
          <w:lang w:eastAsia="en-AU"/>
          <w14:ligatures w14:val="standardContextual"/>
        </w:rPr>
        <w:t>Residential Tenancies (Miscellaneous) Amendment Act 2013</w:t>
      </w:r>
    </w:p>
    <w:p w14:paraId="34273770"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3" w:name="Elkera_Print_TOC48"/>
      <w:bookmarkStart w:id="494" w:name="Elkera_Print_BK48"/>
      <w:r w:rsidRPr="00080391">
        <w:rPr>
          <w:rFonts w:eastAsia="Times New Roman"/>
          <w:b/>
          <w:bCs/>
          <w:color w:val="000000"/>
          <w:sz w:val="26"/>
          <w:szCs w:val="26"/>
          <w:lang w:eastAsia="en-AU"/>
          <w14:ligatures w14:val="standardContextual"/>
        </w:rPr>
        <w:t>1—Repayment of bond—rooming houses</w:t>
      </w:r>
      <w:bookmarkEnd w:id="493"/>
      <w:bookmarkEnd w:id="494"/>
    </w:p>
    <w:p w14:paraId="5F86A219" w14:textId="77777777" w:rsidR="00080391" w:rsidRPr="00080391" w:rsidRDefault="00080391" w:rsidP="0008039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 rooming house proprietor must, on termination of a rooming house agreement, repay the full amount of any bond paid by the rooming house resident before the commencement of section 105L(2) of the Act less not more than—</w:t>
      </w:r>
    </w:p>
    <w:p w14:paraId="4B057954" w14:textId="77777777" w:rsidR="00080391" w:rsidRPr="00080391" w:rsidRDefault="00080391" w:rsidP="0008039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(a)</w:t>
      </w:r>
      <w:r w:rsidRPr="00080391">
        <w:rPr>
          <w:rFonts w:eastAsia="Times New Roman"/>
          <w:color w:val="000000"/>
          <w:sz w:val="23"/>
          <w:szCs w:val="23"/>
          <w:lang w:eastAsia="en-AU"/>
          <w14:ligatures w14:val="standardContextual"/>
        </w:rPr>
        <w:tab/>
        <w:t>an amount equal to any outstanding rent or payments for meals, facilities or other services due to the proprietor by the resident; and</w:t>
      </w:r>
    </w:p>
    <w:p w14:paraId="2C0C5E63" w14:textId="77777777" w:rsidR="00080391" w:rsidRPr="00080391" w:rsidRDefault="00080391" w:rsidP="0008039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(b)</w:t>
      </w:r>
      <w:r w:rsidRPr="00080391">
        <w:rPr>
          <w:rFonts w:eastAsia="Times New Roman"/>
          <w:color w:val="000000"/>
          <w:sz w:val="23"/>
          <w:szCs w:val="23"/>
          <w:lang w:eastAsia="en-AU"/>
          <w14:ligatures w14:val="standardContextual"/>
        </w:rPr>
        <w:tab/>
        <w:t>if the resident's room or property provided by the rooming house proprietor for use by the resident is not returned in a reasonable condition (taking into account the condition of the room and property when the resident's period of accommodation began and the probable effect of reasonable wear and tear since that time)—reasonable costs incurred in repairing the room and property.</w:t>
      </w:r>
    </w:p>
    <w:p w14:paraId="718DD1C1" w14:textId="77777777" w:rsidR="00080391" w:rsidRPr="00080391" w:rsidRDefault="00080391" w:rsidP="00080391">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Maximum penalty: $1 000.</w:t>
      </w:r>
    </w:p>
    <w:p w14:paraId="68B4D87D" w14:textId="77777777" w:rsidR="00080391" w:rsidRPr="00080391" w:rsidRDefault="00080391" w:rsidP="0008039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95" w:name="Elkera_Print_BK49"/>
      <w:r w:rsidRPr="00080391">
        <w:rPr>
          <w:rFonts w:eastAsia="Times New Roman"/>
          <w:b/>
          <w:bCs/>
          <w:color w:val="000000"/>
          <w:sz w:val="32"/>
          <w:szCs w:val="32"/>
          <w:lang w:eastAsia="en-AU"/>
          <w14:ligatures w14:val="standardContextual"/>
        </w:rPr>
        <w:t>Schedule 3—Repeal and transitional provisions</w:t>
      </w:r>
      <w:bookmarkEnd w:id="495"/>
    </w:p>
    <w:p w14:paraId="7CE22B84" w14:textId="77777777" w:rsidR="00080391" w:rsidRPr="00080391" w:rsidRDefault="00080391" w:rsidP="00080391">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080391">
        <w:rPr>
          <w:rFonts w:eastAsia="Times New Roman"/>
          <w:b/>
          <w:bCs/>
          <w:color w:val="000000"/>
          <w:sz w:val="32"/>
          <w:szCs w:val="32"/>
          <w:lang w:eastAsia="en-AU"/>
          <w14:ligatures w14:val="standardContextual"/>
        </w:rPr>
        <w:t xml:space="preserve">Part 1—Repeal of </w:t>
      </w:r>
      <w:r w:rsidRPr="00080391">
        <w:rPr>
          <w:rFonts w:eastAsia="Times New Roman"/>
          <w:b/>
          <w:bCs/>
          <w:i/>
          <w:iCs/>
          <w:color w:val="000000"/>
          <w:sz w:val="32"/>
          <w:szCs w:val="32"/>
          <w:lang w:eastAsia="en-AU"/>
          <w14:ligatures w14:val="standardContextual"/>
        </w:rPr>
        <w:t>Residential Tenancies Regulations 2010</w:t>
      </w:r>
    </w:p>
    <w:p w14:paraId="0BAC6DAD"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 xml:space="preserve">1—Repeal of </w:t>
      </w:r>
      <w:r w:rsidRPr="00080391">
        <w:rPr>
          <w:rFonts w:eastAsia="Times New Roman"/>
          <w:b/>
          <w:bCs/>
          <w:i/>
          <w:iCs/>
          <w:color w:val="000000"/>
          <w:sz w:val="26"/>
          <w:szCs w:val="26"/>
          <w:lang w:eastAsia="en-AU"/>
          <w14:ligatures w14:val="standardContextual"/>
        </w:rPr>
        <w:t>Residential Tenancies Regulations 2010</w:t>
      </w:r>
    </w:p>
    <w:p w14:paraId="70F85019"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The </w:t>
      </w:r>
      <w:hyperlink r:id="rId160" w:history="1">
        <w:r w:rsidRPr="00080391">
          <w:rPr>
            <w:rFonts w:eastAsia="Times New Roman"/>
            <w:i/>
            <w:iCs/>
            <w:color w:val="000000"/>
            <w:sz w:val="23"/>
            <w:szCs w:val="23"/>
            <w:lang w:eastAsia="en-AU"/>
            <w14:ligatures w14:val="standardContextual"/>
          </w:rPr>
          <w:t>Residential Tenancies Regulations 2010</w:t>
        </w:r>
      </w:hyperlink>
      <w:r w:rsidRPr="00080391">
        <w:rPr>
          <w:rFonts w:eastAsia="Times New Roman"/>
          <w:color w:val="000000"/>
          <w:sz w:val="23"/>
          <w:szCs w:val="23"/>
          <w:lang w:eastAsia="en-AU"/>
          <w14:ligatures w14:val="standardContextual"/>
        </w:rPr>
        <w:t xml:space="preserve"> are repealed.</w:t>
      </w:r>
    </w:p>
    <w:p w14:paraId="0125CF83" w14:textId="77777777" w:rsidR="00080391" w:rsidRPr="00080391" w:rsidRDefault="00080391" w:rsidP="00080391">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080391">
        <w:rPr>
          <w:rFonts w:eastAsia="Times New Roman"/>
          <w:b/>
          <w:bCs/>
          <w:color w:val="000000"/>
          <w:sz w:val="32"/>
          <w:szCs w:val="32"/>
          <w:lang w:eastAsia="en-AU"/>
          <w14:ligatures w14:val="standardContextual"/>
        </w:rPr>
        <w:t>Part 2—Transitional provisions</w:t>
      </w:r>
    </w:p>
    <w:p w14:paraId="229694F5" w14:textId="77777777" w:rsidR="00080391" w:rsidRPr="00080391" w:rsidRDefault="00080391" w:rsidP="0008039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2—Form A1</w:t>
      </w:r>
    </w:p>
    <w:p w14:paraId="05DD2F9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(1)</w:t>
      </w:r>
      <w:r w:rsidRPr="00080391">
        <w:rPr>
          <w:rFonts w:eastAsia="Times New Roman"/>
          <w:color w:val="000000"/>
          <w:sz w:val="23"/>
          <w:szCs w:val="23"/>
          <w:lang w:eastAsia="en-AU"/>
          <w14:ligatures w14:val="standardContextual"/>
        </w:rPr>
        <w:tab/>
      </w:r>
      <w:hyperlink w:anchor="id85b3db8f_05bf_4b36_bf66_8059deea74" w:history="1">
        <w:r w:rsidRPr="00080391">
          <w:rPr>
            <w:rFonts w:eastAsia="Times New Roman"/>
            <w:color w:val="000000"/>
            <w:sz w:val="23"/>
            <w:szCs w:val="23"/>
            <w:lang w:eastAsia="en-AU"/>
            <w14:ligatures w14:val="standardContextual"/>
          </w:rPr>
          <w:t>Regulation 8(5)(a)(ii)</w:t>
        </w:r>
      </w:hyperlink>
      <w:r w:rsidRPr="00080391">
        <w:rPr>
          <w:rFonts w:eastAsia="Times New Roman"/>
          <w:color w:val="000000"/>
          <w:sz w:val="23"/>
          <w:szCs w:val="23"/>
          <w:lang w:eastAsia="en-AU"/>
          <w14:ligatures w14:val="standardContextual"/>
        </w:rPr>
        <w:t xml:space="preserve"> applies only in relation to an application form given to a prospective tenant by a landlord or an agent of a landlord on or after 1 January 2026.</w:t>
      </w:r>
    </w:p>
    <w:p w14:paraId="11781FEC" w14:textId="77777777" w:rsidR="00080391" w:rsidRPr="00080391" w:rsidRDefault="00080391" w:rsidP="0008039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ab/>
        <w:t>(2)</w:t>
      </w:r>
      <w:r w:rsidRPr="00080391">
        <w:rPr>
          <w:rFonts w:eastAsia="Times New Roman"/>
          <w:color w:val="000000"/>
          <w:sz w:val="23"/>
          <w:szCs w:val="23"/>
          <w:lang w:eastAsia="en-AU"/>
          <w14:ligatures w14:val="standardContextual"/>
        </w:rPr>
        <w:tab/>
      </w:r>
      <w:hyperlink w:anchor="idf6a4cda4_1409_4ad5_8bb1_c7557ba963" w:history="1">
        <w:r w:rsidRPr="00080391">
          <w:rPr>
            <w:rFonts w:eastAsia="Times New Roman"/>
            <w:color w:val="000000"/>
            <w:sz w:val="23"/>
            <w:szCs w:val="23"/>
            <w:lang w:eastAsia="en-AU"/>
            <w14:ligatures w14:val="standardContextual"/>
          </w:rPr>
          <w:t>Regulation 8(5)(b)(ii)</w:t>
        </w:r>
      </w:hyperlink>
      <w:r w:rsidRPr="00080391">
        <w:rPr>
          <w:rFonts w:eastAsia="Times New Roman"/>
          <w:color w:val="000000"/>
          <w:sz w:val="23"/>
          <w:szCs w:val="23"/>
          <w:lang w:eastAsia="en-AU"/>
          <w14:ligatures w14:val="standardContextual"/>
        </w:rPr>
        <w:t xml:space="preserve"> applies only in relation to an application to enter into a residential tenancy agreement submitted by a prospective tenant on or after 1 January 2026.</w:t>
      </w:r>
    </w:p>
    <w:p w14:paraId="486D4AF5" w14:textId="77777777" w:rsidR="00080391" w:rsidRPr="00080391" w:rsidRDefault="00080391" w:rsidP="0008039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80391">
        <w:rPr>
          <w:rFonts w:eastAsia="Times New Roman"/>
          <w:b/>
          <w:bCs/>
          <w:color w:val="000000"/>
          <w:sz w:val="20"/>
          <w:szCs w:val="20"/>
          <w:lang w:eastAsia="en-AU"/>
          <w14:ligatures w14:val="standardContextual"/>
        </w:rPr>
        <w:t>Editorial note—</w:t>
      </w:r>
    </w:p>
    <w:p w14:paraId="23E16D43" w14:textId="77777777" w:rsidR="00080391" w:rsidRPr="00080391" w:rsidRDefault="00080391" w:rsidP="0008039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80391">
        <w:rPr>
          <w:rFonts w:eastAsia="Times New Roman"/>
          <w:color w:val="000000"/>
          <w:sz w:val="20"/>
          <w:szCs w:val="20"/>
          <w:lang w:eastAsia="en-AU"/>
          <w14:ligatures w14:val="standardContextual"/>
        </w:rPr>
        <w:t xml:space="preserve">As required by section 10AA(2) of the </w:t>
      </w:r>
      <w:hyperlink r:id="rId161" w:history="1">
        <w:r w:rsidRPr="00080391">
          <w:rPr>
            <w:rFonts w:eastAsia="Times New Roman"/>
            <w:i/>
            <w:iCs/>
            <w:color w:val="000000"/>
            <w:sz w:val="20"/>
            <w:szCs w:val="20"/>
            <w:lang w:eastAsia="en-AU"/>
            <w14:ligatures w14:val="standardContextual"/>
          </w:rPr>
          <w:t>Legislative Instruments Act 1978</w:t>
        </w:r>
      </w:hyperlink>
      <w:r w:rsidRPr="0008039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A2973D1" w14:textId="77777777" w:rsidR="00080391" w:rsidRPr="00080391" w:rsidRDefault="00080391" w:rsidP="0008039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80391">
        <w:rPr>
          <w:rFonts w:eastAsia="Times New Roman"/>
          <w:b/>
          <w:bCs/>
          <w:color w:val="000000"/>
          <w:sz w:val="26"/>
          <w:szCs w:val="26"/>
          <w:lang w:eastAsia="en-AU"/>
          <w14:ligatures w14:val="standardContextual"/>
        </w:rPr>
        <w:t>Made by the Governor</w:t>
      </w:r>
    </w:p>
    <w:p w14:paraId="434CCF8C" w14:textId="77777777"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with the advice and consent of the Executive Council</w:t>
      </w:r>
    </w:p>
    <w:p w14:paraId="74C317A8" w14:textId="090F4681" w:rsidR="00080391" w:rsidRPr="00080391" w:rsidRDefault="00080391" w:rsidP="0008039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 xml:space="preserve">on </w:t>
      </w:r>
      <w:r w:rsidR="00987AC2">
        <w:rPr>
          <w:rFonts w:eastAsia="Times New Roman"/>
          <w:color w:val="000000"/>
          <w:sz w:val="23"/>
          <w:szCs w:val="23"/>
          <w:lang w:eastAsia="en-AU"/>
          <w14:ligatures w14:val="standardContextual"/>
        </w:rPr>
        <w:t>14 August 2025</w:t>
      </w:r>
    </w:p>
    <w:p w14:paraId="7B6F7426" w14:textId="57D9DEB4" w:rsidR="00080391" w:rsidRPr="00080391" w:rsidRDefault="00080391" w:rsidP="0008039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80391">
        <w:rPr>
          <w:rFonts w:eastAsia="Times New Roman"/>
          <w:color w:val="000000"/>
          <w:sz w:val="23"/>
          <w:szCs w:val="23"/>
          <w:lang w:eastAsia="en-AU"/>
          <w14:ligatures w14:val="standardContextual"/>
        </w:rPr>
        <w:t>No </w:t>
      </w:r>
      <w:r w:rsidR="00767D9F">
        <w:rPr>
          <w:rFonts w:eastAsia="Times New Roman"/>
          <w:color w:val="000000"/>
          <w:sz w:val="23"/>
          <w:szCs w:val="23"/>
          <w:lang w:eastAsia="en-AU"/>
          <w14:ligatures w14:val="standardContextual"/>
        </w:rPr>
        <w:t>91</w:t>
      </w:r>
      <w:r w:rsidRPr="00080391">
        <w:rPr>
          <w:rFonts w:eastAsia="Times New Roman"/>
          <w:color w:val="000000"/>
          <w:sz w:val="23"/>
          <w:szCs w:val="23"/>
          <w:lang w:eastAsia="en-AU"/>
          <w14:ligatures w14:val="standardContextual"/>
        </w:rPr>
        <w:t> of </w:t>
      </w:r>
      <w:r w:rsidR="00767D9F">
        <w:rPr>
          <w:rFonts w:eastAsia="Times New Roman"/>
          <w:color w:val="000000"/>
          <w:sz w:val="23"/>
          <w:szCs w:val="23"/>
          <w:lang w:eastAsia="en-AU"/>
          <w14:ligatures w14:val="standardContextual"/>
        </w:rPr>
        <w:t>2025</w:t>
      </w:r>
    </w:p>
    <w:p w14:paraId="2892C4D9" w14:textId="559E780B" w:rsidR="00080391" w:rsidRDefault="00080391">
      <w:pPr>
        <w:spacing w:after="0" w:line="240" w:lineRule="auto"/>
        <w:jc w:val="left"/>
        <w:rPr>
          <w:rFonts w:eastAsia="Times New Roman"/>
          <w:szCs w:val="17"/>
        </w:rPr>
      </w:pPr>
      <w:r>
        <w:br w:type="page"/>
      </w:r>
    </w:p>
    <w:p w14:paraId="11559D31" w14:textId="77777777" w:rsidR="00FD1605" w:rsidRPr="00FD1605" w:rsidRDefault="00FD1605" w:rsidP="00FD160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D1605">
        <w:rPr>
          <w:rFonts w:eastAsia="Times New Roman"/>
          <w:color w:val="000000"/>
          <w:sz w:val="28"/>
          <w:szCs w:val="28"/>
          <w:lang w:eastAsia="en-AU"/>
          <w14:ligatures w14:val="standardContextual"/>
        </w:rPr>
        <w:lastRenderedPageBreak/>
        <w:t>South Australia</w:t>
      </w:r>
    </w:p>
    <w:p w14:paraId="1C7C19AD" w14:textId="77777777" w:rsidR="00FD1605" w:rsidRPr="00FD1605" w:rsidRDefault="00FD1605" w:rsidP="00E34B09">
      <w:pPr>
        <w:pStyle w:val="Heading3"/>
        <w:rPr>
          <w:lang w:eastAsia="en-AU"/>
        </w:rPr>
      </w:pPr>
      <w:bookmarkStart w:id="496" w:name="_Toc206061757"/>
      <w:r w:rsidRPr="00FD1605">
        <w:rPr>
          <w:lang w:eastAsia="en-AU"/>
        </w:rPr>
        <w:t>Legislative Instruments (Postponement of Expiry) Regulations 2025</w:t>
      </w:r>
      <w:bookmarkEnd w:id="496"/>
    </w:p>
    <w:p w14:paraId="5FF1B027" w14:textId="77777777" w:rsidR="00FD1605" w:rsidRPr="00FD1605" w:rsidRDefault="00FD1605" w:rsidP="00FD160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D1605">
        <w:rPr>
          <w:rFonts w:eastAsia="Times New Roman"/>
          <w:color w:val="000000"/>
          <w:sz w:val="24"/>
          <w:szCs w:val="24"/>
          <w:lang w:eastAsia="en-AU"/>
          <w14:ligatures w14:val="standardContextual"/>
        </w:rPr>
        <w:t xml:space="preserve">under the </w:t>
      </w:r>
      <w:r w:rsidRPr="00FD1605">
        <w:rPr>
          <w:rFonts w:eastAsia="Times New Roman"/>
          <w:i/>
          <w:iCs/>
          <w:color w:val="000000"/>
          <w:sz w:val="24"/>
          <w:szCs w:val="24"/>
          <w:lang w:eastAsia="en-AU"/>
          <w14:ligatures w14:val="standardContextual"/>
        </w:rPr>
        <w:t>Legislative Instruments Act 1978</w:t>
      </w:r>
    </w:p>
    <w:p w14:paraId="55FFABBF" w14:textId="77777777" w:rsidR="00FD1605" w:rsidRPr="00FD1605" w:rsidRDefault="00FD1605" w:rsidP="00FD160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C6CA796" w14:textId="77777777" w:rsidR="00FD1605" w:rsidRPr="00FD1605" w:rsidRDefault="00FD1605" w:rsidP="00FD1605">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D1605">
        <w:rPr>
          <w:rFonts w:eastAsia="Times New Roman"/>
          <w:b/>
          <w:bCs/>
          <w:color w:val="000000"/>
          <w:sz w:val="32"/>
          <w:szCs w:val="32"/>
          <w:lang w:eastAsia="en-AU"/>
          <w14:ligatures w14:val="standardContextual"/>
        </w:rPr>
        <w:t>Contents</w:t>
      </w:r>
    </w:p>
    <w:p w14:paraId="7F66003A" w14:textId="77777777" w:rsidR="00FD1605" w:rsidRPr="00FD1605" w:rsidRDefault="00FD1605" w:rsidP="00FD160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FD1605">
          <w:rPr>
            <w:rFonts w:eastAsia="Times New Roman"/>
            <w:color w:val="000000"/>
            <w:sz w:val="22"/>
            <w:lang w:eastAsia="en-AU"/>
            <w14:ligatures w14:val="standardContextual"/>
          </w:rPr>
          <w:t>1</w:t>
        </w:r>
        <w:r w:rsidRPr="00FD1605">
          <w:rPr>
            <w:rFonts w:eastAsia="Times New Roman"/>
            <w:color w:val="000000"/>
            <w:sz w:val="22"/>
            <w:lang w:eastAsia="en-AU"/>
            <w14:ligatures w14:val="standardContextual"/>
          </w:rPr>
          <w:tab/>
          <w:t>Short title</w:t>
        </w:r>
      </w:hyperlink>
    </w:p>
    <w:p w14:paraId="0723B001" w14:textId="77777777" w:rsidR="00FD1605" w:rsidRPr="00FD1605" w:rsidRDefault="00FD1605" w:rsidP="00FD160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FD1605">
          <w:rPr>
            <w:rFonts w:eastAsia="Times New Roman"/>
            <w:color w:val="000000"/>
            <w:sz w:val="22"/>
            <w:lang w:eastAsia="en-AU"/>
            <w14:ligatures w14:val="standardContextual"/>
          </w:rPr>
          <w:t>2</w:t>
        </w:r>
        <w:r w:rsidRPr="00FD1605">
          <w:rPr>
            <w:rFonts w:eastAsia="Times New Roman"/>
            <w:color w:val="000000"/>
            <w:sz w:val="22"/>
            <w:lang w:eastAsia="en-AU"/>
            <w14:ligatures w14:val="standardContextual"/>
          </w:rPr>
          <w:tab/>
          <w:t>Commencement</w:t>
        </w:r>
      </w:hyperlink>
    </w:p>
    <w:p w14:paraId="7F23BE72" w14:textId="77777777" w:rsidR="00FD1605" w:rsidRPr="00FD1605" w:rsidRDefault="00FD1605" w:rsidP="00FD160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FD1605">
          <w:rPr>
            <w:rFonts w:eastAsia="Times New Roman"/>
            <w:color w:val="000000"/>
            <w:sz w:val="22"/>
            <w:lang w:eastAsia="en-AU"/>
            <w14:ligatures w14:val="standardContextual"/>
          </w:rPr>
          <w:t>3</w:t>
        </w:r>
        <w:r w:rsidRPr="00FD1605">
          <w:rPr>
            <w:rFonts w:eastAsia="Times New Roman"/>
            <w:color w:val="000000"/>
            <w:sz w:val="22"/>
            <w:lang w:eastAsia="en-AU"/>
            <w14:ligatures w14:val="standardContextual"/>
          </w:rPr>
          <w:tab/>
          <w:t>Interpretation</w:t>
        </w:r>
      </w:hyperlink>
    </w:p>
    <w:p w14:paraId="194E2270" w14:textId="77777777" w:rsidR="00FD1605" w:rsidRPr="00FD1605" w:rsidRDefault="00FD1605" w:rsidP="00FD160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FD1605">
          <w:rPr>
            <w:rFonts w:eastAsia="Times New Roman"/>
            <w:color w:val="000000"/>
            <w:sz w:val="22"/>
            <w:lang w:eastAsia="en-AU"/>
            <w14:ligatures w14:val="standardContextual"/>
          </w:rPr>
          <w:t>4</w:t>
        </w:r>
        <w:r w:rsidRPr="00FD1605">
          <w:rPr>
            <w:rFonts w:eastAsia="Times New Roman"/>
            <w:color w:val="000000"/>
            <w:sz w:val="22"/>
            <w:lang w:eastAsia="en-AU"/>
            <w14:ligatures w14:val="standardContextual"/>
          </w:rPr>
          <w:tab/>
          <w:t>Postponement of expiry for 1 year—regulations made before 1 January 2015</w:t>
        </w:r>
      </w:hyperlink>
    </w:p>
    <w:p w14:paraId="658BE273" w14:textId="77777777" w:rsidR="00FD1605" w:rsidRPr="00FD1605" w:rsidRDefault="00FD1605" w:rsidP="00FD160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FD1605">
          <w:rPr>
            <w:rFonts w:eastAsia="Times New Roman"/>
            <w:color w:val="000000"/>
            <w:sz w:val="22"/>
            <w:lang w:eastAsia="en-AU"/>
            <w14:ligatures w14:val="standardContextual"/>
          </w:rPr>
          <w:t>5</w:t>
        </w:r>
        <w:r w:rsidRPr="00FD1605">
          <w:rPr>
            <w:rFonts w:eastAsia="Times New Roman"/>
            <w:color w:val="000000"/>
            <w:sz w:val="22"/>
            <w:lang w:eastAsia="en-AU"/>
            <w14:ligatures w14:val="standardContextual"/>
          </w:rPr>
          <w:tab/>
          <w:t>Expiry of obsolete regulations</w:t>
        </w:r>
      </w:hyperlink>
    </w:p>
    <w:p w14:paraId="427B45B8" w14:textId="77777777" w:rsidR="00FD1605" w:rsidRPr="00FD1605" w:rsidRDefault="00FD1605" w:rsidP="00FD160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073a21a6_5d8f_4888_af8e_9596e93e8e16_d" w:history="1">
        <w:r w:rsidRPr="00FD1605">
          <w:rPr>
            <w:rFonts w:eastAsia="Times New Roman"/>
            <w:color w:val="000000"/>
            <w:sz w:val="28"/>
            <w:szCs w:val="28"/>
            <w:lang w:eastAsia="en-AU"/>
            <w14:ligatures w14:val="standardContextual"/>
          </w:rPr>
          <w:t>Schedule 1—Postponement of expiry</w:t>
        </w:r>
      </w:hyperlink>
    </w:p>
    <w:p w14:paraId="0E2E8BEC" w14:textId="77777777" w:rsidR="00FD1605" w:rsidRPr="00FD1605" w:rsidRDefault="00FD1605" w:rsidP="00FD160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cee66975_2359_4b80_81ae_30651fd71a97_6" w:history="1">
        <w:r w:rsidRPr="00FD1605">
          <w:rPr>
            <w:rFonts w:eastAsia="Times New Roman"/>
            <w:color w:val="000000"/>
            <w:sz w:val="28"/>
            <w:szCs w:val="28"/>
            <w:lang w:eastAsia="en-AU"/>
            <w14:ligatures w14:val="standardContextual"/>
          </w:rPr>
          <w:t>Schedule 2—Expiry of obsolete regulations</w:t>
        </w:r>
      </w:hyperlink>
    </w:p>
    <w:p w14:paraId="2ABA9BAD" w14:textId="77777777" w:rsidR="00FD1605" w:rsidRPr="00FD1605" w:rsidRDefault="00FD1605" w:rsidP="00FD160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0" w:history="1">
        <w:r w:rsidRPr="00FD1605">
          <w:rPr>
            <w:rFonts w:eastAsia="Times New Roman"/>
            <w:color w:val="000000"/>
            <w:sz w:val="28"/>
            <w:szCs w:val="28"/>
            <w:lang w:eastAsia="en-AU"/>
            <w14:ligatures w14:val="standardContextual"/>
          </w:rPr>
          <w:t xml:space="preserve">Schedule 3—Repeal of </w:t>
        </w:r>
        <w:r w:rsidRPr="00FD1605">
          <w:rPr>
            <w:rFonts w:eastAsia="Times New Roman"/>
            <w:i/>
            <w:iCs/>
            <w:color w:val="000000"/>
            <w:sz w:val="28"/>
            <w:szCs w:val="28"/>
            <w:lang w:eastAsia="en-AU"/>
            <w14:ligatures w14:val="standardContextual"/>
          </w:rPr>
          <w:t>Legislative Instruments (Postponement of Expiry) Regulations 2024</w:t>
        </w:r>
      </w:hyperlink>
    </w:p>
    <w:p w14:paraId="53F30580" w14:textId="77777777" w:rsidR="00FD1605" w:rsidRPr="00FD1605" w:rsidRDefault="00FD1605" w:rsidP="00FD160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D26EE8C" w14:textId="77777777" w:rsidR="00FD1605" w:rsidRPr="00FD1605" w:rsidRDefault="00FD1605" w:rsidP="00FD16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1605">
        <w:rPr>
          <w:rFonts w:eastAsia="Times New Roman"/>
          <w:b/>
          <w:bCs/>
          <w:color w:val="000000"/>
          <w:sz w:val="26"/>
          <w:szCs w:val="26"/>
          <w:lang w:eastAsia="en-AU"/>
          <w14:ligatures w14:val="standardContextual"/>
        </w:rPr>
        <w:t>1—Short title</w:t>
      </w:r>
    </w:p>
    <w:p w14:paraId="499A2BAE" w14:textId="77777777" w:rsidR="00FD1605" w:rsidRPr="00FD1605" w:rsidRDefault="00FD1605" w:rsidP="00FD16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 xml:space="preserve">These regulations may be cited as the </w:t>
      </w:r>
      <w:r w:rsidRPr="00FD1605">
        <w:rPr>
          <w:rFonts w:eastAsia="Times New Roman"/>
          <w:i/>
          <w:iCs/>
          <w:color w:val="000000"/>
          <w:sz w:val="23"/>
          <w:szCs w:val="23"/>
          <w:lang w:eastAsia="en-AU"/>
          <w14:ligatures w14:val="standardContextual"/>
        </w:rPr>
        <w:t>Legislative Instruments (Postponement of Expiry) Regulations 2025</w:t>
      </w:r>
      <w:r w:rsidRPr="00FD1605">
        <w:rPr>
          <w:rFonts w:eastAsia="Times New Roman"/>
          <w:color w:val="000000"/>
          <w:sz w:val="23"/>
          <w:szCs w:val="23"/>
          <w:lang w:eastAsia="en-AU"/>
          <w14:ligatures w14:val="standardContextual"/>
        </w:rPr>
        <w:t>.</w:t>
      </w:r>
    </w:p>
    <w:p w14:paraId="3A8A7C3E" w14:textId="77777777" w:rsidR="00FD1605" w:rsidRPr="00FD1605" w:rsidRDefault="00FD1605" w:rsidP="00FD16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1605">
        <w:rPr>
          <w:rFonts w:eastAsia="Times New Roman"/>
          <w:b/>
          <w:bCs/>
          <w:color w:val="000000"/>
          <w:sz w:val="26"/>
          <w:szCs w:val="26"/>
          <w:lang w:eastAsia="en-AU"/>
          <w14:ligatures w14:val="standardContextual"/>
        </w:rPr>
        <w:t>2—Commencement</w:t>
      </w:r>
    </w:p>
    <w:p w14:paraId="6DCD1BAE" w14:textId="77777777" w:rsidR="00FD1605" w:rsidRPr="00FD1605" w:rsidRDefault="00FD1605" w:rsidP="00FD16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These regulations come into operation on the day on which they are made.</w:t>
      </w:r>
    </w:p>
    <w:p w14:paraId="70ABD526" w14:textId="77777777" w:rsidR="00FD1605" w:rsidRPr="00FD1605" w:rsidRDefault="00FD1605" w:rsidP="00FD16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1605">
        <w:rPr>
          <w:rFonts w:eastAsia="Times New Roman"/>
          <w:b/>
          <w:bCs/>
          <w:color w:val="000000"/>
          <w:sz w:val="26"/>
          <w:szCs w:val="26"/>
          <w:lang w:eastAsia="en-AU"/>
          <w14:ligatures w14:val="standardContextual"/>
        </w:rPr>
        <w:t>3—Interpretation</w:t>
      </w:r>
    </w:p>
    <w:p w14:paraId="0B1D0539" w14:textId="77777777" w:rsidR="00FD1605" w:rsidRPr="00FD1605" w:rsidRDefault="00FD1605" w:rsidP="00FD160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In these regulations—</w:t>
      </w:r>
    </w:p>
    <w:p w14:paraId="735E1D44" w14:textId="77777777" w:rsidR="00FD1605" w:rsidRPr="00FD1605" w:rsidRDefault="00FD1605" w:rsidP="00FD16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1605">
        <w:rPr>
          <w:rFonts w:eastAsia="Times New Roman"/>
          <w:b/>
          <w:bCs/>
          <w:i/>
          <w:iCs/>
          <w:color w:val="000000"/>
          <w:sz w:val="23"/>
          <w:szCs w:val="23"/>
          <w:lang w:eastAsia="en-AU"/>
          <w14:ligatures w14:val="standardContextual"/>
        </w:rPr>
        <w:t>Act</w:t>
      </w:r>
      <w:r w:rsidRPr="00FD1605">
        <w:rPr>
          <w:rFonts w:eastAsia="Times New Roman"/>
          <w:color w:val="000000"/>
          <w:sz w:val="23"/>
          <w:szCs w:val="23"/>
          <w:lang w:eastAsia="en-AU"/>
          <w14:ligatures w14:val="standardContextual"/>
        </w:rPr>
        <w:t xml:space="preserve"> means the </w:t>
      </w:r>
      <w:hyperlink r:id="rId162" w:history="1">
        <w:r w:rsidRPr="00FD1605">
          <w:rPr>
            <w:rFonts w:eastAsia="Times New Roman"/>
            <w:i/>
            <w:iCs/>
            <w:color w:val="000000"/>
            <w:sz w:val="23"/>
            <w:szCs w:val="23"/>
            <w:lang w:eastAsia="en-AU"/>
            <w14:ligatures w14:val="standardContextual"/>
          </w:rPr>
          <w:t>Legislative Instruments Act 1978</w:t>
        </w:r>
      </w:hyperlink>
      <w:r w:rsidRPr="00FD1605">
        <w:rPr>
          <w:rFonts w:eastAsia="Times New Roman"/>
          <w:color w:val="000000"/>
          <w:sz w:val="23"/>
          <w:szCs w:val="23"/>
          <w:lang w:eastAsia="en-AU"/>
          <w14:ligatures w14:val="standardContextual"/>
        </w:rPr>
        <w:t>.</w:t>
      </w:r>
    </w:p>
    <w:p w14:paraId="7C95B76E" w14:textId="77777777" w:rsidR="00FD1605" w:rsidRPr="00FD1605" w:rsidRDefault="00FD1605" w:rsidP="00FD16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1605">
        <w:rPr>
          <w:rFonts w:eastAsia="Times New Roman"/>
          <w:b/>
          <w:bCs/>
          <w:color w:val="000000"/>
          <w:sz w:val="26"/>
          <w:szCs w:val="26"/>
          <w:lang w:eastAsia="en-AU"/>
          <w14:ligatures w14:val="standardContextual"/>
        </w:rPr>
        <w:t>4—Postponement of expiry for 1 year—regulations made before 1 January 2015</w:t>
      </w:r>
    </w:p>
    <w:p w14:paraId="16AAEF60" w14:textId="77777777" w:rsidR="00FD1605" w:rsidRPr="00FD1605" w:rsidRDefault="00FD1605" w:rsidP="00FD16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 xml:space="preserve">The expiry under Part 3A of the Act of the regulations listed in </w:t>
      </w:r>
      <w:hyperlink w:anchor="id073a21a6_5d8f_4888_af8e_9596e93e8e16_d" w:history="1">
        <w:r w:rsidRPr="00FD1605">
          <w:rPr>
            <w:rFonts w:eastAsia="Times New Roman"/>
            <w:color w:val="000000"/>
            <w:sz w:val="23"/>
            <w:szCs w:val="23"/>
            <w:lang w:eastAsia="en-AU"/>
            <w14:ligatures w14:val="standardContextual"/>
          </w:rPr>
          <w:t>Schedule 1</w:t>
        </w:r>
      </w:hyperlink>
      <w:r w:rsidRPr="00FD1605">
        <w:rPr>
          <w:rFonts w:eastAsia="Times New Roman"/>
          <w:color w:val="000000"/>
          <w:sz w:val="23"/>
          <w:szCs w:val="23"/>
          <w:lang w:eastAsia="en-AU"/>
          <w14:ligatures w14:val="standardContextual"/>
        </w:rPr>
        <w:t xml:space="preserve"> is postponed for a period of 1 year commencing on 1 September 2025.</w:t>
      </w:r>
    </w:p>
    <w:p w14:paraId="36ADE575" w14:textId="77777777" w:rsidR="00FD1605" w:rsidRPr="00FD1605" w:rsidRDefault="00FD1605" w:rsidP="00FD16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1605">
        <w:rPr>
          <w:rFonts w:eastAsia="Times New Roman"/>
          <w:b/>
          <w:bCs/>
          <w:color w:val="000000"/>
          <w:sz w:val="26"/>
          <w:szCs w:val="26"/>
          <w:lang w:eastAsia="en-AU"/>
          <w14:ligatures w14:val="standardContextual"/>
        </w:rPr>
        <w:t>5—Expiry of obsolete regulations</w:t>
      </w:r>
    </w:p>
    <w:p w14:paraId="48487A18" w14:textId="77777777" w:rsidR="00FD1605" w:rsidRPr="00FD1605" w:rsidRDefault="00FD1605" w:rsidP="00FD16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 xml:space="preserve">The regulations listed in </w:t>
      </w:r>
      <w:hyperlink w:anchor="idcee66975_2359_4b80_81ae_30651fd71a97_6" w:history="1">
        <w:r w:rsidRPr="00FD1605">
          <w:rPr>
            <w:rFonts w:eastAsia="Times New Roman"/>
            <w:color w:val="000000"/>
            <w:sz w:val="23"/>
            <w:szCs w:val="23"/>
            <w:lang w:eastAsia="en-AU"/>
            <w14:ligatures w14:val="standardContextual"/>
          </w:rPr>
          <w:t>Schedule 2</w:t>
        </w:r>
      </w:hyperlink>
      <w:r w:rsidRPr="00FD1605">
        <w:rPr>
          <w:rFonts w:eastAsia="Times New Roman"/>
          <w:color w:val="000000"/>
          <w:sz w:val="23"/>
          <w:szCs w:val="23"/>
          <w:lang w:eastAsia="en-AU"/>
          <w14:ligatures w14:val="standardContextual"/>
        </w:rPr>
        <w:t xml:space="preserve"> will expire under the Act on 1 September 2025.</w:t>
      </w:r>
    </w:p>
    <w:p w14:paraId="1F80B43A" w14:textId="77777777" w:rsidR="00FD1605" w:rsidRPr="00FD1605" w:rsidRDefault="00FD1605" w:rsidP="00FD16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97" w:name="id073a21a6_5d8f_4888_af8e_9596e93e8e16_d"/>
      <w:r w:rsidRPr="00FD1605">
        <w:rPr>
          <w:rFonts w:eastAsia="Times New Roman"/>
          <w:b/>
          <w:bCs/>
          <w:color w:val="000000"/>
          <w:sz w:val="32"/>
          <w:szCs w:val="32"/>
          <w:lang w:eastAsia="en-AU"/>
          <w14:ligatures w14:val="standardContextual"/>
        </w:rPr>
        <w:t>Schedule 1—Postponement of expiry</w:t>
      </w:r>
      <w:bookmarkEnd w:id="497"/>
    </w:p>
    <w:p w14:paraId="278ECFD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63" w:history="1">
        <w:r w:rsidRPr="00FD1605">
          <w:rPr>
            <w:rFonts w:eastAsia="Times New Roman"/>
            <w:i/>
            <w:iCs/>
            <w:color w:val="000000"/>
            <w:sz w:val="23"/>
            <w:szCs w:val="23"/>
            <w:lang w:eastAsia="en-AU"/>
            <w14:ligatures w14:val="standardContextual"/>
          </w:rPr>
          <w:t>Aboriginal Lands Trust Regulations 2014</w:t>
        </w:r>
      </w:hyperlink>
    </w:p>
    <w:p w14:paraId="2CC747FD"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64" w:history="1">
        <w:r w:rsidRPr="00FD1605">
          <w:rPr>
            <w:rFonts w:eastAsia="Times New Roman"/>
            <w:i/>
            <w:iCs/>
            <w:color w:val="000000"/>
            <w:sz w:val="23"/>
            <w:szCs w:val="23"/>
            <w:lang w:eastAsia="en-AU"/>
            <w14:ligatures w14:val="standardContextual"/>
          </w:rPr>
          <w:t>Advance Care Directives Regulations 2014</w:t>
        </w:r>
      </w:hyperlink>
    </w:p>
    <w:p w14:paraId="74217E3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65" w:history="1">
        <w:r w:rsidRPr="00FD1605">
          <w:rPr>
            <w:rFonts w:eastAsia="Times New Roman"/>
            <w:i/>
            <w:iCs/>
            <w:color w:val="000000"/>
            <w:sz w:val="23"/>
            <w:szCs w:val="23"/>
            <w:lang w:eastAsia="en-AU"/>
            <w14:ligatures w14:val="standardContextual"/>
          </w:rPr>
          <w:t>Air Transport (Route Licensing—Passenger Services) Regulations 2014</w:t>
        </w:r>
      </w:hyperlink>
    </w:p>
    <w:p w14:paraId="43F2EA0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66" w:history="1">
        <w:r w:rsidRPr="00FD1605">
          <w:rPr>
            <w:rFonts w:eastAsia="Times New Roman"/>
            <w:i/>
            <w:iCs/>
            <w:color w:val="000000"/>
            <w:sz w:val="23"/>
            <w:szCs w:val="23"/>
            <w:lang w:eastAsia="en-AU"/>
            <w14:ligatures w14:val="standardContextual"/>
          </w:rPr>
          <w:t>Animal Welfare Regulations 2012</w:t>
        </w:r>
      </w:hyperlink>
    </w:p>
    <w:p w14:paraId="5907F7DC" w14:textId="7ECE4740" w:rsidR="00972025" w:rsidRDefault="00FD1605" w:rsidP="00FD1605">
      <w:pPr>
        <w:keepLines/>
        <w:autoSpaceDE w:val="0"/>
        <w:autoSpaceDN w:val="0"/>
        <w:adjustRightInd w:val="0"/>
        <w:spacing w:before="120" w:after="0" w:line="240" w:lineRule="auto"/>
        <w:ind w:left="397"/>
        <w:jc w:val="left"/>
        <w:rPr>
          <w:rFonts w:eastAsia="Times New Roman"/>
          <w:i/>
          <w:iCs/>
          <w:color w:val="000000"/>
          <w:sz w:val="23"/>
          <w:szCs w:val="23"/>
          <w:lang w:eastAsia="en-AU"/>
          <w14:ligatures w14:val="standardContextual"/>
        </w:rPr>
      </w:pPr>
      <w:hyperlink r:id="rId167" w:history="1">
        <w:r w:rsidRPr="00FD1605">
          <w:rPr>
            <w:rFonts w:eastAsia="Times New Roman"/>
            <w:i/>
            <w:iCs/>
            <w:color w:val="000000"/>
            <w:sz w:val="23"/>
            <w:szCs w:val="23"/>
            <w:lang w:eastAsia="en-AU"/>
            <w14:ligatures w14:val="standardContextual"/>
          </w:rPr>
          <w:t>ASER (Restructure) Regulations 2013</w:t>
        </w:r>
      </w:hyperlink>
    </w:p>
    <w:p w14:paraId="4A90654D" w14:textId="77777777" w:rsidR="00972025" w:rsidRDefault="0097202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21BCA869"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68" w:history="1">
        <w:r w:rsidRPr="00FD1605">
          <w:rPr>
            <w:rFonts w:eastAsia="Times New Roman"/>
            <w:i/>
            <w:iCs/>
            <w:color w:val="000000"/>
            <w:sz w:val="23"/>
            <w:szCs w:val="23"/>
            <w:lang w:eastAsia="en-AU"/>
            <w14:ligatures w14:val="standardContextual"/>
          </w:rPr>
          <w:t>Births, Deaths and Marriages Registration Regulations 2011</w:t>
        </w:r>
      </w:hyperlink>
    </w:p>
    <w:p w14:paraId="5D9596C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69" w:history="1">
        <w:r w:rsidRPr="00FD1605">
          <w:rPr>
            <w:rFonts w:eastAsia="Times New Roman"/>
            <w:i/>
            <w:iCs/>
            <w:color w:val="000000"/>
            <w:sz w:val="23"/>
            <w:szCs w:val="23"/>
            <w:lang w:eastAsia="en-AU"/>
            <w14:ligatures w14:val="standardContextual"/>
          </w:rPr>
          <w:t>Building and Construction Industry Security of Payment Regulations 2011</w:t>
        </w:r>
      </w:hyperlink>
    </w:p>
    <w:p w14:paraId="4EC6AAA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0" w:history="1">
        <w:r w:rsidRPr="00FD1605">
          <w:rPr>
            <w:rFonts w:eastAsia="Times New Roman"/>
            <w:i/>
            <w:iCs/>
            <w:color w:val="000000"/>
            <w:sz w:val="23"/>
            <w:szCs w:val="23"/>
            <w:lang w:eastAsia="en-AU"/>
            <w14:ligatures w14:val="standardContextual"/>
          </w:rPr>
          <w:t>Building Work Contractors Regulations 2011</w:t>
        </w:r>
      </w:hyperlink>
    </w:p>
    <w:p w14:paraId="368CEE3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1" w:history="1">
        <w:r w:rsidRPr="00FD1605">
          <w:rPr>
            <w:rFonts w:eastAsia="Times New Roman"/>
            <w:i/>
            <w:iCs/>
            <w:color w:val="000000"/>
            <w:sz w:val="23"/>
            <w:szCs w:val="23"/>
            <w:lang w:eastAsia="en-AU"/>
            <w14:ligatures w14:val="standardContextual"/>
          </w:rPr>
          <w:t>Burial and Cremation Regulations 2014</w:t>
        </w:r>
      </w:hyperlink>
    </w:p>
    <w:p w14:paraId="579C1E0E"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2" w:history="1">
        <w:r w:rsidRPr="00FD1605">
          <w:rPr>
            <w:rFonts w:eastAsia="Times New Roman"/>
            <w:i/>
            <w:iCs/>
            <w:color w:val="000000"/>
            <w:sz w:val="23"/>
            <w:szCs w:val="23"/>
            <w:lang w:eastAsia="en-AU"/>
            <w14:ligatures w14:val="standardContextual"/>
          </w:rPr>
          <w:t>Carrick Hill Trust Regulations 2012</w:t>
        </w:r>
      </w:hyperlink>
    </w:p>
    <w:p w14:paraId="1B39EA03"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3" w:history="1">
        <w:r w:rsidRPr="00FD1605">
          <w:rPr>
            <w:rFonts w:eastAsia="Times New Roman"/>
            <w:i/>
            <w:iCs/>
            <w:color w:val="000000"/>
            <w:sz w:val="23"/>
            <w:szCs w:val="23"/>
            <w:lang w:eastAsia="en-AU"/>
            <w14:ligatures w14:val="standardContextual"/>
          </w:rPr>
          <w:t>Casino Regulations 2013</w:t>
        </w:r>
      </w:hyperlink>
    </w:p>
    <w:p w14:paraId="17D33049"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4" w:history="1">
        <w:r w:rsidRPr="00FD1605">
          <w:rPr>
            <w:rFonts w:eastAsia="Times New Roman"/>
            <w:i/>
            <w:iCs/>
            <w:color w:val="000000"/>
            <w:sz w:val="23"/>
            <w:szCs w:val="23"/>
            <w:lang w:eastAsia="en-AU"/>
            <w14:ligatures w14:val="standardContextual"/>
          </w:rPr>
          <w:t>Civil Liability Regulations 2013</w:t>
        </w:r>
      </w:hyperlink>
    </w:p>
    <w:p w14:paraId="1BF02708"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5" w:history="1">
        <w:r w:rsidRPr="00FD1605">
          <w:rPr>
            <w:rFonts w:eastAsia="Times New Roman"/>
            <w:i/>
            <w:iCs/>
            <w:color w:val="000000"/>
            <w:sz w:val="23"/>
            <w:szCs w:val="23"/>
            <w:lang w:eastAsia="en-AU"/>
            <w14:ligatures w14:val="standardContextual"/>
          </w:rPr>
          <w:t>Classification (Publications, Films and Computer Games) Regulations 2011</w:t>
        </w:r>
      </w:hyperlink>
    </w:p>
    <w:p w14:paraId="67160E75"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6" w:history="1">
        <w:r w:rsidRPr="00FD1605">
          <w:rPr>
            <w:rFonts w:eastAsia="Times New Roman"/>
            <w:i/>
            <w:iCs/>
            <w:color w:val="000000"/>
            <w:sz w:val="23"/>
            <w:szCs w:val="23"/>
            <w:lang w:eastAsia="en-AU"/>
            <w14:ligatures w14:val="standardContextual"/>
          </w:rPr>
          <w:t>Commonwealth Places (Mirror Taxes Administration) (Modification of State Taxing Laws) Regulations 2014</w:t>
        </w:r>
      </w:hyperlink>
    </w:p>
    <w:p w14:paraId="5435935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7" w:history="1">
        <w:r w:rsidRPr="00FD1605">
          <w:rPr>
            <w:rFonts w:eastAsia="Times New Roman"/>
            <w:i/>
            <w:iCs/>
            <w:color w:val="000000"/>
            <w:sz w:val="23"/>
            <w:szCs w:val="23"/>
            <w:lang w:eastAsia="en-AU"/>
            <w14:ligatures w14:val="standardContextual"/>
          </w:rPr>
          <w:t>Community Housing Providers (National Law) (South Australia) Regulations 2014</w:t>
        </w:r>
      </w:hyperlink>
    </w:p>
    <w:p w14:paraId="26616B1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8" w:history="1">
        <w:r w:rsidRPr="00FD1605">
          <w:rPr>
            <w:rFonts w:eastAsia="Times New Roman"/>
            <w:i/>
            <w:iCs/>
            <w:color w:val="000000"/>
            <w:sz w:val="23"/>
            <w:szCs w:val="23"/>
            <w:lang w:eastAsia="en-AU"/>
            <w14:ligatures w14:val="standardContextual"/>
          </w:rPr>
          <w:t>Community Titles Regulations 2011</w:t>
        </w:r>
      </w:hyperlink>
    </w:p>
    <w:p w14:paraId="0255EA9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79" w:history="1">
        <w:r w:rsidRPr="00FD1605">
          <w:rPr>
            <w:rFonts w:eastAsia="Times New Roman"/>
            <w:i/>
            <w:iCs/>
            <w:color w:val="000000"/>
            <w:sz w:val="23"/>
            <w:szCs w:val="23"/>
            <w:lang w:eastAsia="en-AU"/>
            <w14:ligatures w14:val="standardContextual"/>
          </w:rPr>
          <w:t>Consent to Medical Treatment and Palliative Care Regulations 2014</w:t>
        </w:r>
      </w:hyperlink>
    </w:p>
    <w:p w14:paraId="35161E5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0" w:history="1">
        <w:r w:rsidRPr="00FD1605">
          <w:rPr>
            <w:rFonts w:eastAsia="Times New Roman"/>
            <w:i/>
            <w:iCs/>
            <w:color w:val="000000"/>
            <w:sz w:val="23"/>
            <w:szCs w:val="23"/>
            <w:lang w:eastAsia="en-AU"/>
            <w14:ligatures w14:val="standardContextual"/>
          </w:rPr>
          <w:t>Controlled Substances (Controlled Drugs, Precursors and Plants) Regulations 2014</w:t>
        </w:r>
      </w:hyperlink>
    </w:p>
    <w:p w14:paraId="2C95D36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1" w:history="1">
        <w:r w:rsidRPr="00FD1605">
          <w:rPr>
            <w:rFonts w:eastAsia="Times New Roman"/>
            <w:i/>
            <w:iCs/>
            <w:color w:val="000000"/>
            <w:sz w:val="23"/>
            <w:szCs w:val="23"/>
            <w:lang w:eastAsia="en-AU"/>
            <w14:ligatures w14:val="standardContextual"/>
          </w:rPr>
          <w:t>Controlled Substances (Poisons) Regulations 2011</w:t>
        </w:r>
      </w:hyperlink>
    </w:p>
    <w:p w14:paraId="0ADB2BC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2" w:history="1">
        <w:r w:rsidRPr="00FD1605">
          <w:rPr>
            <w:rFonts w:eastAsia="Times New Roman"/>
            <w:i/>
            <w:iCs/>
            <w:color w:val="000000"/>
            <w:sz w:val="23"/>
            <w:szCs w:val="23"/>
            <w:lang w:eastAsia="en-AU"/>
            <w14:ligatures w14:val="standardContextual"/>
          </w:rPr>
          <w:t>Criminal Investigation (Covert Operations) Regulations 2014</w:t>
        </w:r>
      </w:hyperlink>
    </w:p>
    <w:p w14:paraId="152BF8BE"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3" w:history="1">
        <w:r w:rsidRPr="00FD1605">
          <w:rPr>
            <w:rFonts w:eastAsia="Times New Roman"/>
            <w:i/>
            <w:iCs/>
            <w:color w:val="000000"/>
            <w:sz w:val="23"/>
            <w:szCs w:val="23"/>
            <w:lang w:eastAsia="en-AU"/>
            <w14:ligatures w14:val="standardContextual"/>
          </w:rPr>
          <w:t>Director of Public Prosecutions Regulations 2014</w:t>
        </w:r>
      </w:hyperlink>
    </w:p>
    <w:p w14:paraId="52F25D6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4" w:history="1">
        <w:r w:rsidRPr="00FD1605">
          <w:rPr>
            <w:rFonts w:eastAsia="Times New Roman"/>
            <w:i/>
            <w:iCs/>
            <w:color w:val="000000"/>
            <w:sz w:val="23"/>
            <w:szCs w:val="23"/>
            <w:lang w:eastAsia="en-AU"/>
            <w14:ligatures w14:val="standardContextual"/>
          </w:rPr>
          <w:t>Disability Services (Community Visitor Scheme) Regulations 2013</w:t>
        </w:r>
      </w:hyperlink>
    </w:p>
    <w:p w14:paraId="36F5093D"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5" w:history="1">
        <w:r w:rsidRPr="00FD1605">
          <w:rPr>
            <w:rFonts w:eastAsia="Times New Roman"/>
            <w:i/>
            <w:iCs/>
            <w:color w:val="000000"/>
            <w:sz w:val="23"/>
            <w:szCs w:val="23"/>
            <w:lang w:eastAsia="en-AU"/>
            <w14:ligatures w14:val="standardContextual"/>
          </w:rPr>
          <w:t>Education and Early Childhood Services (Registration and Standards) Regulations 2011</w:t>
        </w:r>
      </w:hyperlink>
    </w:p>
    <w:p w14:paraId="7170291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6" w:history="1">
        <w:r w:rsidRPr="00FD1605">
          <w:rPr>
            <w:rFonts w:eastAsia="Times New Roman"/>
            <w:i/>
            <w:iCs/>
            <w:color w:val="000000"/>
            <w:sz w:val="23"/>
            <w:szCs w:val="23"/>
            <w:lang w:eastAsia="en-AU"/>
            <w14:ligatures w14:val="standardContextual"/>
          </w:rPr>
          <w:t>Electricity (General) Regulations 2012</w:t>
        </w:r>
      </w:hyperlink>
    </w:p>
    <w:p w14:paraId="76E4956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7" w:history="1">
        <w:r w:rsidRPr="00FD1605">
          <w:rPr>
            <w:rFonts w:eastAsia="Times New Roman"/>
            <w:i/>
            <w:iCs/>
            <w:color w:val="000000"/>
            <w:sz w:val="23"/>
            <w:szCs w:val="23"/>
            <w:lang w:eastAsia="en-AU"/>
            <w14:ligatures w14:val="standardContextual"/>
          </w:rPr>
          <w:t>Electricity Corporations (Restructuring and Disposal) Regulations 2014</w:t>
        </w:r>
      </w:hyperlink>
    </w:p>
    <w:p w14:paraId="3A4509B4"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8" w:history="1">
        <w:r w:rsidRPr="00FD1605">
          <w:rPr>
            <w:rFonts w:eastAsia="Times New Roman"/>
            <w:i/>
            <w:iCs/>
            <w:color w:val="000000"/>
            <w:sz w:val="23"/>
            <w:szCs w:val="23"/>
            <w:lang w:eastAsia="en-AU"/>
            <w14:ligatures w14:val="standardContextual"/>
          </w:rPr>
          <w:t>Emergency Services Funding (Remissions—Land) Regulations 2014</w:t>
        </w:r>
      </w:hyperlink>
    </w:p>
    <w:p w14:paraId="0592248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89" w:history="1">
        <w:r w:rsidRPr="00FD1605">
          <w:rPr>
            <w:rFonts w:eastAsia="Times New Roman"/>
            <w:i/>
            <w:iCs/>
            <w:color w:val="000000"/>
            <w:sz w:val="23"/>
            <w:szCs w:val="23"/>
            <w:lang w:eastAsia="en-AU"/>
            <w14:ligatures w14:val="standardContextual"/>
          </w:rPr>
          <w:t>Emergency Services Funding (Remissions—Motor Vehicles and Vessels) Regulations 2014</w:t>
        </w:r>
      </w:hyperlink>
    </w:p>
    <w:p w14:paraId="528FCBE5"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0" w:history="1">
        <w:r w:rsidRPr="00FD1605">
          <w:rPr>
            <w:rFonts w:eastAsia="Times New Roman"/>
            <w:i/>
            <w:iCs/>
            <w:color w:val="000000"/>
            <w:sz w:val="23"/>
            <w:szCs w:val="23"/>
            <w:lang w:eastAsia="en-AU"/>
            <w14:ligatures w14:val="standardContextual"/>
          </w:rPr>
          <w:t>Energy Products (Safety and Efficiency) Regulations 2012</w:t>
        </w:r>
      </w:hyperlink>
    </w:p>
    <w:p w14:paraId="718DF844"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1" w:history="1">
        <w:r w:rsidRPr="00FD1605">
          <w:rPr>
            <w:rFonts w:eastAsia="Times New Roman"/>
            <w:i/>
            <w:iCs/>
            <w:color w:val="000000"/>
            <w:sz w:val="23"/>
            <w:szCs w:val="23"/>
            <w:lang w:eastAsia="en-AU"/>
            <w14:ligatures w14:val="standardContextual"/>
          </w:rPr>
          <w:t>Energy Resources Regulations 2013</w:t>
        </w:r>
      </w:hyperlink>
    </w:p>
    <w:p w14:paraId="6E7A2E0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2" w:history="1">
        <w:r w:rsidRPr="00FD1605">
          <w:rPr>
            <w:rFonts w:eastAsia="Times New Roman"/>
            <w:i/>
            <w:iCs/>
            <w:color w:val="000000"/>
            <w:sz w:val="23"/>
            <w:szCs w:val="23"/>
            <w:lang w:eastAsia="en-AU"/>
            <w14:ligatures w14:val="standardContextual"/>
          </w:rPr>
          <w:t>Expiation of Offences Regulations 2011</w:t>
        </w:r>
      </w:hyperlink>
    </w:p>
    <w:p w14:paraId="6043CC6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3" w:history="1">
        <w:r w:rsidRPr="00FD1605">
          <w:rPr>
            <w:rFonts w:eastAsia="Times New Roman"/>
            <w:i/>
            <w:iCs/>
            <w:color w:val="000000"/>
            <w:sz w:val="23"/>
            <w:szCs w:val="23"/>
            <w:lang w:eastAsia="en-AU"/>
            <w14:ligatures w14:val="standardContextual"/>
          </w:rPr>
          <w:t>Explosives Regulations 2011</w:t>
        </w:r>
      </w:hyperlink>
    </w:p>
    <w:p w14:paraId="2404945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4" w:history="1">
        <w:r w:rsidRPr="00FD1605">
          <w:rPr>
            <w:rFonts w:eastAsia="Times New Roman"/>
            <w:i/>
            <w:iCs/>
            <w:color w:val="000000"/>
            <w:sz w:val="23"/>
            <w:szCs w:val="23"/>
            <w:lang w:eastAsia="en-AU"/>
            <w14:ligatures w14:val="standardContextual"/>
          </w:rPr>
          <w:t>Fair Trading (Farming Industry Dispute Resolution Code) Regulations 2013</w:t>
        </w:r>
      </w:hyperlink>
    </w:p>
    <w:p w14:paraId="5EBC4F35"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5" w:history="1">
        <w:r w:rsidRPr="00FD1605">
          <w:rPr>
            <w:rFonts w:eastAsia="Times New Roman"/>
            <w:i/>
            <w:iCs/>
            <w:color w:val="000000"/>
            <w:sz w:val="23"/>
            <w:szCs w:val="23"/>
            <w:lang w:eastAsia="en-AU"/>
            <w14:ligatures w14:val="standardContextual"/>
          </w:rPr>
          <w:t>Fair Trading (Fuel Industry Code) Regulations 2013</w:t>
        </w:r>
      </w:hyperlink>
    </w:p>
    <w:p w14:paraId="7937908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6" w:history="1">
        <w:r w:rsidRPr="00FD1605">
          <w:rPr>
            <w:rFonts w:eastAsia="Times New Roman"/>
            <w:i/>
            <w:iCs/>
            <w:color w:val="000000"/>
            <w:sz w:val="23"/>
            <w:szCs w:val="23"/>
            <w:lang w:eastAsia="en-AU"/>
            <w14:ligatures w14:val="standardContextual"/>
          </w:rPr>
          <w:t>Fair Trading (Motor Vehicle Industry Dispute Resolution Code) Regulations 2014</w:t>
        </w:r>
      </w:hyperlink>
    </w:p>
    <w:p w14:paraId="63B05093"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7" w:history="1">
        <w:r w:rsidRPr="00FD1605">
          <w:rPr>
            <w:rFonts w:eastAsia="Times New Roman"/>
            <w:i/>
            <w:iCs/>
            <w:color w:val="000000"/>
            <w:sz w:val="23"/>
            <w:szCs w:val="23"/>
            <w:lang w:eastAsia="en-AU"/>
            <w14:ligatures w14:val="standardContextual"/>
          </w:rPr>
          <w:t>Fair Trading (Newsagency Industry Dispute Resolution Code) Regulations 2014</w:t>
        </w:r>
      </w:hyperlink>
    </w:p>
    <w:p w14:paraId="7E1006D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8" w:history="1">
        <w:r w:rsidRPr="00FD1605">
          <w:rPr>
            <w:rFonts w:eastAsia="Times New Roman"/>
            <w:i/>
            <w:iCs/>
            <w:color w:val="000000"/>
            <w:sz w:val="23"/>
            <w:szCs w:val="23"/>
            <w:lang w:eastAsia="en-AU"/>
            <w14:ligatures w14:val="standardContextual"/>
          </w:rPr>
          <w:t>Fair Trading (Pre-paid Funerals Industry Code) Regulations 2011</w:t>
        </w:r>
      </w:hyperlink>
    </w:p>
    <w:p w14:paraId="47E283F3"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199" w:history="1">
        <w:r w:rsidRPr="00FD1605">
          <w:rPr>
            <w:rFonts w:eastAsia="Times New Roman"/>
            <w:i/>
            <w:iCs/>
            <w:color w:val="000000"/>
            <w:sz w:val="23"/>
            <w:szCs w:val="23"/>
            <w:lang w:eastAsia="en-AU"/>
            <w14:ligatures w14:val="standardContextual"/>
          </w:rPr>
          <w:t>Fisheries Management (Blue Crab Fishery) Regulations 2013</w:t>
        </w:r>
      </w:hyperlink>
    </w:p>
    <w:p w14:paraId="57ECDD37"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0" w:history="1">
        <w:r w:rsidRPr="00FD1605">
          <w:rPr>
            <w:rFonts w:eastAsia="Times New Roman"/>
            <w:i/>
            <w:iCs/>
            <w:color w:val="000000"/>
            <w:sz w:val="23"/>
            <w:szCs w:val="23"/>
            <w:lang w:eastAsia="en-AU"/>
            <w14:ligatures w14:val="standardContextual"/>
          </w:rPr>
          <w:t>Fisheries Management (Miscellaneous Broodstock and Seedstock Fishery) Regulations 2013</w:t>
        </w:r>
      </w:hyperlink>
    </w:p>
    <w:p w14:paraId="34EF5BF3" w14:textId="11FB1036" w:rsidR="00972025" w:rsidRDefault="00FD1605" w:rsidP="00FD1605">
      <w:pPr>
        <w:keepLines/>
        <w:autoSpaceDE w:val="0"/>
        <w:autoSpaceDN w:val="0"/>
        <w:adjustRightInd w:val="0"/>
        <w:spacing w:before="120" w:after="0" w:line="240" w:lineRule="auto"/>
        <w:ind w:left="397"/>
        <w:jc w:val="left"/>
        <w:rPr>
          <w:rFonts w:eastAsia="Times New Roman"/>
          <w:i/>
          <w:iCs/>
          <w:color w:val="000000"/>
          <w:sz w:val="23"/>
          <w:szCs w:val="23"/>
          <w:lang w:eastAsia="en-AU"/>
          <w14:ligatures w14:val="standardContextual"/>
        </w:rPr>
      </w:pPr>
      <w:hyperlink r:id="rId201" w:history="1">
        <w:r w:rsidRPr="00FD1605">
          <w:rPr>
            <w:rFonts w:eastAsia="Times New Roman"/>
            <w:i/>
            <w:iCs/>
            <w:color w:val="000000"/>
            <w:sz w:val="23"/>
            <w:szCs w:val="23"/>
            <w:lang w:eastAsia="en-AU"/>
            <w14:ligatures w14:val="standardContextual"/>
          </w:rPr>
          <w:t>Fisheries Management (Miscellaneous Developmental Fishery) Regulations 2013</w:t>
        </w:r>
      </w:hyperlink>
    </w:p>
    <w:p w14:paraId="67A9AE6C" w14:textId="77777777" w:rsidR="00972025" w:rsidRDefault="0097202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5DA7525E"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2" w:history="1">
        <w:r w:rsidRPr="00FD1605">
          <w:rPr>
            <w:rFonts w:eastAsia="Times New Roman"/>
            <w:i/>
            <w:iCs/>
            <w:color w:val="000000"/>
            <w:sz w:val="23"/>
            <w:szCs w:val="23"/>
            <w:lang w:eastAsia="en-AU"/>
            <w14:ligatures w14:val="standardContextual"/>
          </w:rPr>
          <w:t>Fisheries Management (Miscellaneous Research Fishery) Regulations 2013</w:t>
        </w:r>
      </w:hyperlink>
    </w:p>
    <w:p w14:paraId="770FB8D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3" w:history="1">
        <w:r w:rsidRPr="00FD1605">
          <w:rPr>
            <w:rFonts w:eastAsia="Times New Roman"/>
            <w:i/>
            <w:iCs/>
            <w:color w:val="000000"/>
            <w:sz w:val="23"/>
            <w:szCs w:val="23"/>
            <w:lang w:eastAsia="en-AU"/>
            <w14:ligatures w14:val="standardContextual"/>
          </w:rPr>
          <w:t>Forest Property Regulations 2014</w:t>
        </w:r>
      </w:hyperlink>
    </w:p>
    <w:p w14:paraId="3133D28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4" w:history="1">
        <w:r w:rsidRPr="00FD1605">
          <w:rPr>
            <w:rFonts w:eastAsia="Times New Roman"/>
            <w:i/>
            <w:iCs/>
            <w:color w:val="000000"/>
            <w:sz w:val="23"/>
            <w:szCs w:val="23"/>
            <w:lang w:eastAsia="en-AU"/>
            <w14:ligatures w14:val="standardContextual"/>
          </w:rPr>
          <w:t>Forestry Regulations 2013</w:t>
        </w:r>
      </w:hyperlink>
    </w:p>
    <w:p w14:paraId="2C20293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5" w:history="1">
        <w:r w:rsidRPr="00FD1605">
          <w:rPr>
            <w:rFonts w:eastAsia="Times New Roman"/>
            <w:i/>
            <w:iCs/>
            <w:color w:val="000000"/>
            <w:sz w:val="23"/>
            <w:szCs w:val="23"/>
            <w:lang w:eastAsia="en-AU"/>
            <w14:ligatures w14:val="standardContextual"/>
          </w:rPr>
          <w:t>Gas Regulations 2012</w:t>
        </w:r>
      </w:hyperlink>
    </w:p>
    <w:p w14:paraId="68DAB25E"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6" w:history="1">
        <w:r w:rsidRPr="00FD1605">
          <w:rPr>
            <w:rFonts w:eastAsia="Times New Roman"/>
            <w:i/>
            <w:iCs/>
            <w:color w:val="000000"/>
            <w:sz w:val="23"/>
            <w:szCs w:val="23"/>
            <w:lang w:eastAsia="en-AU"/>
            <w14:ligatures w14:val="standardContextual"/>
          </w:rPr>
          <w:t>Graffiti Control Regulations 2013</w:t>
        </w:r>
      </w:hyperlink>
    </w:p>
    <w:p w14:paraId="28F9BC9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7" w:history="1">
        <w:r w:rsidRPr="00FD1605">
          <w:rPr>
            <w:rFonts w:eastAsia="Times New Roman"/>
            <w:i/>
            <w:iCs/>
            <w:color w:val="000000"/>
            <w:sz w:val="23"/>
            <w:szCs w:val="23"/>
            <w:lang w:eastAsia="en-AU"/>
            <w14:ligatures w14:val="standardContextual"/>
          </w:rPr>
          <w:t>Heavy Vehicle National Law (South Australia) (Savings, Transitional and Declaratory) Regulations 2013</w:t>
        </w:r>
      </w:hyperlink>
    </w:p>
    <w:p w14:paraId="0FC554D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8" w:history="1">
        <w:r w:rsidRPr="00FD1605">
          <w:rPr>
            <w:rFonts w:eastAsia="Times New Roman"/>
            <w:i/>
            <w:iCs/>
            <w:color w:val="000000"/>
            <w:sz w:val="23"/>
            <w:szCs w:val="23"/>
            <w:lang w:eastAsia="en-AU"/>
            <w14:ligatures w14:val="standardContextual"/>
          </w:rPr>
          <w:t>Independent Commission Against Corruption Regulations 2013</w:t>
        </w:r>
      </w:hyperlink>
    </w:p>
    <w:p w14:paraId="2054570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09" w:history="1">
        <w:r w:rsidRPr="00FD1605">
          <w:rPr>
            <w:rFonts w:eastAsia="Times New Roman"/>
            <w:i/>
            <w:iCs/>
            <w:color w:val="000000"/>
            <w:sz w:val="23"/>
            <w:szCs w:val="23"/>
            <w:lang w:eastAsia="en-AU"/>
            <w14:ligatures w14:val="standardContextual"/>
          </w:rPr>
          <w:t>Intervention Orders (Prevention of Abuse) Regulations 2011</w:t>
        </w:r>
      </w:hyperlink>
    </w:p>
    <w:p w14:paraId="5E9AA338"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0" w:history="1">
        <w:r w:rsidRPr="00FD1605">
          <w:rPr>
            <w:rFonts w:eastAsia="Times New Roman"/>
            <w:i/>
            <w:iCs/>
            <w:color w:val="000000"/>
            <w:sz w:val="23"/>
            <w:szCs w:val="23"/>
            <w:lang w:eastAsia="en-AU"/>
            <w14:ligatures w14:val="standardContextual"/>
          </w:rPr>
          <w:t>Juries (General) Regulations 2013</w:t>
        </w:r>
      </w:hyperlink>
    </w:p>
    <w:p w14:paraId="6D747DB9"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1" w:history="1">
        <w:r w:rsidRPr="00FD1605">
          <w:rPr>
            <w:rFonts w:eastAsia="Times New Roman"/>
            <w:i/>
            <w:iCs/>
            <w:color w:val="000000"/>
            <w:sz w:val="23"/>
            <w:szCs w:val="23"/>
            <w:lang w:eastAsia="en-AU"/>
            <w14:ligatures w14:val="standardContextual"/>
          </w:rPr>
          <w:t>Late Payment of Government Debts (Interest) Regulations 2014</w:t>
        </w:r>
      </w:hyperlink>
    </w:p>
    <w:p w14:paraId="29080F0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2" w:history="1">
        <w:r w:rsidRPr="00FD1605">
          <w:rPr>
            <w:rFonts w:eastAsia="Times New Roman"/>
            <w:i/>
            <w:iCs/>
            <w:color w:val="000000"/>
            <w:sz w:val="23"/>
            <w:szCs w:val="23"/>
            <w:lang w:eastAsia="en-AU"/>
            <w14:ligatures w14:val="standardContextual"/>
          </w:rPr>
          <w:t>Legal Practitioners Regulations 2014</w:t>
        </w:r>
      </w:hyperlink>
    </w:p>
    <w:p w14:paraId="3534695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3" w:history="1">
        <w:r w:rsidRPr="00FD1605">
          <w:rPr>
            <w:rFonts w:eastAsia="Times New Roman"/>
            <w:i/>
            <w:iCs/>
            <w:color w:val="000000"/>
            <w:sz w:val="23"/>
            <w:szCs w:val="23"/>
            <w:lang w:eastAsia="en-AU"/>
            <w14:ligatures w14:val="standardContextual"/>
          </w:rPr>
          <w:t>Libraries Regulations 2013</w:t>
        </w:r>
      </w:hyperlink>
    </w:p>
    <w:p w14:paraId="36B8F4A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4" w:history="1">
        <w:r w:rsidRPr="00FD1605">
          <w:rPr>
            <w:rFonts w:eastAsia="Times New Roman"/>
            <w:i/>
            <w:iCs/>
            <w:color w:val="000000"/>
            <w:sz w:val="23"/>
            <w:szCs w:val="23"/>
            <w:lang w:eastAsia="en-AU"/>
            <w14:ligatures w14:val="standardContextual"/>
          </w:rPr>
          <w:t>Liquor Licensing (General) Regulations 2012</w:t>
        </w:r>
      </w:hyperlink>
    </w:p>
    <w:p w14:paraId="708DCB2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5" w:history="1">
        <w:r w:rsidRPr="00FD1605">
          <w:rPr>
            <w:rFonts w:eastAsia="Times New Roman"/>
            <w:i/>
            <w:iCs/>
            <w:color w:val="000000"/>
            <w:sz w:val="23"/>
            <w:szCs w:val="23"/>
            <w:lang w:eastAsia="en-AU"/>
            <w14:ligatures w14:val="standardContextual"/>
          </w:rPr>
          <w:t>Livestock Regulations 2013</w:t>
        </w:r>
      </w:hyperlink>
    </w:p>
    <w:p w14:paraId="0AB6C0D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6" w:history="1">
        <w:r w:rsidRPr="00FD1605">
          <w:rPr>
            <w:rFonts w:eastAsia="Times New Roman"/>
            <w:i/>
            <w:iCs/>
            <w:color w:val="000000"/>
            <w:sz w:val="23"/>
            <w:szCs w:val="23"/>
            <w:lang w:eastAsia="en-AU"/>
            <w14:ligatures w14:val="standardContextual"/>
          </w:rPr>
          <w:t>Local Government (Financial Management) Regulations 2011</w:t>
        </w:r>
      </w:hyperlink>
    </w:p>
    <w:p w14:paraId="20113B72"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7" w:history="1">
        <w:r w:rsidRPr="00FD1605">
          <w:rPr>
            <w:rFonts w:eastAsia="Times New Roman"/>
            <w:i/>
            <w:iCs/>
            <w:color w:val="000000"/>
            <w:sz w:val="23"/>
            <w:szCs w:val="23"/>
            <w:lang w:eastAsia="en-AU"/>
            <w14:ligatures w14:val="standardContextual"/>
          </w:rPr>
          <w:t>Local Government (General) Regulations 2013</w:t>
        </w:r>
      </w:hyperlink>
    </w:p>
    <w:p w14:paraId="50224C7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8" w:history="1">
        <w:r w:rsidRPr="00FD1605">
          <w:rPr>
            <w:rFonts w:eastAsia="Times New Roman"/>
            <w:i/>
            <w:iCs/>
            <w:color w:val="000000"/>
            <w:sz w:val="23"/>
            <w:szCs w:val="23"/>
            <w:lang w:eastAsia="en-AU"/>
            <w14:ligatures w14:val="standardContextual"/>
          </w:rPr>
          <w:t>Local Government (Procedures at Meetings) Regulations 2013</w:t>
        </w:r>
      </w:hyperlink>
    </w:p>
    <w:p w14:paraId="4EDD73E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9" w:history="1">
        <w:r w:rsidRPr="00FD1605">
          <w:rPr>
            <w:rFonts w:eastAsia="Times New Roman"/>
            <w:i/>
            <w:iCs/>
            <w:color w:val="000000"/>
            <w:sz w:val="23"/>
            <w:szCs w:val="23"/>
            <w:lang w:eastAsia="en-AU"/>
            <w14:ligatures w14:val="standardContextual"/>
          </w:rPr>
          <w:t>Marine Parks (Zoning) Regulations 2012</w:t>
        </w:r>
      </w:hyperlink>
    </w:p>
    <w:p w14:paraId="20B582D3"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0" w:history="1">
        <w:r w:rsidRPr="00FD1605">
          <w:rPr>
            <w:rFonts w:eastAsia="Times New Roman"/>
            <w:i/>
            <w:iCs/>
            <w:color w:val="000000"/>
            <w:sz w:val="23"/>
            <w:szCs w:val="23"/>
            <w:lang w:eastAsia="en-AU"/>
            <w14:ligatures w14:val="standardContextual"/>
          </w:rPr>
          <w:t>Marine Safety (Domestic Commercial Vessel) National Law (Application) Regulations 2013</w:t>
        </w:r>
      </w:hyperlink>
    </w:p>
    <w:p w14:paraId="6E689AD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1" w:history="1">
        <w:r w:rsidRPr="00FD1605">
          <w:rPr>
            <w:rFonts w:eastAsia="Times New Roman"/>
            <w:i/>
            <w:iCs/>
            <w:color w:val="000000"/>
            <w:sz w:val="23"/>
            <w:szCs w:val="23"/>
            <w:lang w:eastAsia="en-AU"/>
            <w14:ligatures w14:val="standardContextual"/>
          </w:rPr>
          <w:t>Metropolitan Adelaide Road Widening Plan Regulations 2014</w:t>
        </w:r>
      </w:hyperlink>
    </w:p>
    <w:p w14:paraId="3E08065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2" w:history="1">
        <w:r w:rsidRPr="00FD1605">
          <w:rPr>
            <w:rFonts w:eastAsia="Times New Roman"/>
            <w:i/>
            <w:iCs/>
            <w:color w:val="000000"/>
            <w:sz w:val="23"/>
            <w:szCs w:val="23"/>
            <w:lang w:eastAsia="en-AU"/>
            <w14:ligatures w14:val="standardContextual"/>
          </w:rPr>
          <w:t>Mines and Works Inspection Regulations 2013</w:t>
        </w:r>
      </w:hyperlink>
    </w:p>
    <w:p w14:paraId="54E7028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3" w:history="1">
        <w:r w:rsidRPr="00FD1605">
          <w:rPr>
            <w:rFonts w:eastAsia="Times New Roman"/>
            <w:i/>
            <w:iCs/>
            <w:color w:val="000000"/>
            <w:sz w:val="23"/>
            <w:szCs w:val="23"/>
            <w:lang w:eastAsia="en-AU"/>
            <w14:ligatures w14:val="standardContextual"/>
          </w:rPr>
          <w:t>Motor Vehicle Accidents (Lifetime Support Scheme) Regulations 2014</w:t>
        </w:r>
      </w:hyperlink>
    </w:p>
    <w:p w14:paraId="3D57E7B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4" w:history="1">
        <w:r w:rsidRPr="00FD1605">
          <w:rPr>
            <w:rFonts w:eastAsia="Times New Roman"/>
            <w:i/>
            <w:iCs/>
            <w:color w:val="000000"/>
            <w:sz w:val="23"/>
            <w:szCs w:val="23"/>
            <w:lang w:eastAsia="en-AU"/>
            <w14:ligatures w14:val="standardContextual"/>
          </w:rPr>
          <w:t>Motor Vehicles (Third Party Insurance) Regulations 2013</w:t>
        </w:r>
      </w:hyperlink>
    </w:p>
    <w:p w14:paraId="7061B4BE"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5" w:history="1">
        <w:r w:rsidRPr="00FD1605">
          <w:rPr>
            <w:rFonts w:eastAsia="Times New Roman"/>
            <w:i/>
            <w:iCs/>
            <w:color w:val="000000"/>
            <w:sz w:val="23"/>
            <w:szCs w:val="23"/>
            <w:lang w:eastAsia="en-AU"/>
            <w14:ligatures w14:val="standardContextual"/>
          </w:rPr>
          <w:t>National Parks and Wildlife (Hunting) Regulations 2011</w:t>
        </w:r>
      </w:hyperlink>
    </w:p>
    <w:p w14:paraId="6F5FC59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6" w:history="1">
        <w:r w:rsidRPr="00FD1605">
          <w:rPr>
            <w:rFonts w:eastAsia="Times New Roman"/>
            <w:i/>
            <w:iCs/>
            <w:color w:val="000000"/>
            <w:sz w:val="23"/>
            <w:szCs w:val="23"/>
            <w:lang w:eastAsia="en-AU"/>
            <w14:ligatures w14:val="standardContextual"/>
          </w:rPr>
          <w:t>National Parks and Wildlife (Kanku-Breakaways Conservation Park) Regulations 2013</w:t>
        </w:r>
      </w:hyperlink>
    </w:p>
    <w:p w14:paraId="482D547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7" w:history="1">
        <w:r w:rsidRPr="00FD1605">
          <w:rPr>
            <w:rFonts w:eastAsia="Times New Roman"/>
            <w:i/>
            <w:iCs/>
            <w:color w:val="000000"/>
            <w:sz w:val="23"/>
            <w:szCs w:val="23"/>
            <w:lang w:eastAsia="en-AU"/>
            <w14:ligatures w14:val="standardContextual"/>
          </w:rPr>
          <w:t>National Parks and Wildlife (Parking) Regulations 2012</w:t>
        </w:r>
      </w:hyperlink>
    </w:p>
    <w:p w14:paraId="0E0EC5E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8" w:history="1">
        <w:r w:rsidRPr="00FD1605">
          <w:rPr>
            <w:rFonts w:eastAsia="Times New Roman"/>
            <w:i/>
            <w:iCs/>
            <w:color w:val="000000"/>
            <w:sz w:val="23"/>
            <w:szCs w:val="23"/>
            <w:lang w:eastAsia="en-AU"/>
            <w14:ligatures w14:val="standardContextual"/>
          </w:rPr>
          <w:t>Opal Mining Regulations 2012</w:t>
        </w:r>
      </w:hyperlink>
    </w:p>
    <w:p w14:paraId="67CC0DB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9" w:history="1">
        <w:r w:rsidRPr="00FD1605">
          <w:rPr>
            <w:rFonts w:eastAsia="Times New Roman"/>
            <w:i/>
            <w:iCs/>
            <w:color w:val="000000"/>
            <w:sz w:val="23"/>
            <w:szCs w:val="23"/>
            <w:lang w:eastAsia="en-AU"/>
            <w14:ligatures w14:val="standardContextual"/>
          </w:rPr>
          <w:t>Parliament (Joint Services) (Retention Entitlement) Regulations 2012</w:t>
        </w:r>
      </w:hyperlink>
    </w:p>
    <w:p w14:paraId="1A37A9B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0" w:history="1">
        <w:r w:rsidRPr="00FD1605">
          <w:rPr>
            <w:rFonts w:eastAsia="Times New Roman"/>
            <w:i/>
            <w:iCs/>
            <w:color w:val="000000"/>
            <w:sz w:val="23"/>
            <w:szCs w:val="23"/>
            <w:lang w:eastAsia="en-AU"/>
            <w14:ligatures w14:val="standardContextual"/>
          </w:rPr>
          <w:t>Police Regulations 2014</w:t>
        </w:r>
      </w:hyperlink>
    </w:p>
    <w:p w14:paraId="6476585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1" w:history="1">
        <w:r w:rsidRPr="00FD1605">
          <w:rPr>
            <w:rFonts w:eastAsia="Times New Roman"/>
            <w:i/>
            <w:iCs/>
            <w:color w:val="000000"/>
            <w:sz w:val="23"/>
            <w:szCs w:val="23"/>
            <w:lang w:eastAsia="en-AU"/>
            <w14:ligatures w14:val="standardContextual"/>
          </w:rPr>
          <w:t>Prices Regulations 2014</w:t>
        </w:r>
      </w:hyperlink>
    </w:p>
    <w:p w14:paraId="2B2929A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2" w:history="1">
        <w:r w:rsidRPr="00FD1605">
          <w:rPr>
            <w:rFonts w:eastAsia="Times New Roman"/>
            <w:i/>
            <w:iCs/>
            <w:color w:val="000000"/>
            <w:sz w:val="23"/>
            <w:szCs w:val="23"/>
            <w:lang w:eastAsia="en-AU"/>
            <w14:ligatures w14:val="standardContextual"/>
          </w:rPr>
          <w:t>Primary Industry Funding Schemes (Sheep Industry Fund) Regulations 2014</w:t>
        </w:r>
      </w:hyperlink>
    </w:p>
    <w:p w14:paraId="652EB54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3" w:history="1">
        <w:r w:rsidRPr="00FD1605">
          <w:rPr>
            <w:rFonts w:eastAsia="Times New Roman"/>
            <w:i/>
            <w:iCs/>
            <w:color w:val="000000"/>
            <w:sz w:val="23"/>
            <w:szCs w:val="23"/>
            <w:lang w:eastAsia="en-AU"/>
            <w14:ligatures w14:val="standardContextual"/>
          </w:rPr>
          <w:t>Primary Produce (Food Safety Schemes) (Egg) Regulations 2012</w:t>
        </w:r>
      </w:hyperlink>
    </w:p>
    <w:p w14:paraId="4BEDD3BD"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4" w:history="1">
        <w:r w:rsidRPr="00FD1605">
          <w:rPr>
            <w:rFonts w:eastAsia="Times New Roman"/>
            <w:i/>
            <w:iCs/>
            <w:color w:val="000000"/>
            <w:sz w:val="23"/>
            <w:szCs w:val="23"/>
            <w:lang w:eastAsia="en-AU"/>
            <w14:ligatures w14:val="standardContextual"/>
          </w:rPr>
          <w:t>Private Parking Areas Regulations 2014</w:t>
        </w:r>
      </w:hyperlink>
    </w:p>
    <w:p w14:paraId="7DE0DD29" w14:textId="4AEC01FA" w:rsidR="00972025" w:rsidRDefault="00FD1605" w:rsidP="00FD1605">
      <w:pPr>
        <w:keepLines/>
        <w:autoSpaceDE w:val="0"/>
        <w:autoSpaceDN w:val="0"/>
        <w:adjustRightInd w:val="0"/>
        <w:spacing w:before="120" w:after="0" w:line="240" w:lineRule="auto"/>
        <w:ind w:left="397"/>
        <w:jc w:val="left"/>
        <w:rPr>
          <w:rFonts w:eastAsia="Times New Roman"/>
          <w:i/>
          <w:iCs/>
          <w:color w:val="000000"/>
          <w:sz w:val="23"/>
          <w:szCs w:val="23"/>
          <w:lang w:eastAsia="en-AU"/>
          <w14:ligatures w14:val="standardContextual"/>
        </w:rPr>
      </w:pPr>
      <w:hyperlink r:id="rId235" w:history="1">
        <w:r w:rsidRPr="00FD1605">
          <w:rPr>
            <w:rFonts w:eastAsia="Times New Roman"/>
            <w:i/>
            <w:iCs/>
            <w:color w:val="000000"/>
            <w:sz w:val="23"/>
            <w:szCs w:val="23"/>
            <w:lang w:eastAsia="en-AU"/>
            <w14:ligatures w14:val="standardContextual"/>
          </w:rPr>
          <w:t>Protection of Marine Waters (Prevention of Pollution from Ships) Regulations 2013</w:t>
        </w:r>
      </w:hyperlink>
    </w:p>
    <w:p w14:paraId="5B14A5A4" w14:textId="77777777" w:rsidR="00972025" w:rsidRDefault="0097202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3691767D"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6" w:history="1">
        <w:r w:rsidRPr="00FD1605">
          <w:rPr>
            <w:rFonts w:eastAsia="Times New Roman"/>
            <w:i/>
            <w:iCs/>
            <w:color w:val="000000"/>
            <w:sz w:val="23"/>
            <w:szCs w:val="23"/>
            <w:lang w:eastAsia="en-AU"/>
            <w14:ligatures w14:val="standardContextual"/>
          </w:rPr>
          <w:t>Public Corporations (Adelaide Festival Centre Trust) Regulations 2013</w:t>
        </w:r>
      </w:hyperlink>
    </w:p>
    <w:p w14:paraId="057B7859"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7" w:history="1">
        <w:r w:rsidRPr="00FD1605">
          <w:rPr>
            <w:rFonts w:eastAsia="Times New Roman"/>
            <w:i/>
            <w:iCs/>
            <w:color w:val="000000"/>
            <w:sz w:val="23"/>
            <w:szCs w:val="23"/>
            <w:lang w:eastAsia="en-AU"/>
            <w14:ligatures w14:val="standardContextual"/>
          </w:rPr>
          <w:t>Public Corporations (Adelaide Venue Management Corporation) Regulations 2013</w:t>
        </w:r>
      </w:hyperlink>
    </w:p>
    <w:p w14:paraId="6CC4A72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8" w:history="1">
        <w:r w:rsidRPr="00FD1605">
          <w:rPr>
            <w:rFonts w:eastAsia="Times New Roman"/>
            <w:i/>
            <w:iCs/>
            <w:color w:val="000000"/>
            <w:sz w:val="23"/>
            <w:szCs w:val="23"/>
            <w:lang w:eastAsia="en-AU"/>
            <w14:ligatures w14:val="standardContextual"/>
          </w:rPr>
          <w:t>Public Corporations (Lifetime Support Authority) Regulations 2013</w:t>
        </w:r>
      </w:hyperlink>
    </w:p>
    <w:p w14:paraId="4F4C6AB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9" w:history="1">
        <w:r w:rsidRPr="00FD1605">
          <w:rPr>
            <w:rFonts w:eastAsia="Times New Roman"/>
            <w:i/>
            <w:iCs/>
            <w:color w:val="000000"/>
            <w:sz w:val="23"/>
            <w:szCs w:val="23"/>
            <w:lang w:eastAsia="en-AU"/>
            <w14:ligatures w14:val="standardContextual"/>
          </w:rPr>
          <w:t>Public Corporations (Lotteries Commission—Tax and Other Liabilities) Regulations 2012</w:t>
        </w:r>
      </w:hyperlink>
    </w:p>
    <w:p w14:paraId="41A5C9B7"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0" w:history="1">
        <w:r w:rsidRPr="00FD1605">
          <w:rPr>
            <w:rFonts w:eastAsia="Times New Roman"/>
            <w:i/>
            <w:iCs/>
            <w:color w:val="000000"/>
            <w:sz w:val="23"/>
            <w:szCs w:val="23"/>
            <w:lang w:eastAsia="en-AU"/>
            <w14:ligatures w14:val="standardContextual"/>
          </w:rPr>
          <w:t>Public Corporations (Southern Select Super Corporation) Regulations 2012</w:t>
        </w:r>
      </w:hyperlink>
    </w:p>
    <w:p w14:paraId="10383AE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1" w:history="1">
        <w:r w:rsidRPr="00FD1605">
          <w:rPr>
            <w:rFonts w:eastAsia="Times New Roman"/>
            <w:i/>
            <w:iCs/>
            <w:color w:val="000000"/>
            <w:sz w:val="23"/>
            <w:szCs w:val="23"/>
            <w:lang w:eastAsia="en-AU"/>
            <w14:ligatures w14:val="standardContextual"/>
          </w:rPr>
          <w:t>Public Finance and Audit Regulations 2014</w:t>
        </w:r>
      </w:hyperlink>
    </w:p>
    <w:p w14:paraId="5838D6C8"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2" w:history="1">
        <w:r w:rsidRPr="00FD1605">
          <w:rPr>
            <w:rFonts w:eastAsia="Times New Roman"/>
            <w:i/>
            <w:iCs/>
            <w:color w:val="000000"/>
            <w:sz w:val="23"/>
            <w:szCs w:val="23"/>
            <w:lang w:eastAsia="en-AU"/>
            <w14:ligatures w14:val="standardContextual"/>
          </w:rPr>
          <w:t>Rail Safety National Law (South Australia) (Drug and Alcohol Testing) Regulations 2012</w:t>
        </w:r>
      </w:hyperlink>
    </w:p>
    <w:p w14:paraId="1794A434"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3" w:history="1">
        <w:r w:rsidRPr="00FD1605">
          <w:rPr>
            <w:rFonts w:eastAsia="Times New Roman"/>
            <w:i/>
            <w:iCs/>
            <w:color w:val="000000"/>
            <w:sz w:val="23"/>
            <w:szCs w:val="23"/>
            <w:lang w:eastAsia="en-AU"/>
            <w14:ligatures w14:val="standardContextual"/>
          </w:rPr>
          <w:t>Rail Safety National Law (South Australia) (Transitional Arrangements) Regulations 2012</w:t>
        </w:r>
      </w:hyperlink>
    </w:p>
    <w:p w14:paraId="3C6C27C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4" w:history="1">
        <w:r w:rsidRPr="00FD1605">
          <w:rPr>
            <w:rFonts w:eastAsia="Times New Roman"/>
            <w:i/>
            <w:iCs/>
            <w:color w:val="000000"/>
            <w:sz w:val="23"/>
            <w:szCs w:val="23"/>
            <w:lang w:eastAsia="en-AU"/>
            <w14:ligatures w14:val="standardContextual"/>
          </w:rPr>
          <w:t>Recreation Grounds Regulations 2011</w:t>
        </w:r>
      </w:hyperlink>
    </w:p>
    <w:p w14:paraId="1C3F8CD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5" w:history="1">
        <w:r w:rsidRPr="00FD1605">
          <w:rPr>
            <w:rFonts w:eastAsia="Times New Roman"/>
            <w:i/>
            <w:iCs/>
            <w:color w:val="000000"/>
            <w:sz w:val="23"/>
            <w:szCs w:val="23"/>
            <w:lang w:eastAsia="en-AU"/>
            <w14:ligatures w14:val="standardContextual"/>
          </w:rPr>
          <w:t>Road Traffic (Light Vehicle Mass and Loading Requirements) Regulations 2013</w:t>
        </w:r>
      </w:hyperlink>
    </w:p>
    <w:p w14:paraId="4D0AAB68"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6" w:history="1">
        <w:r w:rsidRPr="00FD1605">
          <w:rPr>
            <w:rFonts w:eastAsia="Times New Roman"/>
            <w:i/>
            <w:iCs/>
            <w:color w:val="000000"/>
            <w:sz w:val="23"/>
            <w:szCs w:val="23"/>
            <w:lang w:eastAsia="en-AU"/>
            <w14:ligatures w14:val="standardContextual"/>
          </w:rPr>
          <w:t>Road Traffic (Miscellaneous) Regulations 2014</w:t>
        </w:r>
      </w:hyperlink>
    </w:p>
    <w:p w14:paraId="2D5EA16E"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7" w:history="1">
        <w:r w:rsidRPr="00FD1605">
          <w:rPr>
            <w:rFonts w:eastAsia="Times New Roman"/>
            <w:i/>
            <w:iCs/>
            <w:color w:val="000000"/>
            <w:sz w:val="23"/>
            <w:szCs w:val="23"/>
            <w:lang w:eastAsia="en-AU"/>
            <w14:ligatures w14:val="standardContextual"/>
          </w:rPr>
          <w:t>Road Traffic (Road Rules—Ancillary and Miscellaneous Provisions) Regulations 2014</w:t>
        </w:r>
      </w:hyperlink>
    </w:p>
    <w:p w14:paraId="2263BAF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8" w:history="1">
        <w:r w:rsidRPr="00FD1605">
          <w:rPr>
            <w:rFonts w:eastAsia="Times New Roman"/>
            <w:i/>
            <w:iCs/>
            <w:color w:val="000000"/>
            <w:sz w:val="23"/>
            <w:szCs w:val="23"/>
            <w:lang w:eastAsia="en-AU"/>
            <w14:ligatures w14:val="standardContextual"/>
          </w:rPr>
          <w:t>Roxby Downs (Local Government Arrangement) Regulations 2012</w:t>
        </w:r>
      </w:hyperlink>
    </w:p>
    <w:p w14:paraId="6708BD45"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9" w:history="1">
        <w:r w:rsidRPr="00FD1605">
          <w:rPr>
            <w:rFonts w:eastAsia="Times New Roman"/>
            <w:i/>
            <w:iCs/>
            <w:color w:val="000000"/>
            <w:sz w:val="23"/>
            <w:szCs w:val="23"/>
            <w:lang w:eastAsia="en-AU"/>
            <w14:ligatures w14:val="standardContextual"/>
          </w:rPr>
          <w:t>Safe Drinking Water Regulations 2012</w:t>
        </w:r>
      </w:hyperlink>
    </w:p>
    <w:p w14:paraId="5551DF99"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0" w:history="1">
        <w:r w:rsidRPr="00FD1605">
          <w:rPr>
            <w:rFonts w:eastAsia="Times New Roman"/>
            <w:i/>
            <w:iCs/>
            <w:color w:val="000000"/>
            <w:sz w:val="23"/>
            <w:szCs w:val="23"/>
            <w:lang w:eastAsia="en-AU"/>
            <w14:ligatures w14:val="standardContextual"/>
          </w:rPr>
          <w:t>Second-hand Dealers and Pawnbrokers Regulations 2013</w:t>
        </w:r>
      </w:hyperlink>
    </w:p>
    <w:p w14:paraId="40FBE12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1" w:history="1">
        <w:r w:rsidRPr="00FD1605">
          <w:rPr>
            <w:rFonts w:eastAsia="Times New Roman"/>
            <w:i/>
            <w:iCs/>
            <w:color w:val="000000"/>
            <w:sz w:val="23"/>
            <w:szCs w:val="23"/>
            <w:lang w:eastAsia="en-AU"/>
            <w14:ligatures w14:val="standardContextual"/>
          </w:rPr>
          <w:t>Security and Investigation Industry Regulations 2011</w:t>
        </w:r>
      </w:hyperlink>
    </w:p>
    <w:p w14:paraId="19F85BB9"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2" w:history="1">
        <w:r w:rsidRPr="00FD1605">
          <w:rPr>
            <w:rFonts w:eastAsia="Times New Roman"/>
            <w:i/>
            <w:iCs/>
            <w:color w:val="000000"/>
            <w:sz w:val="23"/>
            <w:szCs w:val="23"/>
            <w:lang w:eastAsia="en-AU"/>
            <w14:ligatures w14:val="standardContextual"/>
          </w:rPr>
          <w:t>Small Business Commissioner Regulations 2012</w:t>
        </w:r>
      </w:hyperlink>
    </w:p>
    <w:p w14:paraId="67E38C8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3" w:history="1">
        <w:r w:rsidRPr="00FD1605">
          <w:rPr>
            <w:rFonts w:eastAsia="Times New Roman"/>
            <w:i/>
            <w:iCs/>
            <w:color w:val="000000"/>
            <w:sz w:val="23"/>
            <w:szCs w:val="23"/>
            <w:lang w:eastAsia="en-AU"/>
            <w14:ligatures w14:val="standardContextual"/>
          </w:rPr>
          <w:t>South Australian Motor Sport Regulations 2014</w:t>
        </w:r>
      </w:hyperlink>
    </w:p>
    <w:p w14:paraId="1F937D2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4" w:history="1">
        <w:r w:rsidRPr="00FD1605">
          <w:rPr>
            <w:rFonts w:eastAsia="Times New Roman"/>
            <w:i/>
            <w:iCs/>
            <w:color w:val="000000"/>
            <w:sz w:val="23"/>
            <w:szCs w:val="23"/>
            <w:lang w:eastAsia="en-AU"/>
            <w14:ligatures w14:val="standardContextual"/>
          </w:rPr>
          <w:t>South Australian Ports (Disposal of Maritime Assets) Regulations 2012</w:t>
        </w:r>
      </w:hyperlink>
    </w:p>
    <w:p w14:paraId="7834EDA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5" w:history="1">
        <w:r w:rsidRPr="00FD1605">
          <w:rPr>
            <w:rFonts w:eastAsia="Times New Roman"/>
            <w:i/>
            <w:iCs/>
            <w:color w:val="000000"/>
            <w:sz w:val="23"/>
            <w:szCs w:val="23"/>
            <w:lang w:eastAsia="en-AU"/>
            <w14:ligatures w14:val="standardContextual"/>
          </w:rPr>
          <w:t>South Australian Public Health (General) Regulations 2013</w:t>
        </w:r>
      </w:hyperlink>
    </w:p>
    <w:p w14:paraId="218EDBA5"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6" w:history="1">
        <w:r w:rsidRPr="00FD1605">
          <w:rPr>
            <w:rFonts w:eastAsia="Times New Roman"/>
            <w:i/>
            <w:iCs/>
            <w:color w:val="000000"/>
            <w:sz w:val="23"/>
            <w:szCs w:val="23"/>
            <w:lang w:eastAsia="en-AU"/>
            <w14:ligatures w14:val="standardContextual"/>
          </w:rPr>
          <w:t>South Australian Public Health (Legionella) Regulations 2013</w:t>
        </w:r>
      </w:hyperlink>
    </w:p>
    <w:p w14:paraId="008CFBAC"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7" w:history="1">
        <w:r w:rsidRPr="00FD1605">
          <w:rPr>
            <w:rFonts w:eastAsia="Times New Roman"/>
            <w:i/>
            <w:iCs/>
            <w:color w:val="000000"/>
            <w:sz w:val="23"/>
            <w:szCs w:val="23"/>
            <w:lang w:eastAsia="en-AU"/>
            <w14:ligatures w14:val="standardContextual"/>
          </w:rPr>
          <w:t>South Australian Public Health (Wastewater) Regulations 2013</w:t>
        </w:r>
      </w:hyperlink>
    </w:p>
    <w:p w14:paraId="3B9FA7D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8" w:history="1">
        <w:r w:rsidRPr="00FD1605">
          <w:rPr>
            <w:rFonts w:eastAsia="Times New Roman"/>
            <w:i/>
            <w:iCs/>
            <w:color w:val="000000"/>
            <w:sz w:val="23"/>
            <w:szCs w:val="23"/>
            <w:lang w:eastAsia="en-AU"/>
            <w14:ligatures w14:val="standardContextual"/>
          </w:rPr>
          <w:t>Spent Convictions Regulations 2011</w:t>
        </w:r>
      </w:hyperlink>
    </w:p>
    <w:p w14:paraId="76F698FA"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59" w:history="1">
        <w:r w:rsidRPr="00FD1605">
          <w:rPr>
            <w:rFonts w:eastAsia="Times New Roman"/>
            <w:i/>
            <w:iCs/>
            <w:color w:val="000000"/>
            <w:sz w:val="23"/>
            <w:szCs w:val="23"/>
            <w:lang w:eastAsia="en-AU"/>
            <w14:ligatures w14:val="standardContextual"/>
          </w:rPr>
          <w:t>Stamp Duties Regulations 2013</w:t>
        </w:r>
      </w:hyperlink>
    </w:p>
    <w:p w14:paraId="6D57AB20"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0" w:history="1">
        <w:r w:rsidRPr="00FD1605">
          <w:rPr>
            <w:rFonts w:eastAsia="Times New Roman"/>
            <w:i/>
            <w:iCs/>
            <w:color w:val="000000"/>
            <w:sz w:val="23"/>
            <w:szCs w:val="23"/>
            <w:lang w:eastAsia="en-AU"/>
            <w14:ligatures w14:val="standardContextual"/>
          </w:rPr>
          <w:t>State Records Regulations 2013</w:t>
        </w:r>
      </w:hyperlink>
    </w:p>
    <w:p w14:paraId="574CD1A6"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1" w:history="1">
        <w:r w:rsidRPr="00FD1605">
          <w:rPr>
            <w:rFonts w:eastAsia="Times New Roman"/>
            <w:i/>
            <w:iCs/>
            <w:color w:val="000000"/>
            <w:sz w:val="23"/>
            <w:szCs w:val="23"/>
            <w:lang w:eastAsia="en-AU"/>
            <w14:ligatures w14:val="standardContextual"/>
          </w:rPr>
          <w:t>Summary Procedure (Restraining Orders) Regulations 2011</w:t>
        </w:r>
      </w:hyperlink>
    </w:p>
    <w:p w14:paraId="3913C437"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2" w:history="1">
        <w:r w:rsidRPr="00FD1605">
          <w:rPr>
            <w:rFonts w:eastAsia="Times New Roman"/>
            <w:i/>
            <w:iCs/>
            <w:color w:val="000000"/>
            <w:sz w:val="23"/>
            <w:szCs w:val="23"/>
            <w:lang w:eastAsia="en-AU"/>
            <w14:ligatures w14:val="standardContextual"/>
          </w:rPr>
          <w:t>TAFE SA Regulations 2012</w:t>
        </w:r>
      </w:hyperlink>
    </w:p>
    <w:p w14:paraId="465B55E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3" w:history="1">
        <w:r w:rsidRPr="00FD1605">
          <w:rPr>
            <w:rFonts w:eastAsia="Times New Roman"/>
            <w:i/>
            <w:iCs/>
            <w:color w:val="000000"/>
            <w:sz w:val="23"/>
            <w:szCs w:val="23"/>
            <w:lang w:eastAsia="en-AU"/>
            <w14:ligatures w14:val="standardContextual"/>
          </w:rPr>
          <w:t>Trustee Regulations 2011</w:t>
        </w:r>
      </w:hyperlink>
    </w:p>
    <w:p w14:paraId="38FC9781"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4" w:history="1">
        <w:r w:rsidRPr="00FD1605">
          <w:rPr>
            <w:rFonts w:eastAsia="Times New Roman"/>
            <w:i/>
            <w:iCs/>
            <w:color w:val="000000"/>
            <w:sz w:val="23"/>
            <w:szCs w:val="23"/>
            <w:lang w:eastAsia="en-AU"/>
            <w14:ligatures w14:val="standardContextual"/>
          </w:rPr>
          <w:t>Unclaimed Goods Regulations 2013</w:t>
        </w:r>
      </w:hyperlink>
    </w:p>
    <w:p w14:paraId="4D4CF5FF"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5" w:history="1">
        <w:r w:rsidRPr="00FD1605">
          <w:rPr>
            <w:rFonts w:eastAsia="Times New Roman"/>
            <w:i/>
            <w:iCs/>
            <w:color w:val="000000"/>
            <w:sz w:val="23"/>
            <w:szCs w:val="23"/>
            <w:lang w:eastAsia="en-AU"/>
            <w14:ligatures w14:val="standardContextual"/>
          </w:rPr>
          <w:t>Urban Renewal Regulations 2014</w:t>
        </w:r>
      </w:hyperlink>
    </w:p>
    <w:p w14:paraId="1C861214"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6" w:history="1">
        <w:r w:rsidRPr="00FD1605">
          <w:rPr>
            <w:rFonts w:eastAsia="Times New Roman"/>
            <w:i/>
            <w:iCs/>
            <w:color w:val="000000"/>
            <w:sz w:val="23"/>
            <w:szCs w:val="23"/>
            <w:lang w:eastAsia="en-AU"/>
            <w14:ligatures w14:val="standardContextual"/>
          </w:rPr>
          <w:t>Water Industry Regulations 2012</w:t>
        </w:r>
      </w:hyperlink>
    </w:p>
    <w:p w14:paraId="5E7045F5"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7" w:history="1">
        <w:r w:rsidRPr="00FD1605">
          <w:rPr>
            <w:rFonts w:eastAsia="Times New Roman"/>
            <w:i/>
            <w:iCs/>
            <w:color w:val="000000"/>
            <w:sz w:val="23"/>
            <w:szCs w:val="23"/>
            <w:lang w:eastAsia="en-AU"/>
            <w14:ligatures w14:val="standardContextual"/>
          </w:rPr>
          <w:t>Witness Protection Regulations 2012</w:t>
        </w:r>
      </w:hyperlink>
    </w:p>
    <w:p w14:paraId="1438A6CB"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68" w:history="1">
        <w:r w:rsidRPr="00FD1605">
          <w:rPr>
            <w:rFonts w:eastAsia="Times New Roman"/>
            <w:i/>
            <w:iCs/>
            <w:color w:val="000000"/>
            <w:sz w:val="23"/>
            <w:szCs w:val="23"/>
            <w:lang w:eastAsia="en-AU"/>
            <w14:ligatures w14:val="standardContextual"/>
          </w:rPr>
          <w:t>Work Health and Safety Regulations 2012</w:t>
        </w:r>
      </w:hyperlink>
    </w:p>
    <w:p w14:paraId="5C63649B" w14:textId="0E28DF7A" w:rsidR="00972025" w:rsidRDefault="00FD1605" w:rsidP="00FD1605">
      <w:pPr>
        <w:keepLines/>
        <w:autoSpaceDE w:val="0"/>
        <w:autoSpaceDN w:val="0"/>
        <w:adjustRightInd w:val="0"/>
        <w:spacing w:before="120" w:after="0" w:line="240" w:lineRule="auto"/>
        <w:ind w:left="397"/>
        <w:jc w:val="left"/>
        <w:rPr>
          <w:rFonts w:eastAsia="Times New Roman"/>
          <w:i/>
          <w:iCs/>
          <w:color w:val="000000"/>
          <w:sz w:val="23"/>
          <w:szCs w:val="23"/>
          <w:lang w:eastAsia="en-AU"/>
          <w14:ligatures w14:val="standardContextual"/>
        </w:rPr>
      </w:pPr>
      <w:hyperlink r:id="rId269" w:history="1">
        <w:r w:rsidRPr="00FD1605">
          <w:rPr>
            <w:rFonts w:eastAsia="Times New Roman"/>
            <w:i/>
            <w:iCs/>
            <w:color w:val="000000"/>
            <w:sz w:val="23"/>
            <w:szCs w:val="23"/>
            <w:lang w:eastAsia="en-AU"/>
            <w14:ligatures w14:val="standardContextual"/>
          </w:rPr>
          <w:t>Worker's Liens Regulations 2014</w:t>
        </w:r>
      </w:hyperlink>
    </w:p>
    <w:p w14:paraId="5111FD39" w14:textId="77777777" w:rsidR="00972025" w:rsidRDefault="00972025">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6C176440" w14:textId="77777777" w:rsidR="00FD1605" w:rsidRPr="00FD1605" w:rsidRDefault="00FD1605" w:rsidP="00FD16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98" w:name="idcee66975_2359_4b80_81ae_30651fd71a97_6"/>
      <w:r w:rsidRPr="00FD1605">
        <w:rPr>
          <w:rFonts w:eastAsia="Times New Roman"/>
          <w:b/>
          <w:bCs/>
          <w:color w:val="000000"/>
          <w:sz w:val="32"/>
          <w:szCs w:val="32"/>
          <w:lang w:eastAsia="en-AU"/>
          <w14:ligatures w14:val="standardContextual"/>
        </w:rPr>
        <w:lastRenderedPageBreak/>
        <w:t>Schedule 2—Expiry of obsolete regulations</w:t>
      </w:r>
      <w:bookmarkEnd w:id="498"/>
    </w:p>
    <w:p w14:paraId="586DD233"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70" w:history="1">
        <w:r w:rsidRPr="00FD1605">
          <w:rPr>
            <w:rFonts w:eastAsia="Times New Roman"/>
            <w:i/>
            <w:iCs/>
            <w:color w:val="000000"/>
            <w:sz w:val="23"/>
            <w:szCs w:val="23"/>
            <w:lang w:eastAsia="en-AU"/>
            <w14:ligatures w14:val="standardContextual"/>
          </w:rPr>
          <w:t>Disability Services (Assessment of Relevant History) Regulations 2014</w:t>
        </w:r>
      </w:hyperlink>
    </w:p>
    <w:p w14:paraId="0825DE8D" w14:textId="77777777" w:rsidR="00FD1605" w:rsidRPr="00FD1605" w:rsidRDefault="00FD1605" w:rsidP="00FD160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71" w:history="1">
        <w:r w:rsidRPr="00FD1605">
          <w:rPr>
            <w:rFonts w:eastAsia="Times New Roman"/>
            <w:i/>
            <w:iCs/>
            <w:color w:val="000000"/>
            <w:sz w:val="23"/>
            <w:szCs w:val="23"/>
            <w:lang w:eastAsia="en-AU"/>
            <w14:ligatures w14:val="standardContextual"/>
          </w:rPr>
          <w:t>Family Relationships Regulations 2010</w:t>
        </w:r>
      </w:hyperlink>
    </w:p>
    <w:p w14:paraId="2FD7698B" w14:textId="77777777" w:rsidR="00FD1605" w:rsidRPr="00FD1605" w:rsidRDefault="00FD1605" w:rsidP="00FD16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FD1605">
        <w:rPr>
          <w:rFonts w:eastAsia="Times New Roman"/>
          <w:b/>
          <w:bCs/>
          <w:color w:val="000000"/>
          <w:sz w:val="32"/>
          <w:szCs w:val="32"/>
          <w:lang w:eastAsia="en-AU"/>
          <w14:ligatures w14:val="standardContextual"/>
        </w:rPr>
        <w:t xml:space="preserve">Schedule 3—Repeal of </w:t>
      </w:r>
      <w:r w:rsidRPr="00FD1605">
        <w:rPr>
          <w:rFonts w:eastAsia="Times New Roman"/>
          <w:b/>
          <w:bCs/>
          <w:i/>
          <w:iCs/>
          <w:color w:val="000000"/>
          <w:sz w:val="32"/>
          <w:szCs w:val="32"/>
          <w:lang w:eastAsia="en-AU"/>
          <w14:ligatures w14:val="standardContextual"/>
        </w:rPr>
        <w:t>Legislative Instruments (Postponement of Expiry) Regulations 2024</w:t>
      </w:r>
    </w:p>
    <w:p w14:paraId="75F8B450" w14:textId="77777777" w:rsidR="00FD1605" w:rsidRPr="00FD1605" w:rsidRDefault="00FD1605" w:rsidP="00FD160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 xml:space="preserve">The </w:t>
      </w:r>
      <w:hyperlink r:id="rId272" w:history="1">
        <w:r w:rsidRPr="00FD1605">
          <w:rPr>
            <w:rFonts w:eastAsia="Times New Roman"/>
            <w:i/>
            <w:iCs/>
            <w:color w:val="000000"/>
            <w:sz w:val="23"/>
            <w:szCs w:val="23"/>
            <w:lang w:eastAsia="en-AU"/>
            <w14:ligatures w14:val="standardContextual"/>
          </w:rPr>
          <w:t>Legislative Instruments (Postponement of Expiry) Regulations 2024</w:t>
        </w:r>
      </w:hyperlink>
      <w:r w:rsidRPr="00FD1605">
        <w:rPr>
          <w:rFonts w:eastAsia="Times New Roman"/>
          <w:color w:val="000000"/>
          <w:sz w:val="23"/>
          <w:szCs w:val="23"/>
          <w:lang w:eastAsia="en-AU"/>
          <w14:ligatures w14:val="standardContextual"/>
        </w:rPr>
        <w:t xml:space="preserve"> are repealed.</w:t>
      </w:r>
    </w:p>
    <w:p w14:paraId="612A5174" w14:textId="77777777" w:rsidR="00FD1605" w:rsidRPr="00FD1605" w:rsidRDefault="00FD1605" w:rsidP="00FD160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D1605">
        <w:rPr>
          <w:rFonts w:eastAsia="Times New Roman"/>
          <w:b/>
          <w:bCs/>
          <w:color w:val="000000"/>
          <w:sz w:val="20"/>
          <w:szCs w:val="20"/>
          <w:lang w:eastAsia="en-AU"/>
          <w14:ligatures w14:val="standardContextual"/>
        </w:rPr>
        <w:t>Editorial note—</w:t>
      </w:r>
    </w:p>
    <w:p w14:paraId="2F83BAAA" w14:textId="77777777" w:rsidR="00FD1605" w:rsidRPr="00FD1605" w:rsidRDefault="00FD1605" w:rsidP="00FD1605">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D1605">
        <w:rPr>
          <w:rFonts w:eastAsia="Times New Roman"/>
          <w:color w:val="000000"/>
          <w:sz w:val="20"/>
          <w:szCs w:val="20"/>
          <w:lang w:eastAsia="en-AU"/>
          <w14:ligatures w14:val="standardContextual"/>
        </w:rPr>
        <w:t xml:space="preserve">As required by section 10AA(2) of the </w:t>
      </w:r>
      <w:hyperlink r:id="rId273" w:history="1">
        <w:r w:rsidRPr="00FD1605">
          <w:rPr>
            <w:rFonts w:eastAsia="Times New Roman"/>
            <w:i/>
            <w:iCs/>
            <w:color w:val="000000"/>
            <w:sz w:val="20"/>
            <w:szCs w:val="20"/>
            <w:lang w:eastAsia="en-AU"/>
            <w14:ligatures w14:val="standardContextual"/>
          </w:rPr>
          <w:t>Legislative Instruments Act 1978</w:t>
        </w:r>
      </w:hyperlink>
      <w:r w:rsidRPr="00FD1605">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B9CD855" w14:textId="77777777" w:rsidR="00FD1605" w:rsidRPr="00FD1605" w:rsidRDefault="00FD1605" w:rsidP="00FD160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D1605">
        <w:rPr>
          <w:rFonts w:eastAsia="Times New Roman"/>
          <w:b/>
          <w:bCs/>
          <w:color w:val="000000"/>
          <w:sz w:val="26"/>
          <w:szCs w:val="26"/>
          <w:lang w:eastAsia="en-AU"/>
          <w14:ligatures w14:val="standardContextual"/>
        </w:rPr>
        <w:t>Made by the Governor</w:t>
      </w:r>
    </w:p>
    <w:p w14:paraId="7B242724" w14:textId="77777777" w:rsidR="00FD1605" w:rsidRPr="00FD1605" w:rsidRDefault="00FD1605" w:rsidP="00FD160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with the advice and consent of the Executive Council</w:t>
      </w:r>
    </w:p>
    <w:p w14:paraId="34FE906E" w14:textId="6C621011" w:rsidR="00FD1605" w:rsidRPr="00FD1605" w:rsidRDefault="00FD1605" w:rsidP="00FD160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 xml:space="preserve">on </w:t>
      </w:r>
      <w:r w:rsidR="00987AC2">
        <w:rPr>
          <w:rFonts w:eastAsia="Times New Roman"/>
          <w:color w:val="000000"/>
          <w:sz w:val="23"/>
          <w:szCs w:val="23"/>
          <w:lang w:eastAsia="en-AU"/>
          <w14:ligatures w14:val="standardContextual"/>
        </w:rPr>
        <w:t>14 August 2025</w:t>
      </w:r>
    </w:p>
    <w:p w14:paraId="24F7ABA5" w14:textId="62F1AC0B" w:rsidR="00FD1605" w:rsidRPr="00FD1605" w:rsidRDefault="00FD1605" w:rsidP="00FD160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1605">
        <w:rPr>
          <w:rFonts w:eastAsia="Times New Roman"/>
          <w:color w:val="000000"/>
          <w:sz w:val="23"/>
          <w:szCs w:val="23"/>
          <w:lang w:eastAsia="en-AU"/>
          <w14:ligatures w14:val="standardContextual"/>
        </w:rPr>
        <w:t>No </w:t>
      </w:r>
      <w:r w:rsidR="00987AC2">
        <w:rPr>
          <w:rFonts w:eastAsia="Times New Roman"/>
          <w:color w:val="000000"/>
          <w:sz w:val="23"/>
          <w:szCs w:val="23"/>
          <w:lang w:eastAsia="en-AU"/>
          <w14:ligatures w14:val="standardContextual"/>
        </w:rPr>
        <w:t>92</w:t>
      </w:r>
      <w:r w:rsidRPr="00FD1605">
        <w:rPr>
          <w:rFonts w:eastAsia="Times New Roman"/>
          <w:color w:val="000000"/>
          <w:sz w:val="23"/>
          <w:szCs w:val="23"/>
          <w:lang w:eastAsia="en-AU"/>
          <w14:ligatures w14:val="standardContextual"/>
        </w:rPr>
        <w:t> of </w:t>
      </w:r>
      <w:r w:rsidR="00987AC2">
        <w:rPr>
          <w:rFonts w:eastAsia="Times New Roman"/>
          <w:color w:val="000000"/>
          <w:sz w:val="23"/>
          <w:szCs w:val="23"/>
          <w:lang w:eastAsia="en-AU"/>
          <w14:ligatures w14:val="standardContextual"/>
        </w:rPr>
        <w:t>2025</w:t>
      </w:r>
    </w:p>
    <w:p w14:paraId="42A1651A" w14:textId="77777777" w:rsidR="00CA6ADD" w:rsidRDefault="00CA6ADD">
      <w:pPr>
        <w:spacing w:after="0" w:line="240" w:lineRule="auto"/>
        <w:jc w:val="left"/>
        <w:rPr>
          <w:rFonts w:eastAsia="Times New Roman"/>
          <w:szCs w:val="17"/>
        </w:rPr>
      </w:pPr>
      <w:r>
        <w:br w:type="page"/>
      </w:r>
    </w:p>
    <w:p w14:paraId="0E2C3EB5" w14:textId="77777777" w:rsidR="009D1E2E" w:rsidRPr="009D1E2E" w:rsidRDefault="009D1E2E" w:rsidP="0043001F">
      <w:pPr>
        <w:pStyle w:val="Heading1"/>
      </w:pPr>
      <w:bookmarkStart w:id="499" w:name="_Toc33707982"/>
      <w:bookmarkStart w:id="500" w:name="_Toc33708153"/>
      <w:bookmarkStart w:id="501" w:name="_Toc206061758"/>
      <w:r w:rsidRPr="009D1E2E">
        <w:lastRenderedPageBreak/>
        <w:t>State Government Instruments</w:t>
      </w:r>
      <w:bookmarkEnd w:id="499"/>
      <w:bookmarkEnd w:id="500"/>
      <w:bookmarkEnd w:id="501"/>
    </w:p>
    <w:p w14:paraId="4A6A3BAD" w14:textId="0464D018" w:rsidR="000069F1" w:rsidRPr="000069F1" w:rsidRDefault="00DA4D46" w:rsidP="00E34B09">
      <w:pPr>
        <w:pStyle w:val="Heading2"/>
      </w:pPr>
      <w:bookmarkStart w:id="502" w:name="_Toc206061759"/>
      <w:r w:rsidRPr="000069F1">
        <w:t>Associations Incorporation Act 1985</w:t>
      </w:r>
      <w:bookmarkEnd w:id="502"/>
    </w:p>
    <w:p w14:paraId="688028D6" w14:textId="77777777" w:rsidR="000069F1" w:rsidRPr="000069F1" w:rsidRDefault="000069F1" w:rsidP="000069F1">
      <w:pPr>
        <w:jc w:val="center"/>
        <w:rPr>
          <w:smallCaps/>
          <w:szCs w:val="17"/>
        </w:rPr>
      </w:pPr>
      <w:r w:rsidRPr="000069F1">
        <w:rPr>
          <w:smallCaps/>
          <w:szCs w:val="17"/>
        </w:rPr>
        <w:t>Section 43A</w:t>
      </w:r>
    </w:p>
    <w:p w14:paraId="17AB78C1" w14:textId="77777777" w:rsidR="000069F1" w:rsidRPr="000069F1" w:rsidRDefault="000069F1" w:rsidP="000069F1">
      <w:pPr>
        <w:jc w:val="center"/>
        <w:rPr>
          <w:i/>
          <w:szCs w:val="17"/>
        </w:rPr>
      </w:pPr>
      <w:r w:rsidRPr="000069F1">
        <w:rPr>
          <w:i/>
          <w:szCs w:val="17"/>
        </w:rPr>
        <w:t>Deregistration of Associations</w:t>
      </w:r>
    </w:p>
    <w:p w14:paraId="284443E1" w14:textId="77777777" w:rsidR="000069F1" w:rsidRPr="000069F1" w:rsidRDefault="000069F1" w:rsidP="000069F1">
      <w:r w:rsidRPr="000069F1">
        <w:t xml:space="preserve">Notice is hereby given that the Corporate Affairs Commission approves the applications for deregistration received from the associations named below pursuant to Section 43A of the </w:t>
      </w:r>
      <w:r w:rsidRPr="000069F1">
        <w:rPr>
          <w:i/>
          <w:iCs/>
        </w:rPr>
        <w:t>Associations Incorporation Act 1985</w:t>
      </w:r>
      <w:r w:rsidRPr="000069F1">
        <w:t xml:space="preserve"> (SA). Deregistration takes effect on the date of publication of this notice:</w:t>
      </w:r>
    </w:p>
    <w:p w14:paraId="5DECD851" w14:textId="77777777" w:rsidR="000069F1" w:rsidRPr="000069F1" w:rsidRDefault="000069F1" w:rsidP="000069F1">
      <w:pPr>
        <w:spacing w:after="20"/>
        <w:ind w:left="142"/>
      </w:pPr>
      <w:r w:rsidRPr="000069F1">
        <w:t>AUSTRALIAN STUNTS ORGANISATION A.S.O INCORPORATED (A44447)</w:t>
      </w:r>
    </w:p>
    <w:p w14:paraId="62338380" w14:textId="77777777" w:rsidR="000069F1" w:rsidRPr="000069F1" w:rsidRDefault="000069F1" w:rsidP="000069F1">
      <w:pPr>
        <w:spacing w:after="20"/>
        <w:ind w:left="142"/>
      </w:pPr>
      <w:r w:rsidRPr="000069F1">
        <w:t>CRYSTAL BROOK AND DISTRICT COMMUNITY ROAD SAFETY GROUP INCORPORATED (A36322)</w:t>
      </w:r>
    </w:p>
    <w:p w14:paraId="6D48AACD" w14:textId="77777777" w:rsidR="000069F1" w:rsidRPr="000069F1" w:rsidRDefault="000069F1" w:rsidP="000069F1">
      <w:pPr>
        <w:spacing w:after="20"/>
        <w:ind w:left="142"/>
      </w:pPr>
      <w:r w:rsidRPr="000069F1">
        <w:t>GREEK PENSIONERS AND AGED SOCIETY OF SOUTH AUSTRALIA INCORPORATED (A8522)</w:t>
      </w:r>
    </w:p>
    <w:p w14:paraId="17CD6A7E" w14:textId="77777777" w:rsidR="000069F1" w:rsidRPr="000069F1" w:rsidRDefault="000069F1" w:rsidP="000069F1">
      <w:pPr>
        <w:spacing w:after="20"/>
        <w:ind w:left="142"/>
      </w:pPr>
      <w:r w:rsidRPr="000069F1">
        <w:t>COWELL SKATE PARK FUNDRAISING GROUP INCORPORATED (A41865)</w:t>
      </w:r>
    </w:p>
    <w:p w14:paraId="3E7B2C87" w14:textId="77777777" w:rsidR="000069F1" w:rsidRPr="000069F1" w:rsidRDefault="000069F1" w:rsidP="000069F1">
      <w:pPr>
        <w:spacing w:after="20"/>
        <w:ind w:left="142"/>
      </w:pPr>
      <w:r w:rsidRPr="000069F1">
        <w:t>CBMC INTERNATIONAL—SOUTH AUSTRALIA INCORPORATED (A38591)</w:t>
      </w:r>
    </w:p>
    <w:p w14:paraId="16681F32" w14:textId="77777777" w:rsidR="000069F1" w:rsidRPr="000069F1" w:rsidRDefault="000069F1" w:rsidP="000069F1">
      <w:pPr>
        <w:spacing w:after="20"/>
        <w:ind w:left="142"/>
      </w:pPr>
      <w:r w:rsidRPr="000069F1">
        <w:t>SOCIETY OF THE SOUTH AUSTRALIAN FRIENDS OF THE AUSTRALIAN ARCHAEOLOGICAL INSTITUTE AT ATHENS INCORPORATED (A24489)</w:t>
      </w:r>
    </w:p>
    <w:p w14:paraId="33818713" w14:textId="77777777" w:rsidR="000069F1" w:rsidRPr="000069F1" w:rsidRDefault="000069F1" w:rsidP="000069F1">
      <w:pPr>
        <w:spacing w:after="20"/>
        <w:ind w:left="142"/>
      </w:pPr>
      <w:r w:rsidRPr="000069F1">
        <w:t>FLEURIEU ANTIQUE RURAL MACHINERY SOCIETY INCORPORATED (A11437)</w:t>
      </w:r>
    </w:p>
    <w:p w14:paraId="0B27A970" w14:textId="77777777" w:rsidR="000069F1" w:rsidRPr="000069F1" w:rsidRDefault="000069F1" w:rsidP="000069F1">
      <w:pPr>
        <w:spacing w:after="20"/>
        <w:ind w:left="142"/>
      </w:pPr>
      <w:r w:rsidRPr="000069F1">
        <w:t>NEPALESE ORPHANAGE COMMITTEE INCORPORATED (A43878)</w:t>
      </w:r>
    </w:p>
    <w:p w14:paraId="0B9BF6BF" w14:textId="77777777" w:rsidR="000069F1" w:rsidRPr="000069F1" w:rsidRDefault="000069F1" w:rsidP="000069F1">
      <w:pPr>
        <w:ind w:left="142"/>
      </w:pPr>
      <w:r w:rsidRPr="000069F1">
        <w:t>THE SPORTS HUB INCORPORATED (A37759)</w:t>
      </w:r>
    </w:p>
    <w:p w14:paraId="7955B4AE" w14:textId="77777777" w:rsidR="000069F1" w:rsidRPr="000069F1" w:rsidRDefault="000069F1" w:rsidP="000069F1">
      <w:r w:rsidRPr="000069F1">
        <w:t>Given under the seal of the Commission at Adelaide.</w:t>
      </w:r>
    </w:p>
    <w:p w14:paraId="6801795C" w14:textId="77777777" w:rsidR="000069F1" w:rsidRPr="000069F1" w:rsidRDefault="000069F1" w:rsidP="000069F1">
      <w:pPr>
        <w:spacing w:after="0"/>
        <w:rPr>
          <w:rFonts w:eastAsia="Times New Roman"/>
          <w:szCs w:val="17"/>
        </w:rPr>
      </w:pPr>
      <w:r w:rsidRPr="000069F1">
        <w:rPr>
          <w:rFonts w:eastAsia="Times New Roman"/>
          <w:szCs w:val="17"/>
        </w:rPr>
        <w:t>Dated: 14 August 2025</w:t>
      </w:r>
    </w:p>
    <w:p w14:paraId="1B99ABE5" w14:textId="77777777" w:rsidR="000069F1" w:rsidRPr="000069F1" w:rsidRDefault="000069F1" w:rsidP="000069F1">
      <w:pPr>
        <w:spacing w:after="0"/>
        <w:jc w:val="right"/>
        <w:rPr>
          <w:rFonts w:eastAsia="Times New Roman"/>
          <w:smallCaps/>
          <w:szCs w:val="20"/>
        </w:rPr>
      </w:pPr>
      <w:r w:rsidRPr="000069F1">
        <w:rPr>
          <w:rFonts w:eastAsia="Times New Roman"/>
          <w:smallCaps/>
          <w:szCs w:val="20"/>
        </w:rPr>
        <w:t>Kirsty Lawrence</w:t>
      </w:r>
    </w:p>
    <w:p w14:paraId="71643220" w14:textId="77777777" w:rsidR="000069F1" w:rsidRPr="000069F1" w:rsidRDefault="000069F1" w:rsidP="000069F1">
      <w:pPr>
        <w:spacing w:after="0"/>
        <w:jc w:val="right"/>
        <w:rPr>
          <w:rFonts w:eastAsia="Times New Roman"/>
          <w:szCs w:val="17"/>
        </w:rPr>
      </w:pPr>
      <w:r w:rsidRPr="000069F1">
        <w:rPr>
          <w:rFonts w:eastAsia="Times New Roman"/>
          <w:szCs w:val="17"/>
        </w:rPr>
        <w:t>Team Leader, Gambling and Associations</w:t>
      </w:r>
    </w:p>
    <w:p w14:paraId="2BE3EFD6" w14:textId="77777777" w:rsidR="000069F1" w:rsidRDefault="000069F1" w:rsidP="000069F1">
      <w:pPr>
        <w:spacing w:after="0"/>
        <w:jc w:val="right"/>
        <w:rPr>
          <w:rFonts w:eastAsia="Times New Roman"/>
          <w:szCs w:val="17"/>
        </w:rPr>
      </w:pPr>
      <w:r w:rsidRPr="000069F1">
        <w:rPr>
          <w:rFonts w:eastAsia="Times New Roman"/>
          <w:szCs w:val="17"/>
        </w:rPr>
        <w:t>Delegate of the Corporate Affairs Commission</w:t>
      </w:r>
    </w:p>
    <w:p w14:paraId="05B4E543" w14:textId="77777777" w:rsidR="0034503A" w:rsidRDefault="0034503A" w:rsidP="0034503A">
      <w:pPr>
        <w:pBdr>
          <w:bottom w:val="single" w:sz="4" w:space="1" w:color="auto"/>
        </w:pBdr>
        <w:spacing w:after="0" w:line="52" w:lineRule="exact"/>
        <w:jc w:val="center"/>
        <w:rPr>
          <w:rFonts w:eastAsia="Times New Roman"/>
          <w:szCs w:val="17"/>
        </w:rPr>
      </w:pPr>
    </w:p>
    <w:p w14:paraId="380DFD26" w14:textId="77777777" w:rsidR="0034503A" w:rsidRDefault="0034503A" w:rsidP="0034503A">
      <w:pPr>
        <w:pBdr>
          <w:top w:val="single" w:sz="4" w:space="1" w:color="auto"/>
        </w:pBdr>
        <w:spacing w:before="34" w:after="0" w:line="14" w:lineRule="exact"/>
        <w:jc w:val="center"/>
        <w:rPr>
          <w:rFonts w:eastAsia="Times New Roman"/>
          <w:szCs w:val="17"/>
        </w:rPr>
      </w:pPr>
    </w:p>
    <w:p w14:paraId="47941A4A" w14:textId="77777777" w:rsidR="0034503A" w:rsidRPr="000069F1" w:rsidRDefault="0034503A" w:rsidP="008D19CD">
      <w:pPr>
        <w:pStyle w:val="NoSpacing"/>
      </w:pPr>
    </w:p>
    <w:p w14:paraId="695C9595" w14:textId="3604B844" w:rsidR="008D19CD" w:rsidRPr="008D19CD" w:rsidRDefault="00DA4D46" w:rsidP="00E34B09">
      <w:pPr>
        <w:pStyle w:val="Heading2"/>
      </w:pPr>
      <w:bookmarkStart w:id="503" w:name="_Toc206061760"/>
      <w:r w:rsidRPr="008D19CD">
        <w:t>Disability Inclusion Act 2018</w:t>
      </w:r>
      <w:bookmarkEnd w:id="503"/>
    </w:p>
    <w:p w14:paraId="1FE359E9" w14:textId="77777777" w:rsidR="008D19CD" w:rsidRPr="008D19CD" w:rsidRDefault="008D19CD" w:rsidP="008D19CD">
      <w:pPr>
        <w:jc w:val="center"/>
        <w:rPr>
          <w:i/>
          <w:szCs w:val="17"/>
        </w:rPr>
      </w:pPr>
      <w:r w:rsidRPr="008D19CD">
        <w:rPr>
          <w:i/>
          <w:szCs w:val="17"/>
        </w:rPr>
        <w:t>State Disability Inclusion Plan</w:t>
      </w:r>
    </w:p>
    <w:p w14:paraId="6FFCFEE2" w14:textId="77777777" w:rsidR="008D19CD" w:rsidRPr="008D19CD" w:rsidRDefault="008D19CD" w:rsidP="008D19CD">
      <w:pPr>
        <w:rPr>
          <w:rFonts w:eastAsia="Times New Roman"/>
          <w:szCs w:val="17"/>
        </w:rPr>
      </w:pPr>
      <w:r w:rsidRPr="008D19CD">
        <w:rPr>
          <w:rFonts w:eastAsia="Times New Roman"/>
          <w:szCs w:val="17"/>
        </w:rPr>
        <w:t xml:space="preserve">I, Natalie Fleur Cook MP, Minister for Human Services, to whom the </w:t>
      </w:r>
      <w:r w:rsidRPr="008D19CD">
        <w:rPr>
          <w:rFonts w:eastAsia="Times New Roman"/>
          <w:i/>
          <w:iCs/>
          <w:szCs w:val="17"/>
        </w:rPr>
        <w:t xml:space="preserve">Disability Inclusion Act 2018 </w:t>
      </w:r>
      <w:r w:rsidRPr="008D19CD">
        <w:rPr>
          <w:rFonts w:eastAsia="Times New Roman"/>
          <w:szCs w:val="17"/>
        </w:rPr>
        <w:t>(SA) (the Act) has been committed, hereby publish the State Disability Inclusion Plan pursuant to subsection 13(6) of the Act:</w:t>
      </w:r>
    </w:p>
    <w:p w14:paraId="57CB09A1" w14:textId="77777777" w:rsidR="008D19CD" w:rsidRPr="008D19CD" w:rsidRDefault="008D19CD" w:rsidP="008D19CD">
      <w:pPr>
        <w:spacing w:after="0"/>
        <w:rPr>
          <w:rFonts w:eastAsia="Times New Roman"/>
          <w:szCs w:val="17"/>
        </w:rPr>
      </w:pPr>
      <w:r w:rsidRPr="008D19CD">
        <w:rPr>
          <w:rFonts w:eastAsia="Times New Roman"/>
          <w:szCs w:val="17"/>
        </w:rPr>
        <w:t>Dated: 14 August 2025</w:t>
      </w:r>
    </w:p>
    <w:p w14:paraId="233D4420" w14:textId="77777777" w:rsidR="008D19CD" w:rsidRPr="008D19CD" w:rsidRDefault="008D19CD" w:rsidP="008D19CD">
      <w:pPr>
        <w:spacing w:after="0"/>
        <w:jc w:val="right"/>
        <w:rPr>
          <w:rFonts w:eastAsia="Times New Roman"/>
          <w:smallCaps/>
          <w:szCs w:val="17"/>
        </w:rPr>
      </w:pPr>
      <w:r w:rsidRPr="008D19CD">
        <w:rPr>
          <w:rFonts w:eastAsia="Times New Roman"/>
          <w:smallCaps/>
          <w:szCs w:val="17"/>
        </w:rPr>
        <w:t>Natalie Fleur Cook MP</w:t>
      </w:r>
    </w:p>
    <w:p w14:paraId="006B42EA" w14:textId="77777777" w:rsidR="008D19CD" w:rsidRPr="008D19CD" w:rsidRDefault="008D19CD" w:rsidP="008D19CD">
      <w:pPr>
        <w:spacing w:after="0"/>
        <w:jc w:val="right"/>
        <w:rPr>
          <w:rFonts w:eastAsia="Times New Roman"/>
          <w:szCs w:val="17"/>
        </w:rPr>
      </w:pPr>
      <w:r w:rsidRPr="008D19CD">
        <w:rPr>
          <w:rFonts w:eastAsia="Times New Roman"/>
          <w:szCs w:val="17"/>
        </w:rPr>
        <w:t>Minister for Human Services</w:t>
      </w:r>
    </w:p>
    <w:p w14:paraId="2DF2C2D5" w14:textId="77777777" w:rsidR="008D19CD" w:rsidRPr="008D19CD" w:rsidRDefault="008D19CD" w:rsidP="008D19CD">
      <w:pPr>
        <w:pBdr>
          <w:top w:val="single" w:sz="4" w:space="1" w:color="auto"/>
        </w:pBdr>
        <w:spacing w:before="100" w:line="14" w:lineRule="exact"/>
        <w:ind w:left="1080" w:right="1080"/>
        <w:jc w:val="center"/>
        <w:rPr>
          <w:rFonts w:eastAsia="Times New Roman"/>
          <w:szCs w:val="17"/>
        </w:rPr>
      </w:pPr>
    </w:p>
    <w:p w14:paraId="55292538" w14:textId="77777777" w:rsidR="008D19CD" w:rsidRPr="008D19CD" w:rsidRDefault="008D19CD" w:rsidP="008D19CD">
      <w:pPr>
        <w:jc w:val="center"/>
        <w:rPr>
          <w:smallCaps/>
          <w:szCs w:val="17"/>
        </w:rPr>
      </w:pPr>
      <w:r w:rsidRPr="008D19CD">
        <w:rPr>
          <w:smallCaps/>
          <w:szCs w:val="17"/>
        </w:rPr>
        <w:t>State Disability Inclusion Plan 2025-2029</w:t>
      </w:r>
    </w:p>
    <w:p w14:paraId="2685B165" w14:textId="77777777" w:rsidR="008D19CD" w:rsidRPr="008D19CD" w:rsidRDefault="008D19CD" w:rsidP="008D19CD">
      <w:pPr>
        <w:jc w:val="center"/>
        <w:rPr>
          <w:i/>
          <w:szCs w:val="17"/>
        </w:rPr>
      </w:pPr>
      <w:r w:rsidRPr="008D19CD">
        <w:rPr>
          <w:i/>
          <w:szCs w:val="17"/>
        </w:rPr>
        <w:t>Government of South Australia</w:t>
      </w:r>
    </w:p>
    <w:p w14:paraId="71F33BF7" w14:textId="77777777" w:rsidR="008D19CD" w:rsidRPr="008D19CD" w:rsidRDefault="008D19CD" w:rsidP="008D19CD">
      <w:pPr>
        <w:rPr>
          <w:rFonts w:eastAsia="Times New Roman"/>
          <w:b/>
          <w:bCs/>
          <w:szCs w:val="17"/>
        </w:rPr>
      </w:pPr>
      <w:r w:rsidRPr="008D19CD">
        <w:rPr>
          <w:rFonts w:eastAsia="Times New Roman"/>
          <w:b/>
          <w:bCs/>
          <w:szCs w:val="17"/>
        </w:rPr>
        <w:t>Acknowledgement of Country</w:t>
      </w:r>
    </w:p>
    <w:p w14:paraId="1B506F7D" w14:textId="77777777" w:rsidR="008D19CD" w:rsidRPr="008D19CD" w:rsidRDefault="008D19CD" w:rsidP="008D19CD">
      <w:pPr>
        <w:rPr>
          <w:rFonts w:eastAsia="Times New Roman"/>
          <w:szCs w:val="17"/>
        </w:rPr>
      </w:pPr>
      <w:r w:rsidRPr="008D19CD">
        <w:rPr>
          <w:rFonts w:eastAsia="Times New Roman"/>
          <w:szCs w:val="17"/>
        </w:rPr>
        <w:t>The Department of Human Services (DHS) acknowledges and respects Aboriginal peoples as the state’s first people and recognises Aboriginal peoples as traditional owners and occupants of lands and waters in South Australia.</w:t>
      </w:r>
    </w:p>
    <w:p w14:paraId="77D1D284" w14:textId="77777777" w:rsidR="008D19CD" w:rsidRPr="008D19CD" w:rsidRDefault="008D19CD" w:rsidP="008D19CD">
      <w:pPr>
        <w:rPr>
          <w:rFonts w:eastAsia="Times New Roman"/>
          <w:szCs w:val="17"/>
        </w:rPr>
      </w:pPr>
      <w:r w:rsidRPr="008D19CD">
        <w:rPr>
          <w:rFonts w:eastAsia="Times New Roman"/>
          <w:szCs w:val="17"/>
        </w:rPr>
        <w:t>We acknowledge that the spiritual, social, cultural and economic practices of Aboriginal peoples come from their traditional lands and waters, and that the cultural and heritage beliefs, languages and laws are still of importance today.</w:t>
      </w:r>
    </w:p>
    <w:p w14:paraId="4786166D" w14:textId="77777777" w:rsidR="008D19CD" w:rsidRPr="008D19CD" w:rsidRDefault="008D19CD" w:rsidP="008D19CD">
      <w:pPr>
        <w:rPr>
          <w:rFonts w:eastAsia="Times New Roman"/>
          <w:szCs w:val="17"/>
        </w:rPr>
      </w:pPr>
      <w:r w:rsidRPr="008D19CD">
        <w:rPr>
          <w:rFonts w:eastAsia="Times New Roman"/>
          <w:szCs w:val="17"/>
        </w:rPr>
        <w:t>We are committed to ensuring that the needs and aspirations of Aboriginal peoples with disability are incorporated in the design, development and implementation of the State Disability Inclusion Plan.</w:t>
      </w:r>
    </w:p>
    <w:p w14:paraId="7E1732D4" w14:textId="77777777" w:rsidR="008D19CD" w:rsidRPr="008D19CD" w:rsidRDefault="008D19CD" w:rsidP="008D19CD">
      <w:pPr>
        <w:rPr>
          <w:rFonts w:eastAsia="Times New Roman"/>
          <w:szCs w:val="17"/>
        </w:rPr>
      </w:pPr>
      <w:r w:rsidRPr="008D19CD">
        <w:rPr>
          <w:rFonts w:eastAsia="Times New Roman"/>
          <w:szCs w:val="17"/>
        </w:rPr>
        <w:t xml:space="preserve">The term Aboriginal has been used throughout this document to reference all Aboriginal and Torres Strait Islander peoples. </w:t>
      </w:r>
      <w:r w:rsidRPr="008D19CD">
        <w:rPr>
          <w:rFonts w:eastAsia="Times New Roman"/>
          <w:szCs w:val="17"/>
        </w:rPr>
        <w:br/>
        <w:t>DHS acknowledges and respects this preference of the South Australian Aboriginal community in written and spoken language.</w:t>
      </w:r>
    </w:p>
    <w:p w14:paraId="5B05EA0C" w14:textId="77777777" w:rsidR="008D19CD" w:rsidRPr="008D19CD" w:rsidRDefault="008D19CD" w:rsidP="008D19CD">
      <w:pPr>
        <w:rPr>
          <w:rFonts w:eastAsia="Times New Roman"/>
          <w:b/>
          <w:bCs/>
          <w:szCs w:val="17"/>
        </w:rPr>
      </w:pPr>
      <w:r w:rsidRPr="008D19CD">
        <w:rPr>
          <w:rFonts w:eastAsia="Times New Roman"/>
          <w:b/>
          <w:bCs/>
          <w:szCs w:val="17"/>
        </w:rPr>
        <w:t>Language and Terminology</w:t>
      </w:r>
    </w:p>
    <w:p w14:paraId="0CF0B218" w14:textId="77777777" w:rsidR="008D19CD" w:rsidRPr="008D19CD" w:rsidRDefault="008D19CD" w:rsidP="008D19CD">
      <w:pPr>
        <w:rPr>
          <w:rFonts w:eastAsia="Times New Roman"/>
          <w:szCs w:val="17"/>
        </w:rPr>
      </w:pPr>
      <w:r w:rsidRPr="008D19CD">
        <w:rPr>
          <w:rFonts w:eastAsia="Times New Roman"/>
          <w:szCs w:val="17"/>
        </w:rPr>
        <w:t>Every person with disability is different, with unique qualities, strengths, weaknesses and support needs.</w:t>
      </w:r>
    </w:p>
    <w:p w14:paraId="08ECED22" w14:textId="77777777" w:rsidR="008D19CD" w:rsidRPr="008D19CD" w:rsidRDefault="008D19CD" w:rsidP="008D19CD">
      <w:pPr>
        <w:rPr>
          <w:rFonts w:eastAsia="Times New Roman"/>
          <w:szCs w:val="17"/>
        </w:rPr>
      </w:pPr>
      <w:r w:rsidRPr="008D19CD">
        <w:rPr>
          <w:rFonts w:eastAsia="Times New Roman"/>
          <w:szCs w:val="17"/>
        </w:rPr>
        <w:t>Every disability is different, and some may not be visible.</w:t>
      </w:r>
    </w:p>
    <w:p w14:paraId="0451DD7D" w14:textId="77777777" w:rsidR="008D19CD" w:rsidRPr="008D19CD" w:rsidRDefault="008D19CD" w:rsidP="008D19CD">
      <w:pPr>
        <w:rPr>
          <w:rFonts w:eastAsia="Times New Roman"/>
          <w:szCs w:val="17"/>
        </w:rPr>
      </w:pPr>
      <w:r w:rsidRPr="008D19CD">
        <w:rPr>
          <w:rFonts w:eastAsia="Times New Roman"/>
          <w:szCs w:val="17"/>
        </w:rPr>
        <w:t>We all play an important role in shifting the narrative on and about disability. From the conversations we have to the documents we write, it is our collective responsibility to make important choices that support long lasting change.</w:t>
      </w:r>
    </w:p>
    <w:p w14:paraId="53AAB75C" w14:textId="77777777" w:rsidR="008D19CD" w:rsidRPr="008D19CD" w:rsidRDefault="008D19CD" w:rsidP="008D19CD">
      <w:pPr>
        <w:rPr>
          <w:rFonts w:eastAsia="Times New Roman"/>
          <w:szCs w:val="17"/>
        </w:rPr>
      </w:pPr>
      <w:r w:rsidRPr="008D19CD">
        <w:rPr>
          <w:rFonts w:eastAsia="Times New Roman"/>
          <w:szCs w:val="17"/>
        </w:rPr>
        <w:t>There are many misconceptions and misunderstandings in the community about what it means to have a disability. This is why the use of accurate and respectful language is so important.</w:t>
      </w:r>
    </w:p>
    <w:p w14:paraId="5749320A" w14:textId="77777777" w:rsidR="008D19CD" w:rsidRPr="008D19CD" w:rsidRDefault="008D19CD" w:rsidP="008D19CD">
      <w:pPr>
        <w:rPr>
          <w:rFonts w:eastAsia="Times New Roman"/>
          <w:szCs w:val="17"/>
        </w:rPr>
      </w:pPr>
      <w:r w:rsidRPr="008D19CD">
        <w:rPr>
          <w:rFonts w:eastAsia="Times New Roman"/>
          <w:szCs w:val="17"/>
        </w:rPr>
        <w:t>We acknowledge that language is a personal preference, and that different language and terminology preferences exist within the disability and neurodivergent community.</w:t>
      </w:r>
    </w:p>
    <w:p w14:paraId="2E119FDF" w14:textId="77777777" w:rsidR="008D19CD" w:rsidRPr="008D19CD" w:rsidRDefault="008D19CD" w:rsidP="008D19CD">
      <w:pPr>
        <w:rPr>
          <w:rFonts w:eastAsia="Times New Roman"/>
          <w:szCs w:val="17"/>
        </w:rPr>
      </w:pPr>
      <w:r w:rsidRPr="008D19CD">
        <w:rPr>
          <w:rFonts w:eastAsia="Times New Roman"/>
          <w:szCs w:val="17"/>
        </w:rPr>
        <w:t>Based on feedback during consultations, and for the purposes of this State Plan, we have adopted ‘person-first language (i.e. person with disability), rather than identity-first language (i.e. disabled person).</w:t>
      </w:r>
    </w:p>
    <w:p w14:paraId="752EF99D" w14:textId="77777777" w:rsidR="008D19CD" w:rsidRPr="008D19CD" w:rsidRDefault="008D19CD" w:rsidP="008D19CD">
      <w:pPr>
        <w:rPr>
          <w:rFonts w:eastAsia="Times New Roman"/>
          <w:szCs w:val="17"/>
        </w:rPr>
      </w:pPr>
      <w:r w:rsidRPr="008D19CD">
        <w:rPr>
          <w:rFonts w:eastAsia="Times New Roman"/>
          <w:szCs w:val="17"/>
        </w:rPr>
        <w:t>Creating a more inclusive South Australia begins with listening, learning and reflecting on assumptions we may hold about disability. While many people with disability generously share their experiences, fostering broader understanding is a responsibility we must all share.</w:t>
      </w:r>
    </w:p>
    <w:p w14:paraId="262AE071" w14:textId="77777777" w:rsidR="008D19CD" w:rsidRPr="008D19CD" w:rsidRDefault="008D19CD" w:rsidP="008D19CD">
      <w:pPr>
        <w:rPr>
          <w:rFonts w:eastAsia="Times New Roman"/>
          <w:spacing w:val="-2"/>
          <w:szCs w:val="17"/>
        </w:rPr>
      </w:pPr>
      <w:r w:rsidRPr="008D19CD">
        <w:rPr>
          <w:rFonts w:eastAsia="Times New Roman"/>
          <w:spacing w:val="-2"/>
          <w:szCs w:val="17"/>
        </w:rPr>
        <w:t>The most important thing is to ask the person with disability how they would like to be referred to and represented, and to respect their wishes.</w:t>
      </w:r>
    </w:p>
    <w:p w14:paraId="55F111D0" w14:textId="77777777" w:rsidR="008D19CD" w:rsidRPr="008D19CD" w:rsidRDefault="008D19CD" w:rsidP="008D19CD">
      <w:pPr>
        <w:rPr>
          <w:rFonts w:eastAsia="Times New Roman"/>
          <w:b/>
          <w:bCs/>
          <w:szCs w:val="17"/>
        </w:rPr>
      </w:pPr>
      <w:r w:rsidRPr="008D19CD">
        <w:rPr>
          <w:rFonts w:eastAsia="Times New Roman"/>
          <w:b/>
          <w:bCs/>
          <w:szCs w:val="17"/>
        </w:rPr>
        <w:t>Our Vision for a South Australia Where No One is Left Behind</w:t>
      </w:r>
    </w:p>
    <w:p w14:paraId="1C452C56" w14:textId="77777777" w:rsidR="008D19CD" w:rsidRPr="008D19CD" w:rsidRDefault="008D19CD" w:rsidP="008D19CD">
      <w:pPr>
        <w:rPr>
          <w:rFonts w:eastAsia="Times New Roman"/>
          <w:szCs w:val="17"/>
        </w:rPr>
      </w:pPr>
      <w:r w:rsidRPr="008D19CD">
        <w:rPr>
          <w:rFonts w:eastAsia="Times New Roman"/>
          <w:szCs w:val="17"/>
        </w:rPr>
        <w:t>It is with great pride that we present South Australia’s new State Disability Inclusion Plan 2025–2029: A South Australia where no one is left behind (the State Plan). This refreshed and ambitious roadmap sets out our whole-of-government commitment for the next four years to advance access and inclusion, ensuring South Australia is an equitable state for everyone.</w:t>
      </w:r>
    </w:p>
    <w:p w14:paraId="24C29591" w14:textId="77777777" w:rsidR="008D19CD" w:rsidRPr="008D19CD" w:rsidRDefault="008D19CD" w:rsidP="008D19CD">
      <w:pPr>
        <w:rPr>
          <w:rFonts w:eastAsia="Times New Roman"/>
          <w:szCs w:val="17"/>
        </w:rPr>
      </w:pPr>
      <w:r w:rsidRPr="008D19CD">
        <w:rPr>
          <w:rFonts w:eastAsia="Times New Roman"/>
          <w:szCs w:val="17"/>
        </w:rPr>
        <w:lastRenderedPageBreak/>
        <w:t>This plan builds on the strong foundations of Inclusive SA (the first State Plan) and the lessons we’ve learned so far. More than just improving services and programs, it is a powerful opportunity to reset how we think, design and lead.</w:t>
      </w:r>
    </w:p>
    <w:p w14:paraId="57F0A99A" w14:textId="77777777" w:rsidR="008D19CD" w:rsidRPr="008D19CD" w:rsidRDefault="008D19CD" w:rsidP="008D19CD">
      <w:pPr>
        <w:rPr>
          <w:rFonts w:eastAsia="Times New Roman"/>
          <w:szCs w:val="17"/>
        </w:rPr>
      </w:pPr>
      <w:r w:rsidRPr="008D19CD">
        <w:rPr>
          <w:rFonts w:eastAsia="Times New Roman"/>
          <w:szCs w:val="17"/>
        </w:rPr>
        <w:t>This State Plan reflects the South Australia we aspire to be, where inclusion is embedded in the decisions we make, the infrastructure we build and the culture we foster.</w:t>
      </w:r>
    </w:p>
    <w:p w14:paraId="46A74F30" w14:textId="77777777" w:rsidR="008D19CD" w:rsidRPr="008D19CD" w:rsidRDefault="008D19CD" w:rsidP="008D19CD">
      <w:pPr>
        <w:rPr>
          <w:rFonts w:eastAsia="Times New Roman"/>
          <w:szCs w:val="17"/>
        </w:rPr>
      </w:pPr>
      <w:r w:rsidRPr="008D19CD">
        <w:rPr>
          <w:rFonts w:eastAsia="Times New Roman"/>
          <w:szCs w:val="17"/>
        </w:rPr>
        <w:t>We do this by:</w:t>
      </w:r>
    </w:p>
    <w:p w14:paraId="1B95C0E7"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aligning with international, national and state frameworks to ensure a consistent and integrated approach to disability inclusion, incorporating key reforms such as the recommendations made by the Royal Commission into Violence, Abuse, Neglect and Exploitation of People with Disability (the Disability Royal Commission)</w:t>
      </w:r>
    </w:p>
    <w:p w14:paraId="5B1616F0"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involving more than 100 state authorities, who will each embed the State Plan’s priorities within their own Disability Access and Inclusion Plan (DAIP)</w:t>
      </w:r>
    </w:p>
    <w:p w14:paraId="797AD7CA"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ensuring that the actions within each state authority’s DAIP target the areas where change is needed most, and that they align with the priorities shaped by the lived experiences of people with disability</w:t>
      </w:r>
    </w:p>
    <w:p w14:paraId="78B56215"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tracking progress using clear measures through annual reporting and ongoing implementation that will reinforce accountability, transparency and shared responsibility for meaningful and lasting improvements</w:t>
      </w:r>
    </w:p>
    <w:p w14:paraId="6180A9A7"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ensuring a live and responsive State Plan that evolves as new data and evidence emerges and community needs shift, thereby allowing for updated targets and actions which reflect engagement with mainstream systems and services</w:t>
      </w:r>
    </w:p>
    <w:p w14:paraId="1FF94669"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viewing every outcome through the lens of key priority groups, ensuring that the unique challenges faced by people with intersecting forms of disadvantage are recognised and addressed.</w:t>
      </w:r>
    </w:p>
    <w:p w14:paraId="390EDC59" w14:textId="77777777" w:rsidR="008D19CD" w:rsidRPr="008D19CD" w:rsidRDefault="008D19CD" w:rsidP="008D19CD">
      <w:pPr>
        <w:rPr>
          <w:rFonts w:eastAsia="Times New Roman"/>
          <w:szCs w:val="17"/>
        </w:rPr>
      </w:pPr>
      <w:r w:rsidRPr="008D19CD">
        <w:rPr>
          <w:rFonts w:eastAsia="Times New Roman"/>
          <w:szCs w:val="17"/>
        </w:rPr>
        <w:t>Inclusion touches every part of our society and is a fundamental responsibility of leadership. This applies in government, business and in our communities. We are committed at every level of government and understand we have a role to play in ensuring that people with disability are not just supported, but genuinely valued and included in education, employment, healthcare, transport and community life. By setting clear priorities and working together across all sectors, we will build a state where opportunity and participation are truly available to everyone, and no one is left behind.</w:t>
      </w:r>
    </w:p>
    <w:p w14:paraId="0A2810A3" w14:textId="77777777" w:rsidR="008D19CD" w:rsidRPr="008D19CD" w:rsidRDefault="008D19CD" w:rsidP="008D19CD">
      <w:pPr>
        <w:rPr>
          <w:rFonts w:eastAsia="Times New Roman"/>
          <w:szCs w:val="17"/>
        </w:rPr>
      </w:pPr>
      <w:r w:rsidRPr="008D19CD">
        <w:rPr>
          <w:rFonts w:eastAsia="Times New Roman"/>
          <w:szCs w:val="17"/>
        </w:rPr>
        <w:t>At the same time, we remain committed to progressing the ambitious national disability reform agenda, including implementation of our initial response to the Disability Royal Commission, continued reform of the National Disability Insurance Scheme (NDIS), and progress to deliver Australia’s Disability Strategy 2021-2031 (ADS).</w:t>
      </w:r>
    </w:p>
    <w:p w14:paraId="3E12E993" w14:textId="77777777" w:rsidR="008D19CD" w:rsidRPr="008D19CD" w:rsidRDefault="008D19CD" w:rsidP="008D19CD">
      <w:pPr>
        <w:rPr>
          <w:rFonts w:eastAsia="Times New Roman"/>
          <w:szCs w:val="17"/>
        </w:rPr>
      </w:pPr>
      <w:r w:rsidRPr="008D19CD">
        <w:rPr>
          <w:rFonts w:eastAsia="Times New Roman"/>
          <w:szCs w:val="17"/>
        </w:rPr>
        <w:t>At the heart of the State Plan is the disability community. The State Plan has been shaped through extensive consultation with people with disability, their families, carers, advocates and service providers. Their lived experiences, insights and priorities have informed every aspect, ensuring the plan is responsive and focused on delivering real change. We are committed to maintaining ongoing engagement with the disability community, including through the Disability Minister’s Advisory Council (DMAC) and Disability Engagement Group (DEG), drawing on lived experience expertise to guide the delivery of this plan. This commitment also extends to meaningful engagement and genuine partnerships with Aboriginal communities.</w:t>
      </w:r>
    </w:p>
    <w:p w14:paraId="76977441" w14:textId="77777777" w:rsidR="008D19CD" w:rsidRPr="008D19CD" w:rsidRDefault="008D19CD" w:rsidP="008D19CD">
      <w:pPr>
        <w:rPr>
          <w:rFonts w:eastAsia="Times New Roman"/>
          <w:szCs w:val="17"/>
        </w:rPr>
      </w:pPr>
      <w:r w:rsidRPr="008D19CD">
        <w:rPr>
          <w:rFonts w:eastAsia="Times New Roman"/>
          <w:szCs w:val="17"/>
        </w:rPr>
        <w:t>The five domains outlined in this State Plan guide and shape our engagement, ensuring that policy changes are informed by, and responsive to the perspectives and needs of South Australians with disability.</w:t>
      </w:r>
    </w:p>
    <w:p w14:paraId="2B53E93C" w14:textId="77777777" w:rsidR="008D19CD" w:rsidRPr="008D19CD" w:rsidRDefault="008D19CD" w:rsidP="008D19CD">
      <w:pPr>
        <w:rPr>
          <w:rFonts w:eastAsia="Times New Roman"/>
          <w:szCs w:val="17"/>
        </w:rPr>
      </w:pPr>
      <w:r w:rsidRPr="008D19CD">
        <w:rPr>
          <w:rFonts w:eastAsia="Times New Roman"/>
          <w:szCs w:val="17"/>
        </w:rPr>
        <w:t>Through strong leadership, inclusive policies, better everyday services and collaboration across the whole community, we are not just responding to challenges, we are setting a clear direction for lasting change.</w:t>
      </w:r>
    </w:p>
    <w:p w14:paraId="4D2773F2" w14:textId="77777777" w:rsidR="008D19CD" w:rsidRPr="008D19CD" w:rsidRDefault="008D19CD" w:rsidP="008D19CD">
      <w:pPr>
        <w:rPr>
          <w:rFonts w:eastAsia="Times New Roman"/>
          <w:szCs w:val="17"/>
        </w:rPr>
      </w:pPr>
      <w:r w:rsidRPr="008D19CD">
        <w:rPr>
          <w:rFonts w:eastAsia="Times New Roman"/>
          <w:szCs w:val="17"/>
        </w:rPr>
        <w:t xml:space="preserve">This is how we will build a fairer, more inclusive </w:t>
      </w:r>
      <w:r w:rsidRPr="008D19CD">
        <w:rPr>
          <w:rFonts w:eastAsia="Times New Roman"/>
          <w:i/>
          <w:iCs/>
          <w:szCs w:val="17"/>
        </w:rPr>
        <w:t>South Australia where no one is left behind</w:t>
      </w:r>
      <w:r w:rsidRPr="008D19CD">
        <w:rPr>
          <w:rFonts w:eastAsia="Times New Roman"/>
          <w:szCs w:val="17"/>
        </w:rPr>
        <w:t>. That is what real inclusion looks like.</w:t>
      </w:r>
    </w:p>
    <w:p w14:paraId="7D97D9E3" w14:textId="77777777" w:rsidR="008D19CD" w:rsidRPr="008D19CD" w:rsidRDefault="008D19CD" w:rsidP="008D19CD">
      <w:pPr>
        <w:spacing w:after="20"/>
        <w:jc w:val="right"/>
        <w:rPr>
          <w:rFonts w:eastAsia="Times New Roman"/>
          <w:smallCaps/>
          <w:szCs w:val="20"/>
        </w:rPr>
      </w:pPr>
      <w:r w:rsidRPr="008D19CD">
        <w:rPr>
          <w:rFonts w:eastAsia="Times New Roman"/>
          <w:smallCaps/>
          <w:szCs w:val="20"/>
        </w:rPr>
        <w:t>Hon Peter Malinauskas MP</w:t>
      </w:r>
    </w:p>
    <w:p w14:paraId="458EC48A" w14:textId="77777777" w:rsidR="008D19CD" w:rsidRPr="008D19CD" w:rsidRDefault="008D19CD" w:rsidP="008D19CD">
      <w:pPr>
        <w:jc w:val="right"/>
        <w:rPr>
          <w:rFonts w:eastAsia="Times New Roman"/>
          <w:szCs w:val="17"/>
        </w:rPr>
      </w:pPr>
      <w:r w:rsidRPr="008D19CD">
        <w:rPr>
          <w:rFonts w:eastAsia="Times New Roman"/>
          <w:szCs w:val="17"/>
        </w:rPr>
        <w:t>Premier of South Australia</w:t>
      </w:r>
    </w:p>
    <w:p w14:paraId="1116AB57" w14:textId="77777777" w:rsidR="008D19CD" w:rsidRPr="008D19CD" w:rsidRDefault="008D19CD" w:rsidP="008D19CD">
      <w:pPr>
        <w:spacing w:after="20"/>
        <w:jc w:val="right"/>
        <w:rPr>
          <w:rFonts w:eastAsia="Times New Roman"/>
          <w:smallCaps/>
          <w:szCs w:val="17"/>
        </w:rPr>
      </w:pPr>
      <w:r w:rsidRPr="008D19CD">
        <w:rPr>
          <w:rFonts w:eastAsia="Times New Roman"/>
          <w:smallCaps/>
          <w:szCs w:val="17"/>
        </w:rPr>
        <w:t>Hon Nat Cook MP</w:t>
      </w:r>
    </w:p>
    <w:p w14:paraId="2DB7EDD7" w14:textId="77777777" w:rsidR="008D19CD" w:rsidRPr="008D19CD" w:rsidRDefault="008D19CD" w:rsidP="008D19CD">
      <w:pPr>
        <w:spacing w:after="20"/>
        <w:jc w:val="right"/>
        <w:rPr>
          <w:rFonts w:eastAsia="Times New Roman"/>
          <w:szCs w:val="17"/>
        </w:rPr>
      </w:pPr>
      <w:r w:rsidRPr="008D19CD">
        <w:rPr>
          <w:rFonts w:eastAsia="Times New Roman"/>
          <w:szCs w:val="17"/>
        </w:rPr>
        <w:t>Minister for Human Services</w:t>
      </w:r>
    </w:p>
    <w:p w14:paraId="042C24A8" w14:textId="77777777" w:rsidR="008D19CD" w:rsidRPr="008D19CD" w:rsidRDefault="008D19CD" w:rsidP="008D19CD">
      <w:pPr>
        <w:jc w:val="right"/>
        <w:rPr>
          <w:rFonts w:eastAsia="Times New Roman"/>
          <w:szCs w:val="17"/>
        </w:rPr>
      </w:pPr>
      <w:r w:rsidRPr="008D19CD">
        <w:rPr>
          <w:rFonts w:eastAsia="Times New Roman"/>
          <w:szCs w:val="17"/>
        </w:rPr>
        <w:t>Minister for Seniors and Ageing Well</w:t>
      </w:r>
    </w:p>
    <w:p w14:paraId="2C86E273" w14:textId="77777777" w:rsidR="008D19CD" w:rsidRPr="008D19CD" w:rsidRDefault="008D19CD" w:rsidP="008D19CD">
      <w:pPr>
        <w:rPr>
          <w:rFonts w:eastAsia="Times New Roman"/>
          <w:b/>
          <w:bCs/>
          <w:szCs w:val="17"/>
        </w:rPr>
      </w:pPr>
      <w:r w:rsidRPr="008D19CD">
        <w:rPr>
          <w:rFonts w:eastAsia="Times New Roman"/>
          <w:b/>
          <w:bCs/>
          <w:szCs w:val="17"/>
        </w:rPr>
        <w:t>Defining Disability</w:t>
      </w:r>
    </w:p>
    <w:p w14:paraId="4DAA3011" w14:textId="77777777" w:rsidR="008D19CD" w:rsidRPr="008D19CD" w:rsidRDefault="008D19CD" w:rsidP="008D19CD">
      <w:pPr>
        <w:rPr>
          <w:rFonts w:eastAsia="Times New Roman"/>
          <w:szCs w:val="17"/>
        </w:rPr>
      </w:pPr>
      <w:r w:rsidRPr="008D19CD">
        <w:rPr>
          <w:rFonts w:eastAsia="Times New Roman"/>
          <w:szCs w:val="17"/>
        </w:rPr>
        <w:t>Disability is diverse and experienced by people of all ages, backgrounds and cultures. It can include physical, sensory, cognitive, intellectual, psychosocial and invisible disabilities.</w:t>
      </w:r>
    </w:p>
    <w:p w14:paraId="1502D14C" w14:textId="77777777" w:rsidR="008D19CD" w:rsidRPr="008D19CD" w:rsidRDefault="008D19CD" w:rsidP="008D19CD">
      <w:pPr>
        <w:rPr>
          <w:rFonts w:eastAsia="Times New Roman"/>
          <w:szCs w:val="17"/>
        </w:rPr>
      </w:pPr>
      <w:r w:rsidRPr="008D19CD">
        <w:rPr>
          <w:rFonts w:eastAsia="Times New Roman"/>
          <w:szCs w:val="17"/>
        </w:rPr>
        <w:t>The State Plan is underpinned by both the social and human rights models of disability, which recognise that disability is not caused by an individual’s impairment, but by the physical, attitudinal and systemic barriers created by society.</w:t>
      </w:r>
    </w:p>
    <w:p w14:paraId="28241146" w14:textId="77777777" w:rsidR="008D19CD" w:rsidRPr="008D19CD" w:rsidRDefault="008D19CD" w:rsidP="008D19CD">
      <w:pPr>
        <w:rPr>
          <w:rFonts w:eastAsia="Times New Roman"/>
          <w:szCs w:val="17"/>
        </w:rPr>
      </w:pPr>
      <w:r w:rsidRPr="008D19CD">
        <w:rPr>
          <w:rFonts w:eastAsia="Times New Roman"/>
          <w:szCs w:val="17"/>
        </w:rPr>
        <w:t>These models emphasise the importance of removing those barriers to create a more inclusive and equitable community—one where people with disability have the same opportunity to participate, contribute and thrive as everyone else.</w:t>
      </w:r>
    </w:p>
    <w:p w14:paraId="0AB77AE8" w14:textId="77777777" w:rsidR="008D19CD" w:rsidRPr="008D19CD" w:rsidRDefault="008D19CD" w:rsidP="008D19CD">
      <w:pPr>
        <w:rPr>
          <w:rFonts w:eastAsia="Times New Roman"/>
          <w:szCs w:val="17"/>
        </w:rPr>
      </w:pPr>
      <w:r w:rsidRPr="008D19CD">
        <w:rPr>
          <w:rFonts w:eastAsia="Times New Roman"/>
          <w:szCs w:val="17"/>
        </w:rPr>
        <w:t>The human rights model further reinforces this by affirming the inherent dignity, autonomy and equal rights of people with disability, as outlined in the United Nations Convention on the Rights of Persons with Disabilities (UNCRPD). It places responsibility on society to uphold and protect these rights across all areas of life.</w:t>
      </w:r>
    </w:p>
    <w:p w14:paraId="3BF2CCE8" w14:textId="77777777" w:rsidR="008D19CD" w:rsidRPr="008D19CD" w:rsidRDefault="008D19CD" w:rsidP="008D19CD">
      <w:pPr>
        <w:rPr>
          <w:rFonts w:eastAsia="Times New Roman"/>
          <w:szCs w:val="17"/>
        </w:rPr>
      </w:pPr>
      <w:r w:rsidRPr="008D19CD">
        <w:rPr>
          <w:rFonts w:eastAsia="Times New Roman"/>
          <w:szCs w:val="17"/>
        </w:rPr>
        <w:t>Over the years, society has viewed and responded to disability in other ways, with negative outcomes for people with disability. For example, the medical model of disability, which views disability as an individual condition to be treated or managed, has historically influenced many systems and services. The legacy of this approach still impacts people with disability to this day.</w:t>
      </w:r>
    </w:p>
    <w:p w14:paraId="6CABA3B7" w14:textId="77777777" w:rsidR="008D19CD" w:rsidRPr="008D19CD" w:rsidRDefault="008D19CD" w:rsidP="008D19CD">
      <w:pPr>
        <w:rPr>
          <w:rFonts w:eastAsia="Times New Roman"/>
          <w:szCs w:val="17"/>
        </w:rPr>
      </w:pPr>
      <w:r w:rsidRPr="008D19CD">
        <w:rPr>
          <w:rFonts w:eastAsia="Times New Roman"/>
          <w:szCs w:val="17"/>
        </w:rPr>
        <w:t>That is why the State Plan focuses on inclusion, accessibility and the removal of barriers in society, with social and human rights models providing the foundation for the State Plan and shaping our vision for a more inclusive South Australia.</w:t>
      </w:r>
    </w:p>
    <w:p w14:paraId="0FB48F9B" w14:textId="77777777" w:rsidR="008D19CD" w:rsidRPr="008D19CD" w:rsidRDefault="008D19CD" w:rsidP="008D19CD">
      <w:pPr>
        <w:rPr>
          <w:rFonts w:eastAsia="Times New Roman"/>
          <w:szCs w:val="17"/>
        </w:rPr>
      </w:pPr>
      <w:r w:rsidRPr="008D19CD">
        <w:rPr>
          <w:rFonts w:eastAsia="Times New Roman"/>
          <w:szCs w:val="17"/>
        </w:rPr>
        <w:t>It is important to note that disability may be understood differently across cultures. In some Aboriginal communities, difference is viewed through cultural roles, relationships and individual strengths, with a focus on community, identity and wellbeing. This can lead to underreporting of disability and, in turn, lower use of services. Similarly, in culturally and linguistically diverse (CALD) communities, cultural beliefs, language and experiences of stigma can shape how disability is perceived and supported, highlighting the importance of respectful, inclusive and tailored approaches.</w:t>
      </w:r>
    </w:p>
    <w:p w14:paraId="1CF5E4FC" w14:textId="77777777" w:rsidR="008D19CD" w:rsidRPr="008D19CD" w:rsidRDefault="008D19CD" w:rsidP="008D19CD">
      <w:pPr>
        <w:rPr>
          <w:rFonts w:eastAsia="Times New Roman"/>
          <w:szCs w:val="17"/>
        </w:rPr>
      </w:pPr>
      <w:r w:rsidRPr="008D19CD">
        <w:rPr>
          <w:rFonts w:eastAsia="Times New Roman"/>
          <w:szCs w:val="17"/>
        </w:rPr>
        <w:t xml:space="preserve">Recognising these diverse perspectives helps us understand that disability is defined and experienced in many different ways. Under the </w:t>
      </w:r>
      <w:r w:rsidRPr="008D19CD">
        <w:rPr>
          <w:rFonts w:eastAsia="Times New Roman"/>
          <w:i/>
          <w:iCs/>
          <w:szCs w:val="17"/>
        </w:rPr>
        <w:t>Disability Inclusion Act 2018</w:t>
      </w:r>
      <w:r w:rsidRPr="008D19CD">
        <w:rPr>
          <w:rFonts w:eastAsia="Times New Roman"/>
          <w:szCs w:val="17"/>
        </w:rPr>
        <w:t xml:space="preserve"> (SA) (the Act), and for the purposes of the State Plan, disability is defined as:</w:t>
      </w:r>
    </w:p>
    <w:p w14:paraId="205E4974" w14:textId="77777777" w:rsidR="008D19CD" w:rsidRPr="008D19CD" w:rsidRDefault="008D19CD" w:rsidP="008D19CD">
      <w:pPr>
        <w:ind w:left="142"/>
        <w:rPr>
          <w:rFonts w:eastAsia="Times New Roman"/>
          <w:i/>
          <w:iCs/>
          <w:szCs w:val="17"/>
        </w:rPr>
      </w:pPr>
      <w:r w:rsidRPr="008D19CD">
        <w:rPr>
          <w:rFonts w:eastAsia="Times New Roman"/>
          <w:i/>
          <w:iCs/>
          <w:szCs w:val="17"/>
        </w:rPr>
        <w:t>In relation to a person, includes long-term physical, psycho-social, intellectual, cognitive, neurological or sensory impairment, or a combination of any of these impairments, which in interaction with various barriers may hinder the person’s full and effective participation in society on an equal basis with others.</w:t>
      </w:r>
    </w:p>
    <w:p w14:paraId="5C349991" w14:textId="77777777" w:rsidR="008D19CD" w:rsidRPr="008D19CD" w:rsidRDefault="008D19CD" w:rsidP="008D19CD">
      <w:pPr>
        <w:rPr>
          <w:rFonts w:eastAsia="Times New Roman"/>
          <w:b/>
          <w:bCs/>
          <w:szCs w:val="17"/>
        </w:rPr>
      </w:pPr>
      <w:r w:rsidRPr="008D19CD">
        <w:rPr>
          <w:rFonts w:eastAsia="Times New Roman"/>
          <w:b/>
          <w:bCs/>
          <w:szCs w:val="17"/>
        </w:rPr>
        <w:lastRenderedPageBreak/>
        <w:t>About the State Disability Inclusion Plan</w:t>
      </w:r>
    </w:p>
    <w:p w14:paraId="68F432E1" w14:textId="77777777" w:rsidR="008D19CD" w:rsidRPr="008D19CD" w:rsidRDefault="008D19CD" w:rsidP="008D19CD">
      <w:pPr>
        <w:rPr>
          <w:rFonts w:eastAsia="Times New Roman"/>
          <w:szCs w:val="17"/>
        </w:rPr>
      </w:pPr>
      <w:r w:rsidRPr="008D19CD">
        <w:rPr>
          <w:rFonts w:eastAsia="Times New Roman"/>
          <w:i/>
          <w:iCs/>
          <w:szCs w:val="17"/>
        </w:rPr>
        <w:t>“Full acceptance is freedom”</w:t>
      </w:r>
      <w:r w:rsidRPr="008D19CD">
        <w:rPr>
          <w:rFonts w:eastAsia="Times New Roman"/>
          <w:szCs w:val="17"/>
        </w:rPr>
        <w:t>—Consultation participant</w:t>
      </w:r>
    </w:p>
    <w:p w14:paraId="7B50CE75" w14:textId="77777777" w:rsidR="008D19CD" w:rsidRPr="008D19CD" w:rsidRDefault="008D19CD" w:rsidP="008D19CD">
      <w:pPr>
        <w:rPr>
          <w:rFonts w:eastAsia="Times New Roman"/>
          <w:szCs w:val="17"/>
        </w:rPr>
      </w:pPr>
      <w:r w:rsidRPr="008D19CD">
        <w:rPr>
          <w:rFonts w:eastAsia="Times New Roman"/>
          <w:szCs w:val="17"/>
        </w:rPr>
        <w:t>Through the Act, all state government agencies and local councils (state authorities) affirmed their commitment to making significant and meaningful progress towards achieving an accessible and inclusive South Australia, where people with disability can actively participate in the world around them, without barriers or exclusion.</w:t>
      </w:r>
    </w:p>
    <w:p w14:paraId="660D4DD8" w14:textId="77777777" w:rsidR="008D19CD" w:rsidRPr="008D19CD" w:rsidRDefault="008D19CD" w:rsidP="008D19CD">
      <w:pPr>
        <w:rPr>
          <w:rFonts w:eastAsia="Times New Roman"/>
          <w:szCs w:val="17"/>
        </w:rPr>
      </w:pPr>
      <w:r w:rsidRPr="008D19CD">
        <w:rPr>
          <w:rFonts w:eastAsia="Times New Roman"/>
          <w:szCs w:val="17"/>
        </w:rPr>
        <w:t>To support this commitment, the Act requires South Australia to develop and maintain a State Plan. The State Plan sets out a whole-of-government strategy to promote inclusion, improve access to services and support the rights and participation of people with disability.</w:t>
      </w:r>
    </w:p>
    <w:p w14:paraId="277054AD" w14:textId="77777777" w:rsidR="008D19CD" w:rsidRPr="008D19CD" w:rsidRDefault="008D19CD" w:rsidP="008D19CD">
      <w:pPr>
        <w:rPr>
          <w:rFonts w:eastAsia="Times New Roman"/>
          <w:szCs w:val="17"/>
        </w:rPr>
      </w:pPr>
      <w:r w:rsidRPr="008D19CD">
        <w:rPr>
          <w:rFonts w:eastAsia="Times New Roman"/>
          <w:szCs w:val="17"/>
        </w:rPr>
        <w:t>South Australia’s first State Plan in 2019 was an important step forward for people with disability and recognition by the South Australian Government that access and inclusion for people with disability is a priority.</w:t>
      </w:r>
    </w:p>
    <w:p w14:paraId="1B6D3855" w14:textId="77777777" w:rsidR="008D19CD" w:rsidRPr="008D19CD" w:rsidRDefault="008D19CD" w:rsidP="008D19CD">
      <w:pPr>
        <w:rPr>
          <w:rFonts w:eastAsia="Times New Roman"/>
          <w:szCs w:val="17"/>
        </w:rPr>
      </w:pPr>
      <w:r w:rsidRPr="008D19CD">
        <w:rPr>
          <w:rFonts w:eastAsia="Times New Roman"/>
          <w:szCs w:val="17"/>
        </w:rPr>
        <w:t>The first State Plan brought local and state government authorities together to foster inclusion and accessibility in new and innovative ways. This included enhancing the accessibility of public infrastructure and services, the implementation of consistent DAIPs across government and workforce training to build awareness and improve service delivery. The implementation of the first State Plan also reaffirmed the importance of collaborative planning and authentic engagement with people with disability, which we have continued and built on during the development of this State Plan.</w:t>
      </w:r>
    </w:p>
    <w:p w14:paraId="4816D34B" w14:textId="77777777" w:rsidR="008D19CD" w:rsidRPr="008D19CD" w:rsidRDefault="008D19CD" w:rsidP="008D19CD">
      <w:pPr>
        <w:rPr>
          <w:rFonts w:eastAsia="Times New Roman"/>
          <w:szCs w:val="17"/>
        </w:rPr>
      </w:pPr>
      <w:r w:rsidRPr="008D19CD">
        <w:rPr>
          <w:rFonts w:eastAsia="Times New Roman"/>
          <w:szCs w:val="17"/>
        </w:rPr>
        <w:t>The State Plan is also South Australia’s vehicle to respond to the principles enshrined in the UNCRPD and the outcomes of the ADS.</w:t>
      </w:r>
    </w:p>
    <w:p w14:paraId="2EB4C9DA" w14:textId="77777777" w:rsidR="008D19CD" w:rsidRPr="008D19CD" w:rsidRDefault="008D19CD" w:rsidP="008D19CD">
      <w:pPr>
        <w:rPr>
          <w:rFonts w:eastAsia="Times New Roman"/>
          <w:szCs w:val="17"/>
        </w:rPr>
      </w:pPr>
      <w:r w:rsidRPr="008D19CD">
        <w:rPr>
          <w:rFonts w:eastAsia="Times New Roman"/>
          <w:szCs w:val="17"/>
        </w:rPr>
        <w:t>Although meaningful progress has been made in advancing access and inclusion, there is still important work ahead to ensure that every South Australian can participate fully and equally in all areas of life. The State Plan continues to lead this effort, providing a clear framework of priorities and coordinated government action to drive long-term change and foster a more inclusive and equitable community for everyone. The way we will do this is set out further in this document.</w:t>
      </w:r>
    </w:p>
    <w:p w14:paraId="68B06F5C" w14:textId="77777777" w:rsidR="008D19CD" w:rsidRPr="008D19CD" w:rsidRDefault="008D19CD" w:rsidP="008D19CD">
      <w:pPr>
        <w:rPr>
          <w:rFonts w:eastAsia="Times New Roman"/>
          <w:szCs w:val="17"/>
        </w:rPr>
      </w:pPr>
      <w:r w:rsidRPr="008D19CD">
        <w:rPr>
          <w:rFonts w:eastAsia="Times New Roman"/>
          <w:szCs w:val="17"/>
        </w:rPr>
        <w:t>The State Plan has been developed with and by the voices, inputs and perspectives of people with disability and is grounded in broader international and national disability frameworks to ensure that efforts in advancing disability inclusion in our community align.</w:t>
      </w:r>
    </w:p>
    <w:p w14:paraId="53ACFAFB" w14:textId="77777777" w:rsidR="008D19CD" w:rsidRPr="008D19CD" w:rsidRDefault="008D19CD" w:rsidP="008D19CD">
      <w:pPr>
        <w:rPr>
          <w:rFonts w:eastAsia="Times New Roman"/>
          <w:szCs w:val="17"/>
        </w:rPr>
      </w:pPr>
      <w:r w:rsidRPr="008D19CD">
        <w:rPr>
          <w:rFonts w:eastAsia="Times New Roman"/>
          <w:szCs w:val="17"/>
        </w:rPr>
        <w:t>The Act dictates what the State Plan needs to be responsible for and therefore not all aspects of disability reform are included in the State Plan. This includes operational and policy matters relating to the NDIS, My Aged Care or other programs that fall within the Australian Government’s responsibility.</w:t>
      </w:r>
    </w:p>
    <w:p w14:paraId="2E2551DE" w14:textId="77777777" w:rsidR="008D19CD" w:rsidRPr="008D19CD" w:rsidRDefault="008D19CD" w:rsidP="008D19CD">
      <w:pPr>
        <w:rPr>
          <w:rFonts w:eastAsia="Times New Roman"/>
          <w:szCs w:val="17"/>
        </w:rPr>
      </w:pPr>
      <w:r w:rsidRPr="008D19CD">
        <w:rPr>
          <w:rFonts w:eastAsia="Times New Roman"/>
          <w:szCs w:val="17"/>
        </w:rPr>
        <w:t>This does not mean the South Australian Government isn’t working on reform in this area; it means it is outside the core responsibility of the State Plan.</w:t>
      </w:r>
    </w:p>
    <w:p w14:paraId="68C26D97" w14:textId="77777777" w:rsidR="008D19CD" w:rsidRPr="008D19CD" w:rsidRDefault="008D19CD" w:rsidP="008D19CD">
      <w:pPr>
        <w:rPr>
          <w:rFonts w:eastAsia="Times New Roman"/>
          <w:b/>
          <w:bCs/>
          <w:szCs w:val="17"/>
        </w:rPr>
      </w:pPr>
      <w:r w:rsidRPr="008D19CD">
        <w:rPr>
          <w:rFonts w:eastAsia="Times New Roman"/>
          <w:b/>
          <w:bCs/>
          <w:szCs w:val="17"/>
        </w:rPr>
        <w:t>Guided by Lived Experience</w:t>
      </w:r>
    </w:p>
    <w:p w14:paraId="05F31FB0" w14:textId="77777777" w:rsidR="008D19CD" w:rsidRPr="008D19CD" w:rsidRDefault="008D19CD" w:rsidP="008D19CD">
      <w:pPr>
        <w:rPr>
          <w:rFonts w:eastAsia="Times New Roman"/>
          <w:szCs w:val="17"/>
        </w:rPr>
      </w:pPr>
      <w:r w:rsidRPr="008D19CD">
        <w:rPr>
          <w:rFonts w:eastAsia="Times New Roman"/>
          <w:szCs w:val="17"/>
        </w:rPr>
        <w:t>The South Australian Government is committed to ensuring the voices of South Australians with lived experience are embedded in all aspects of policy design.</w:t>
      </w:r>
    </w:p>
    <w:p w14:paraId="5B1350A4" w14:textId="77777777" w:rsidR="008D19CD" w:rsidRPr="008D19CD" w:rsidRDefault="008D19CD" w:rsidP="008D19CD">
      <w:pPr>
        <w:rPr>
          <w:rFonts w:eastAsia="Times New Roman"/>
          <w:szCs w:val="17"/>
        </w:rPr>
      </w:pPr>
      <w:r w:rsidRPr="008D19CD">
        <w:rPr>
          <w:rFonts w:eastAsia="Times New Roman"/>
          <w:szCs w:val="17"/>
        </w:rPr>
        <w:t>The voices of people with lived experience of disability have been central to the development of the State Plan and we thank all those who have engaged with this process to share their experiences, ideas and reflections.</w:t>
      </w:r>
    </w:p>
    <w:p w14:paraId="0F099C24" w14:textId="77777777" w:rsidR="008D19CD" w:rsidRPr="008D19CD" w:rsidRDefault="008D19CD" w:rsidP="008D19CD">
      <w:pPr>
        <w:rPr>
          <w:rFonts w:eastAsia="Times New Roman"/>
          <w:szCs w:val="17"/>
        </w:rPr>
      </w:pPr>
      <w:r w:rsidRPr="008D19CD">
        <w:rPr>
          <w:rFonts w:eastAsia="Times New Roman"/>
          <w:szCs w:val="17"/>
        </w:rPr>
        <w:t>During the first public round of consultation on the new State Plan in 2023, more than 500 people provided their insights and views. Feedback was received from people with disability, their friends, family, carers, advocates, peak disability bodies and non-government organisations (NGOs), including Aboriginal Community Controlled Organisations. Engagement took place through YourSAy surveys, written submissions, a dedicated forum for NGOs, targeted focus groups and one-on-one interviews. This ensured a broad and inclusive process that engaged as many people as possible.</w:t>
      </w:r>
    </w:p>
    <w:p w14:paraId="7EB7CE84" w14:textId="77777777" w:rsidR="008D19CD" w:rsidRPr="008D19CD" w:rsidRDefault="008D19CD" w:rsidP="008D19CD">
      <w:pPr>
        <w:rPr>
          <w:rFonts w:eastAsia="Times New Roman"/>
          <w:szCs w:val="17"/>
        </w:rPr>
      </w:pPr>
      <w:r w:rsidRPr="008D19CD">
        <w:rPr>
          <w:rFonts w:eastAsia="Times New Roman"/>
          <w:szCs w:val="17"/>
        </w:rPr>
        <w:t>Feedback from the community played a key role in shaping the priorities of the new State Plan. It clearly articulated the areas requiring focused attention, including inclusive education, equitable access to employment, accessible and responsive healthcare, enhanced opportunities for community participation, and the imperative to recognise and address intersectionality within the disability community.</w:t>
      </w:r>
    </w:p>
    <w:p w14:paraId="6C7A9C0E" w14:textId="77777777" w:rsidR="008D19CD" w:rsidRPr="008D19CD" w:rsidRDefault="008D19CD" w:rsidP="008D19CD">
      <w:pPr>
        <w:rPr>
          <w:rFonts w:eastAsia="Times New Roman"/>
          <w:szCs w:val="17"/>
        </w:rPr>
      </w:pPr>
      <w:r w:rsidRPr="008D19CD">
        <w:rPr>
          <w:rFonts w:eastAsia="Times New Roman"/>
          <w:szCs w:val="17"/>
        </w:rPr>
        <w:t xml:space="preserve">This consultation activity is captured in the </w:t>
      </w:r>
      <w:hyperlink r:id="rId274" w:history="1">
        <w:r w:rsidRPr="008D19CD">
          <w:rPr>
            <w:rFonts w:eastAsia="Times New Roman"/>
            <w:color w:val="0000FF"/>
            <w:szCs w:val="17"/>
            <w:u w:val="single"/>
          </w:rPr>
          <w:t>State Disability Inclusion Plan Consultation Report 2024</w:t>
        </w:r>
      </w:hyperlink>
      <w:r w:rsidRPr="008D19CD">
        <w:rPr>
          <w:rFonts w:eastAsia="Times New Roman"/>
          <w:szCs w:val="17"/>
        </w:rPr>
        <w:t xml:space="preserve"> and provided the framework on which the new State Plan was drafted.</w:t>
      </w:r>
    </w:p>
    <w:p w14:paraId="36C1B9E6" w14:textId="77777777" w:rsidR="008D19CD" w:rsidRPr="008D19CD" w:rsidRDefault="008D19CD" w:rsidP="008D19CD">
      <w:pPr>
        <w:rPr>
          <w:rFonts w:eastAsia="Times New Roman"/>
          <w:szCs w:val="17"/>
        </w:rPr>
      </w:pPr>
      <w:r w:rsidRPr="008D19CD">
        <w:rPr>
          <w:rFonts w:eastAsia="Times New Roman"/>
          <w:szCs w:val="17"/>
        </w:rPr>
        <w:t>In early 2025 the draft of the new State Plan was released for further public consultation.</w:t>
      </w:r>
    </w:p>
    <w:p w14:paraId="41058D4A" w14:textId="77777777" w:rsidR="008D19CD" w:rsidRPr="008D19CD" w:rsidRDefault="008D19CD" w:rsidP="008D19CD">
      <w:pPr>
        <w:rPr>
          <w:rFonts w:eastAsia="Times New Roman"/>
          <w:szCs w:val="17"/>
        </w:rPr>
      </w:pPr>
      <w:r w:rsidRPr="008D19CD">
        <w:rPr>
          <w:rFonts w:eastAsia="Times New Roman"/>
          <w:szCs w:val="17"/>
        </w:rPr>
        <w:t>In total, 94 contributions were received via the YourSAy platform, along with 50 written submissions from people with disability, families, carers, friends, advocates, people within the disability sector, non-government organisations and state authorities.</w:t>
      </w:r>
    </w:p>
    <w:p w14:paraId="0D0A1678" w14:textId="77777777" w:rsidR="008D19CD" w:rsidRPr="008D19CD" w:rsidRDefault="008D19CD" w:rsidP="008D19CD">
      <w:pPr>
        <w:rPr>
          <w:rFonts w:eastAsia="Times New Roman"/>
          <w:szCs w:val="17"/>
        </w:rPr>
      </w:pPr>
      <w:r w:rsidRPr="008D19CD">
        <w:rPr>
          <w:rFonts w:eastAsia="Times New Roman"/>
          <w:szCs w:val="17"/>
        </w:rPr>
        <w:t>Further consultation occurred with lived experience groups including the South Australian Council on Intellectual Disability, Our Voice SA and Enabled Youth Disability Network (EYDN—previously known as Julia Farr Youth), to ensure that the specific needs and overlapping barriers experienced by priority groups identified in the Act are appropriately addressed in the State Plan.</w:t>
      </w:r>
    </w:p>
    <w:p w14:paraId="570CB11D" w14:textId="77777777" w:rsidR="008D19CD" w:rsidRPr="008D19CD" w:rsidRDefault="008D19CD" w:rsidP="008D19CD">
      <w:pPr>
        <w:rPr>
          <w:rFonts w:eastAsia="Times New Roman"/>
          <w:szCs w:val="17"/>
        </w:rPr>
      </w:pPr>
      <w:r w:rsidRPr="008D19CD">
        <w:rPr>
          <w:rFonts w:eastAsia="Times New Roman"/>
          <w:szCs w:val="17"/>
        </w:rPr>
        <w:t>Members of the Disability Minister’s Advisory Council (DMAC) were actively engaged in the review of community feedback and provided strategic advice to help refine the final State Plan.</w:t>
      </w:r>
    </w:p>
    <w:p w14:paraId="1CF3963B" w14:textId="77777777" w:rsidR="008D19CD" w:rsidRPr="008D19CD" w:rsidRDefault="008D19CD" w:rsidP="008D19CD">
      <w:pPr>
        <w:rPr>
          <w:rFonts w:eastAsia="Times New Roman"/>
          <w:szCs w:val="17"/>
        </w:rPr>
      </w:pPr>
      <w:r w:rsidRPr="008D19CD">
        <w:rPr>
          <w:rFonts w:eastAsia="Times New Roman"/>
          <w:szCs w:val="17"/>
        </w:rPr>
        <w:t>The State Plan also reflects recommendations from the independent review of the Act conducted in 2022. Extensive consultation was undertaken during the review to inform the final report and its recommendations. These recommendations led to amendments to the Act that strengthen South Australia’s commitment to disability inclusion.</w:t>
      </w:r>
    </w:p>
    <w:p w14:paraId="47D7101A" w14:textId="77777777" w:rsidR="008D19CD" w:rsidRPr="008D19CD" w:rsidRDefault="008D19CD" w:rsidP="008D19CD">
      <w:pPr>
        <w:rPr>
          <w:rFonts w:eastAsia="Times New Roman"/>
          <w:szCs w:val="17"/>
        </w:rPr>
      </w:pPr>
      <w:r w:rsidRPr="008D19CD">
        <w:rPr>
          <w:rFonts w:eastAsia="Times New Roman"/>
          <w:szCs w:val="17"/>
        </w:rPr>
        <w:t>The amendments enhance the quality and scope of the State Plan by explicitly recognising that all people with disability—regardless of age—have the right to be safe and to feel safe. This includes access to appropriate safeguards, information, services and support. The amendments also define and describe barriers to inclusion and identify people with significant intellectual disability, or those who experience high levels of vulnerability due to disability, as a priority group.</w:t>
      </w:r>
    </w:p>
    <w:p w14:paraId="209197E7" w14:textId="77777777" w:rsidR="008D19CD" w:rsidRPr="008D19CD" w:rsidRDefault="008D19CD" w:rsidP="008D19CD">
      <w:pPr>
        <w:rPr>
          <w:rFonts w:eastAsia="Times New Roman"/>
          <w:szCs w:val="17"/>
        </w:rPr>
      </w:pPr>
      <w:r w:rsidRPr="008D19CD">
        <w:rPr>
          <w:rFonts w:eastAsia="Times New Roman"/>
          <w:szCs w:val="17"/>
        </w:rPr>
        <w:t>The State Plan also captures new requirements under the Act relating to reporting and timeframes and as the priorities of people with disability shift, so too must our response. For this reason, we will continue to be led by, listen to, consult with and respond to the needs of people with disability through the implementation of our State Plan and each state authority’s DAIP.</w:t>
      </w:r>
    </w:p>
    <w:p w14:paraId="0C7D4653" w14:textId="77777777" w:rsidR="008D19CD" w:rsidRPr="008D19CD" w:rsidRDefault="008D19CD" w:rsidP="008D19CD">
      <w:pPr>
        <w:rPr>
          <w:rFonts w:eastAsia="Times New Roman"/>
          <w:b/>
          <w:bCs/>
          <w:szCs w:val="17"/>
        </w:rPr>
      </w:pPr>
      <w:r w:rsidRPr="008D19CD">
        <w:rPr>
          <w:rFonts w:eastAsia="Times New Roman"/>
          <w:b/>
          <w:bCs/>
          <w:szCs w:val="17"/>
        </w:rPr>
        <w:t>The United Nations Convention on the Rights of Persons with Disabilities</w:t>
      </w:r>
    </w:p>
    <w:p w14:paraId="3CFF839E" w14:textId="77777777" w:rsidR="008D19CD" w:rsidRPr="008D19CD" w:rsidRDefault="008D19CD" w:rsidP="008D19CD">
      <w:pPr>
        <w:rPr>
          <w:rFonts w:eastAsia="Times New Roman"/>
          <w:szCs w:val="17"/>
        </w:rPr>
      </w:pPr>
      <w:r w:rsidRPr="008D19CD">
        <w:rPr>
          <w:rFonts w:eastAsia="Times New Roman"/>
          <w:szCs w:val="17"/>
        </w:rPr>
        <w:t>The United Nations Convention on the Rights of Persons with Disabilities (UNCRPD) is an international convention which sets out the fundamental human rights of all people with disability.</w:t>
      </w:r>
    </w:p>
    <w:p w14:paraId="31691758" w14:textId="77777777" w:rsidR="008D19CD" w:rsidRPr="008D19CD" w:rsidRDefault="008D19CD" w:rsidP="008D19CD">
      <w:pPr>
        <w:rPr>
          <w:rFonts w:eastAsia="Times New Roman"/>
          <w:szCs w:val="17"/>
        </w:rPr>
      </w:pPr>
      <w:r w:rsidRPr="008D19CD">
        <w:rPr>
          <w:rFonts w:eastAsia="Times New Roman"/>
          <w:szCs w:val="17"/>
        </w:rPr>
        <w:t>The principles enshrined in the UNCRPD provide a clear framework to ensure that people with disability are treated fairly and equitably, are safe and enjoy the same human rights and fundamental freedoms as all people within society.</w:t>
      </w:r>
    </w:p>
    <w:p w14:paraId="27B167BB" w14:textId="77777777" w:rsidR="008D19CD" w:rsidRPr="008D19CD" w:rsidRDefault="008D19CD" w:rsidP="008D19CD">
      <w:pPr>
        <w:rPr>
          <w:rFonts w:eastAsia="Times New Roman"/>
          <w:szCs w:val="17"/>
        </w:rPr>
      </w:pPr>
      <w:r w:rsidRPr="008D19CD">
        <w:rPr>
          <w:rFonts w:eastAsia="Times New Roman"/>
          <w:szCs w:val="17"/>
        </w:rPr>
        <w:t>In 2007, Australia became one of the first signatories to the UNCRPD. Following extensive consultation and official approval through Australia’s national legislative process, the UNCRPD was officially ratified on 17 July 2008.</w:t>
      </w:r>
    </w:p>
    <w:p w14:paraId="5BE545D3" w14:textId="77777777" w:rsidR="008D19CD" w:rsidRPr="008D19CD" w:rsidRDefault="008D19CD" w:rsidP="008D19CD">
      <w:pPr>
        <w:rPr>
          <w:rFonts w:eastAsia="Times New Roman"/>
          <w:szCs w:val="17"/>
        </w:rPr>
      </w:pPr>
      <w:r w:rsidRPr="008D19CD">
        <w:rPr>
          <w:rFonts w:eastAsia="Times New Roman"/>
          <w:szCs w:val="17"/>
        </w:rPr>
        <w:lastRenderedPageBreak/>
        <w:t>In Australia, the UNCRPD is incorporated through legislation, policy and programs at federal, state and territory levels. The Human Rights Branch and the Office of International Law within the Commonwealth Attorney-General’s Department are responsible for leading Australia’s work under the UNCRPD. This means they are responsible for regular reporting and appearing before the Committee on the Rights of Persons with Disabilities, which is facilitated by the Human Rights Branch. This branch also administers other important Commonwealth anti-discrimination and human rights legislations, including:</w:t>
      </w:r>
    </w:p>
    <w:p w14:paraId="05B4A824" w14:textId="77777777" w:rsidR="008D19CD" w:rsidRPr="008D19CD" w:rsidRDefault="008D19CD" w:rsidP="008D19CD">
      <w:pPr>
        <w:spacing w:after="40"/>
        <w:ind w:left="142"/>
        <w:rPr>
          <w:rFonts w:eastAsia="Times New Roman"/>
          <w:i/>
          <w:iCs/>
          <w:szCs w:val="17"/>
        </w:rPr>
      </w:pPr>
      <w:r w:rsidRPr="008D19CD">
        <w:rPr>
          <w:rFonts w:eastAsia="Times New Roman"/>
          <w:i/>
          <w:iCs/>
          <w:szCs w:val="17"/>
        </w:rPr>
        <w:t>Australia’s Disability Discrimination Act 1992</w:t>
      </w:r>
    </w:p>
    <w:p w14:paraId="7EA3238C" w14:textId="77777777" w:rsidR="008D19CD" w:rsidRPr="008D19CD" w:rsidRDefault="008D19CD" w:rsidP="008D19CD">
      <w:pPr>
        <w:ind w:left="142"/>
        <w:rPr>
          <w:rFonts w:eastAsia="Times New Roman"/>
          <w:i/>
          <w:iCs/>
          <w:szCs w:val="17"/>
        </w:rPr>
      </w:pPr>
      <w:r w:rsidRPr="008D19CD">
        <w:rPr>
          <w:rFonts w:eastAsia="Times New Roman"/>
          <w:i/>
          <w:iCs/>
          <w:szCs w:val="17"/>
        </w:rPr>
        <w:t>Australian Human Rights Commission Act 1986</w:t>
      </w:r>
    </w:p>
    <w:p w14:paraId="5397B415" w14:textId="77777777" w:rsidR="008D19CD" w:rsidRPr="008D19CD" w:rsidRDefault="008D19CD" w:rsidP="008D19CD">
      <w:pPr>
        <w:rPr>
          <w:rFonts w:eastAsia="Times New Roman"/>
          <w:szCs w:val="17"/>
        </w:rPr>
      </w:pPr>
      <w:r w:rsidRPr="008D19CD">
        <w:rPr>
          <w:rFonts w:eastAsia="Times New Roman"/>
          <w:szCs w:val="17"/>
        </w:rPr>
        <w:t xml:space="preserve">In South Australia, the </w:t>
      </w:r>
      <w:r w:rsidRPr="008D19CD">
        <w:rPr>
          <w:rFonts w:eastAsia="Times New Roman"/>
          <w:i/>
          <w:iCs/>
          <w:szCs w:val="17"/>
        </w:rPr>
        <w:t>Disability Inclusion Act 2018</w:t>
      </w:r>
      <w:r w:rsidRPr="008D19CD">
        <w:rPr>
          <w:rFonts w:eastAsia="Times New Roman"/>
          <w:szCs w:val="17"/>
        </w:rPr>
        <w:t xml:space="preserve"> (SA) is our vehicle to ensuring the principles outlined in the UNCRPD underpin the development and delivery of policy relating to people with disability, including the State Plan.</w:t>
      </w:r>
    </w:p>
    <w:p w14:paraId="7DE47E24" w14:textId="77777777" w:rsidR="008D19CD" w:rsidRPr="008D19CD" w:rsidRDefault="008D19CD" w:rsidP="008D19CD">
      <w:pPr>
        <w:rPr>
          <w:rFonts w:eastAsia="Times New Roman"/>
          <w:b/>
          <w:bCs/>
          <w:szCs w:val="17"/>
        </w:rPr>
      </w:pPr>
      <w:r w:rsidRPr="008D19CD">
        <w:rPr>
          <w:rFonts w:eastAsia="Times New Roman"/>
          <w:b/>
          <w:bCs/>
          <w:szCs w:val="17"/>
        </w:rPr>
        <w:t>National Disability Policy and Reform</w:t>
      </w:r>
    </w:p>
    <w:p w14:paraId="41C8163A" w14:textId="77777777" w:rsidR="008D19CD" w:rsidRPr="008D19CD" w:rsidRDefault="008D19CD" w:rsidP="008D19CD">
      <w:pPr>
        <w:rPr>
          <w:rFonts w:eastAsia="Times New Roman"/>
          <w:szCs w:val="17"/>
        </w:rPr>
      </w:pPr>
      <w:r w:rsidRPr="008D19CD">
        <w:rPr>
          <w:rFonts w:eastAsia="Times New Roman"/>
          <w:szCs w:val="17"/>
        </w:rPr>
        <w:t>In addition to the UNCRPD, the State Plan is informed by national disability frameworks, reform programs, and complementary state legislation and policies to ensure a coordinated approach to advancing disability inclusion in our community.</w:t>
      </w:r>
    </w:p>
    <w:p w14:paraId="34097F52" w14:textId="77777777" w:rsidR="008D19CD" w:rsidRPr="008D19CD" w:rsidRDefault="008D19CD" w:rsidP="008D19CD">
      <w:pPr>
        <w:rPr>
          <w:rFonts w:eastAsia="Times New Roman"/>
          <w:szCs w:val="17"/>
        </w:rPr>
      </w:pPr>
      <w:r w:rsidRPr="008D19CD">
        <w:rPr>
          <w:rFonts w:eastAsia="Times New Roman"/>
          <w:szCs w:val="17"/>
        </w:rPr>
        <w:t>Australia’s Disability Strategy</w:t>
      </w:r>
    </w:p>
    <w:p w14:paraId="6B6634DE" w14:textId="77777777" w:rsidR="008D19CD" w:rsidRPr="008D19CD" w:rsidRDefault="008D19CD" w:rsidP="008D19CD">
      <w:pPr>
        <w:rPr>
          <w:rFonts w:eastAsia="Times New Roman"/>
          <w:szCs w:val="17"/>
        </w:rPr>
      </w:pPr>
      <w:hyperlink r:id="rId275" w:history="1">
        <w:r w:rsidRPr="008D19CD">
          <w:rPr>
            <w:rFonts w:eastAsia="Times New Roman"/>
            <w:color w:val="0000FF"/>
            <w:szCs w:val="17"/>
            <w:u w:val="single"/>
          </w:rPr>
          <w:t>Australia’s Disability Strategy 2021-2031</w:t>
        </w:r>
      </w:hyperlink>
      <w:r w:rsidRPr="008D19CD">
        <w:rPr>
          <w:rFonts w:eastAsia="Times New Roman"/>
          <w:szCs w:val="17"/>
        </w:rPr>
        <w:t xml:space="preserve"> (the ADS) outlines a vision for a more inclusive and accessible Australian society where people with disability can fulfil their potential as equal members of the community.</w:t>
      </w:r>
    </w:p>
    <w:p w14:paraId="4B071ECF" w14:textId="77777777" w:rsidR="008D19CD" w:rsidRPr="008D19CD" w:rsidRDefault="008D19CD" w:rsidP="008D19CD">
      <w:pPr>
        <w:rPr>
          <w:rFonts w:eastAsia="Times New Roman"/>
          <w:szCs w:val="17"/>
        </w:rPr>
      </w:pPr>
      <w:r w:rsidRPr="008D19CD">
        <w:rPr>
          <w:rFonts w:eastAsia="Times New Roman"/>
          <w:szCs w:val="17"/>
        </w:rPr>
        <w:t>Its purpose is to provide national leadership towards greater inclusion and guide activity across all areas of public policy.</w:t>
      </w:r>
    </w:p>
    <w:p w14:paraId="6B35D645" w14:textId="77777777" w:rsidR="008D19CD" w:rsidRPr="008D19CD" w:rsidRDefault="008D19CD" w:rsidP="008D19CD">
      <w:pPr>
        <w:rPr>
          <w:rFonts w:eastAsia="Times New Roman"/>
          <w:szCs w:val="17"/>
        </w:rPr>
      </w:pPr>
      <w:r w:rsidRPr="008D19CD">
        <w:rPr>
          <w:rFonts w:eastAsia="Times New Roman"/>
          <w:szCs w:val="17"/>
        </w:rPr>
        <w:t xml:space="preserve">The ADS recognises that all levels of government share responsibility for supporting people with disability and outlines key priorities for </w:t>
      </w:r>
      <w:r w:rsidRPr="008D19CD">
        <w:rPr>
          <w:rFonts w:eastAsia="Times New Roman"/>
          <w:spacing w:val="-4"/>
          <w:szCs w:val="17"/>
        </w:rPr>
        <w:t>collaboration with the community, businesses and people with disability through defined outcome areas and supporting Targeted Action Plans (TAPs).</w:t>
      </w:r>
    </w:p>
    <w:p w14:paraId="0B6A0490" w14:textId="77777777" w:rsidR="008D19CD" w:rsidRPr="008D19CD" w:rsidRDefault="008D19CD" w:rsidP="008D19CD">
      <w:pPr>
        <w:rPr>
          <w:rFonts w:eastAsia="Times New Roman"/>
          <w:szCs w:val="17"/>
        </w:rPr>
      </w:pPr>
      <w:r w:rsidRPr="008D19CD">
        <w:rPr>
          <w:rFonts w:eastAsia="Times New Roman"/>
          <w:szCs w:val="17"/>
        </w:rPr>
        <w:t>There are seven outcome areas associated with the ADS:</w:t>
      </w:r>
    </w:p>
    <w:p w14:paraId="7D3DC693" w14:textId="77777777" w:rsidR="008D19CD" w:rsidRPr="008D19CD" w:rsidRDefault="008D19CD" w:rsidP="008D19CD">
      <w:pPr>
        <w:spacing w:after="20"/>
        <w:ind w:left="142"/>
        <w:rPr>
          <w:rFonts w:eastAsia="Times New Roman"/>
          <w:szCs w:val="17"/>
        </w:rPr>
      </w:pPr>
      <w:r w:rsidRPr="008D19CD">
        <w:rPr>
          <w:rFonts w:eastAsia="Times New Roman"/>
          <w:szCs w:val="17"/>
        </w:rPr>
        <w:t>Employment and Financial Security</w:t>
      </w:r>
    </w:p>
    <w:p w14:paraId="45F7F36F" w14:textId="77777777" w:rsidR="008D19CD" w:rsidRPr="008D19CD" w:rsidRDefault="008D19CD" w:rsidP="008D19CD">
      <w:pPr>
        <w:spacing w:after="20"/>
        <w:ind w:left="142"/>
        <w:rPr>
          <w:rFonts w:eastAsia="Times New Roman"/>
          <w:szCs w:val="17"/>
        </w:rPr>
      </w:pPr>
      <w:r w:rsidRPr="008D19CD">
        <w:rPr>
          <w:rFonts w:eastAsia="Times New Roman"/>
          <w:szCs w:val="17"/>
        </w:rPr>
        <w:t>Inclusive Homes and Communities</w:t>
      </w:r>
    </w:p>
    <w:p w14:paraId="5442B0E1" w14:textId="77777777" w:rsidR="008D19CD" w:rsidRPr="008D19CD" w:rsidRDefault="008D19CD" w:rsidP="008D19CD">
      <w:pPr>
        <w:spacing w:after="20"/>
        <w:ind w:left="142"/>
        <w:rPr>
          <w:rFonts w:eastAsia="Times New Roman"/>
          <w:szCs w:val="17"/>
        </w:rPr>
      </w:pPr>
      <w:r w:rsidRPr="008D19CD">
        <w:rPr>
          <w:rFonts w:eastAsia="Times New Roman"/>
          <w:szCs w:val="17"/>
        </w:rPr>
        <w:t>Safety, Rights and Justice</w:t>
      </w:r>
    </w:p>
    <w:p w14:paraId="1D88937D" w14:textId="77777777" w:rsidR="008D19CD" w:rsidRPr="008D19CD" w:rsidRDefault="008D19CD" w:rsidP="008D19CD">
      <w:pPr>
        <w:spacing w:after="20"/>
        <w:ind w:left="142"/>
        <w:rPr>
          <w:rFonts w:eastAsia="Times New Roman"/>
          <w:szCs w:val="17"/>
        </w:rPr>
      </w:pPr>
      <w:r w:rsidRPr="008D19CD">
        <w:rPr>
          <w:rFonts w:eastAsia="Times New Roman"/>
          <w:szCs w:val="17"/>
        </w:rPr>
        <w:t>Personal and Community Support</w:t>
      </w:r>
    </w:p>
    <w:p w14:paraId="1B8EDD88" w14:textId="77777777" w:rsidR="008D19CD" w:rsidRPr="008D19CD" w:rsidRDefault="008D19CD" w:rsidP="008D19CD">
      <w:pPr>
        <w:spacing w:after="20"/>
        <w:ind w:left="142"/>
        <w:rPr>
          <w:rFonts w:eastAsia="Times New Roman"/>
          <w:szCs w:val="17"/>
        </w:rPr>
      </w:pPr>
      <w:r w:rsidRPr="008D19CD">
        <w:rPr>
          <w:rFonts w:eastAsia="Times New Roman"/>
          <w:szCs w:val="17"/>
        </w:rPr>
        <w:t>Education and Training</w:t>
      </w:r>
    </w:p>
    <w:p w14:paraId="52D569F2" w14:textId="77777777" w:rsidR="008D19CD" w:rsidRPr="008D19CD" w:rsidRDefault="008D19CD" w:rsidP="008D19CD">
      <w:pPr>
        <w:spacing w:after="20"/>
        <w:ind w:left="142"/>
        <w:rPr>
          <w:rFonts w:eastAsia="Times New Roman"/>
          <w:szCs w:val="17"/>
        </w:rPr>
      </w:pPr>
      <w:r w:rsidRPr="008D19CD">
        <w:rPr>
          <w:rFonts w:eastAsia="Times New Roman"/>
          <w:szCs w:val="17"/>
        </w:rPr>
        <w:t>Health and Wellbeing</w:t>
      </w:r>
    </w:p>
    <w:p w14:paraId="604E43F3" w14:textId="77777777" w:rsidR="008D19CD" w:rsidRPr="008D19CD" w:rsidRDefault="008D19CD" w:rsidP="008D19CD">
      <w:pPr>
        <w:ind w:left="142"/>
        <w:rPr>
          <w:rFonts w:eastAsia="Times New Roman"/>
          <w:szCs w:val="17"/>
        </w:rPr>
      </w:pPr>
      <w:r w:rsidRPr="008D19CD">
        <w:rPr>
          <w:rFonts w:eastAsia="Times New Roman"/>
          <w:szCs w:val="17"/>
        </w:rPr>
        <w:t>Community Attitudes.</w:t>
      </w:r>
    </w:p>
    <w:p w14:paraId="3591B5B8" w14:textId="77777777" w:rsidR="008D19CD" w:rsidRPr="008D19CD" w:rsidRDefault="008D19CD" w:rsidP="008D19CD">
      <w:pPr>
        <w:rPr>
          <w:rFonts w:eastAsia="Times New Roman"/>
          <w:szCs w:val="17"/>
        </w:rPr>
      </w:pPr>
      <w:r w:rsidRPr="008D19CD">
        <w:rPr>
          <w:rFonts w:eastAsia="Times New Roman"/>
          <w:szCs w:val="17"/>
        </w:rPr>
        <w:t>In addition to obligations set out within the ADS, TAPs provide for targeted deliverables against areas where additional focus or attention is required.</w:t>
      </w:r>
    </w:p>
    <w:p w14:paraId="31F511A9" w14:textId="77777777" w:rsidR="008D19CD" w:rsidRPr="008D19CD" w:rsidRDefault="008D19CD" w:rsidP="008D19CD">
      <w:pPr>
        <w:rPr>
          <w:rFonts w:eastAsia="Times New Roman"/>
          <w:szCs w:val="17"/>
        </w:rPr>
      </w:pPr>
      <w:r w:rsidRPr="008D19CD">
        <w:rPr>
          <w:rFonts w:eastAsia="Times New Roman"/>
          <w:szCs w:val="17"/>
        </w:rPr>
        <w:t>South Australia’s response to the ADS is led through the State Plan together with the actions and commitments embedded in each state authority’s DAIP. This ensures a coordinated approach to disability access and inclusion, while addressing the specific needs and aspirations of South Australians with disability.</w:t>
      </w:r>
    </w:p>
    <w:p w14:paraId="21B3549E" w14:textId="77777777" w:rsidR="008D19CD" w:rsidRPr="008D19CD" w:rsidRDefault="008D19CD" w:rsidP="008D19CD">
      <w:pPr>
        <w:rPr>
          <w:rFonts w:eastAsia="Times New Roman"/>
          <w:b/>
          <w:bCs/>
          <w:szCs w:val="17"/>
        </w:rPr>
      </w:pPr>
      <w:r w:rsidRPr="008D19CD">
        <w:rPr>
          <w:rFonts w:eastAsia="Times New Roman"/>
          <w:b/>
          <w:bCs/>
          <w:szCs w:val="17"/>
        </w:rPr>
        <w:t>National Disability Reform</w:t>
      </w:r>
    </w:p>
    <w:p w14:paraId="77C1EB2A" w14:textId="77777777" w:rsidR="008D19CD" w:rsidRPr="008D19CD" w:rsidRDefault="008D19CD" w:rsidP="008D19CD">
      <w:pPr>
        <w:rPr>
          <w:rFonts w:eastAsia="Times New Roman"/>
          <w:szCs w:val="17"/>
        </w:rPr>
      </w:pPr>
      <w:r w:rsidRPr="008D19CD">
        <w:rPr>
          <w:rFonts w:eastAsia="Times New Roman"/>
          <w:szCs w:val="17"/>
        </w:rPr>
        <w:t>The South Australian Government is committed to collaborating with other states and territories as well as the Australian Government to progress national disability reforms that respond to systemic issues, as well as the findings of recent landmark inquiries, including the Disability Royal Commission and the Independent Review into the National Disability Insurance Scheme (NDIS Review).</w:t>
      </w:r>
    </w:p>
    <w:p w14:paraId="6567AC2E" w14:textId="77777777" w:rsidR="008D19CD" w:rsidRPr="008D19CD" w:rsidRDefault="008D19CD" w:rsidP="008D19CD">
      <w:pPr>
        <w:rPr>
          <w:rFonts w:eastAsia="Times New Roman"/>
          <w:szCs w:val="17"/>
        </w:rPr>
      </w:pPr>
      <w:r w:rsidRPr="008D19CD">
        <w:rPr>
          <w:rFonts w:eastAsia="Times New Roman"/>
          <w:szCs w:val="17"/>
        </w:rPr>
        <w:t>This work is guided by South Australia’s representation and participation in the Disability Reform Ministerial Council (DRMC), in partnership with the Australian Government Department of Health, Disability and Ageing, the National Disability Insurance Agency, the NDIS Quality and Safeguards Commission and other jurisdictions.</w:t>
      </w:r>
    </w:p>
    <w:p w14:paraId="55455FB7" w14:textId="77777777" w:rsidR="008D19CD" w:rsidRPr="008D19CD" w:rsidRDefault="008D19CD" w:rsidP="008D19CD">
      <w:pPr>
        <w:rPr>
          <w:rFonts w:eastAsia="Times New Roman"/>
          <w:szCs w:val="17"/>
        </w:rPr>
      </w:pPr>
      <w:r w:rsidRPr="008D19CD">
        <w:rPr>
          <w:rFonts w:eastAsia="Times New Roman"/>
          <w:szCs w:val="17"/>
        </w:rPr>
        <w:t>Key reform priorities include:</w:t>
      </w:r>
    </w:p>
    <w:p w14:paraId="6175C4BF" w14:textId="77777777" w:rsidR="008D19CD" w:rsidRPr="008D19CD" w:rsidRDefault="008D19CD" w:rsidP="008D19CD">
      <w:pPr>
        <w:spacing w:after="20"/>
        <w:ind w:left="142"/>
        <w:rPr>
          <w:rFonts w:eastAsia="Times New Roman"/>
          <w:szCs w:val="17"/>
        </w:rPr>
      </w:pPr>
      <w:r w:rsidRPr="008D19CD">
        <w:rPr>
          <w:rFonts w:eastAsia="Times New Roman"/>
          <w:szCs w:val="17"/>
        </w:rPr>
        <w:t>implementation of the joint response to the Disability Royal Commission</w:t>
      </w:r>
    </w:p>
    <w:p w14:paraId="7E09C859" w14:textId="77777777" w:rsidR="008D19CD" w:rsidRPr="008D19CD" w:rsidRDefault="008D19CD" w:rsidP="008D19CD">
      <w:pPr>
        <w:spacing w:after="20"/>
        <w:ind w:left="142"/>
        <w:rPr>
          <w:rFonts w:eastAsia="Times New Roman"/>
          <w:szCs w:val="17"/>
        </w:rPr>
      </w:pPr>
      <w:r w:rsidRPr="008D19CD">
        <w:rPr>
          <w:rFonts w:eastAsia="Times New Roman"/>
          <w:szCs w:val="17"/>
        </w:rPr>
        <w:t>improvements to NDIS sustainability and participant experience</w:t>
      </w:r>
    </w:p>
    <w:p w14:paraId="5857ECED" w14:textId="77777777" w:rsidR="008D19CD" w:rsidRPr="008D19CD" w:rsidRDefault="008D19CD" w:rsidP="008D19CD">
      <w:pPr>
        <w:spacing w:after="20"/>
        <w:ind w:left="142"/>
        <w:rPr>
          <w:rFonts w:eastAsia="Times New Roman"/>
          <w:szCs w:val="17"/>
        </w:rPr>
      </w:pPr>
      <w:r w:rsidRPr="008D19CD">
        <w:rPr>
          <w:rFonts w:eastAsia="Times New Roman"/>
          <w:szCs w:val="17"/>
        </w:rPr>
        <w:t>national negotiations on the design and delivery of foundational supports</w:t>
      </w:r>
    </w:p>
    <w:p w14:paraId="40291DD5" w14:textId="77777777" w:rsidR="008D19CD" w:rsidRPr="008D19CD" w:rsidRDefault="008D19CD" w:rsidP="008D19CD">
      <w:pPr>
        <w:ind w:left="142"/>
        <w:rPr>
          <w:rFonts w:eastAsia="Times New Roman"/>
          <w:szCs w:val="17"/>
        </w:rPr>
      </w:pPr>
      <w:r w:rsidRPr="008D19CD">
        <w:rPr>
          <w:rFonts w:eastAsia="Times New Roman"/>
          <w:szCs w:val="17"/>
        </w:rPr>
        <w:t>implementation of Australia’s Disability Strategy 2021–2031.</w:t>
      </w:r>
    </w:p>
    <w:p w14:paraId="046A5723" w14:textId="77777777" w:rsidR="008D19CD" w:rsidRPr="008D19CD" w:rsidRDefault="008D19CD" w:rsidP="008D19CD">
      <w:pPr>
        <w:rPr>
          <w:rFonts w:eastAsia="Times New Roman"/>
          <w:szCs w:val="17"/>
        </w:rPr>
      </w:pPr>
      <w:r w:rsidRPr="008D19CD">
        <w:rPr>
          <w:rFonts w:eastAsia="Times New Roman"/>
          <w:szCs w:val="17"/>
        </w:rPr>
        <w:t>People with disability remain at the centre of the national reform agenda and South Australia will continue to advocate to ensure their voices are heard and included in Australian Government-led consultation processes relating to services and supports that impact them.</w:t>
      </w:r>
    </w:p>
    <w:p w14:paraId="7E9D9C9F" w14:textId="77777777" w:rsidR="008D19CD" w:rsidRPr="008D19CD" w:rsidRDefault="008D19CD" w:rsidP="008D19CD">
      <w:pPr>
        <w:rPr>
          <w:rFonts w:eastAsia="Times New Roman"/>
          <w:szCs w:val="17"/>
        </w:rPr>
      </w:pPr>
      <w:r w:rsidRPr="008D19CD">
        <w:rPr>
          <w:rFonts w:eastAsia="Times New Roman"/>
          <w:szCs w:val="17"/>
        </w:rPr>
        <w:t>State government agencies involved in national reform efforts may report progress through their own DAIP, as well as contribute to joint public reporting on the implementation of the Disability Royal Commission recommendations, the ADS and TAPs.</w:t>
      </w:r>
    </w:p>
    <w:p w14:paraId="7F8E87D4" w14:textId="77777777" w:rsidR="008D19CD" w:rsidRPr="008D19CD" w:rsidRDefault="008D19CD" w:rsidP="008D19CD">
      <w:pPr>
        <w:rPr>
          <w:rFonts w:eastAsia="Times New Roman"/>
          <w:b/>
          <w:bCs/>
          <w:szCs w:val="17"/>
        </w:rPr>
      </w:pPr>
      <w:r w:rsidRPr="008D19CD">
        <w:rPr>
          <w:rFonts w:eastAsia="Times New Roman"/>
          <w:b/>
          <w:bCs/>
          <w:szCs w:val="17"/>
        </w:rPr>
        <w:t xml:space="preserve">The </w:t>
      </w:r>
      <w:r w:rsidRPr="008D19CD">
        <w:rPr>
          <w:rFonts w:eastAsia="Times New Roman"/>
          <w:b/>
          <w:bCs/>
          <w:i/>
          <w:iCs/>
          <w:szCs w:val="17"/>
        </w:rPr>
        <w:t>Disability Inclusion Act 2018</w:t>
      </w:r>
      <w:r w:rsidRPr="008D19CD">
        <w:rPr>
          <w:rFonts w:eastAsia="Times New Roman"/>
          <w:b/>
          <w:bCs/>
          <w:szCs w:val="17"/>
        </w:rPr>
        <w:t xml:space="preserve"> (SA)</w:t>
      </w:r>
    </w:p>
    <w:p w14:paraId="19FDCAD3" w14:textId="77777777" w:rsidR="008D19CD" w:rsidRPr="008D19CD" w:rsidRDefault="008D19CD" w:rsidP="008D19CD">
      <w:pPr>
        <w:rPr>
          <w:rFonts w:eastAsia="Times New Roman"/>
          <w:szCs w:val="17"/>
        </w:rPr>
      </w:pPr>
      <w:r w:rsidRPr="008D19CD">
        <w:rPr>
          <w:rFonts w:eastAsia="Times New Roman"/>
          <w:szCs w:val="17"/>
        </w:rPr>
        <w:t xml:space="preserve">The </w:t>
      </w:r>
      <w:r w:rsidRPr="008D19CD">
        <w:rPr>
          <w:rFonts w:eastAsia="Times New Roman"/>
          <w:i/>
          <w:iCs/>
          <w:szCs w:val="17"/>
        </w:rPr>
        <w:t xml:space="preserve">Disability Inclusion Act 2018 </w:t>
      </w:r>
      <w:r w:rsidRPr="008D19CD">
        <w:rPr>
          <w:rFonts w:eastAsia="Times New Roman"/>
          <w:szCs w:val="17"/>
        </w:rPr>
        <w:t>(SA)</w:t>
      </w:r>
      <w:r w:rsidRPr="008D19CD">
        <w:rPr>
          <w:rFonts w:eastAsia="Times New Roman"/>
          <w:i/>
          <w:iCs/>
          <w:szCs w:val="17"/>
        </w:rPr>
        <w:t xml:space="preserve"> </w:t>
      </w:r>
      <w:r w:rsidRPr="008D19CD">
        <w:rPr>
          <w:rFonts w:eastAsia="Times New Roman"/>
          <w:szCs w:val="17"/>
        </w:rPr>
        <w:t>(the Act) commenced on 1 July 2018. It aims to protect and promote the human rights of people with disability of all ages, and to help them reach their full potential by improving social connection and inclusion.</w:t>
      </w:r>
    </w:p>
    <w:p w14:paraId="385ACF67" w14:textId="77777777" w:rsidR="008D19CD" w:rsidRPr="008D19CD" w:rsidRDefault="008D19CD" w:rsidP="008D19CD">
      <w:pPr>
        <w:rPr>
          <w:rFonts w:eastAsia="Times New Roman"/>
          <w:szCs w:val="17"/>
        </w:rPr>
      </w:pPr>
      <w:r w:rsidRPr="008D19CD">
        <w:rPr>
          <w:rFonts w:eastAsia="Times New Roman"/>
          <w:szCs w:val="17"/>
        </w:rPr>
        <w:t>Since coming into effect, the Act has helped to:</w:t>
      </w:r>
    </w:p>
    <w:p w14:paraId="0ED37897" w14:textId="77777777" w:rsidR="008D19CD" w:rsidRPr="008D19CD" w:rsidRDefault="008D19CD" w:rsidP="008D19CD">
      <w:pPr>
        <w:spacing w:after="20"/>
        <w:ind w:left="142"/>
        <w:rPr>
          <w:rFonts w:eastAsia="Times New Roman"/>
          <w:szCs w:val="17"/>
        </w:rPr>
      </w:pPr>
      <w:r w:rsidRPr="008D19CD">
        <w:rPr>
          <w:rFonts w:eastAsia="Times New Roman"/>
          <w:szCs w:val="17"/>
        </w:rPr>
        <w:t>embed the principles of the UNCRPD into South Australian policy align disability inclusion</w:t>
      </w:r>
    </w:p>
    <w:p w14:paraId="61C5E7FC" w14:textId="77777777" w:rsidR="008D19CD" w:rsidRPr="008D19CD" w:rsidRDefault="008D19CD" w:rsidP="008D19CD">
      <w:pPr>
        <w:spacing w:after="20"/>
        <w:ind w:left="142"/>
        <w:rPr>
          <w:rFonts w:eastAsia="Times New Roman"/>
          <w:szCs w:val="17"/>
        </w:rPr>
      </w:pPr>
      <w:r w:rsidRPr="008D19CD">
        <w:rPr>
          <w:rFonts w:eastAsia="Times New Roman"/>
          <w:szCs w:val="17"/>
        </w:rPr>
        <w:t>efforts with national and state frameworks, such as the ADS and the SA Autism Strategy</w:t>
      </w:r>
    </w:p>
    <w:p w14:paraId="0061920E" w14:textId="77777777" w:rsidR="008D19CD" w:rsidRPr="008D19CD" w:rsidRDefault="008D19CD" w:rsidP="008D19CD">
      <w:pPr>
        <w:spacing w:after="20"/>
        <w:ind w:left="142"/>
        <w:rPr>
          <w:rFonts w:eastAsia="Times New Roman"/>
          <w:szCs w:val="17"/>
        </w:rPr>
      </w:pPr>
      <w:r w:rsidRPr="008D19CD">
        <w:rPr>
          <w:rFonts w:eastAsia="Times New Roman"/>
          <w:szCs w:val="17"/>
        </w:rPr>
        <w:t>2024–2029 support a coordinated and consistent approach to disability inclusion across</w:t>
      </w:r>
    </w:p>
    <w:p w14:paraId="3A2CDEF4" w14:textId="77777777" w:rsidR="008D19CD" w:rsidRPr="008D19CD" w:rsidRDefault="008D19CD" w:rsidP="008D19CD">
      <w:pPr>
        <w:ind w:left="142"/>
        <w:rPr>
          <w:rFonts w:eastAsia="Times New Roman"/>
          <w:szCs w:val="17"/>
        </w:rPr>
      </w:pPr>
      <w:r w:rsidRPr="008D19CD">
        <w:rPr>
          <w:rFonts w:eastAsia="Times New Roman"/>
          <w:szCs w:val="17"/>
        </w:rPr>
        <w:t>government through the requirement for state authorities to prepare and implement a DAIP.</w:t>
      </w:r>
    </w:p>
    <w:p w14:paraId="66721580" w14:textId="77777777" w:rsidR="008D19CD" w:rsidRPr="008D19CD" w:rsidRDefault="008D19CD" w:rsidP="008D19CD">
      <w:pPr>
        <w:rPr>
          <w:rFonts w:eastAsia="Times New Roman"/>
          <w:szCs w:val="17"/>
        </w:rPr>
      </w:pPr>
      <w:r w:rsidRPr="008D19CD">
        <w:rPr>
          <w:rFonts w:eastAsia="Times New Roman"/>
          <w:szCs w:val="17"/>
        </w:rPr>
        <w:t>By having dedicated legislation focused on disability inclusion, South Australia sends a clear message about the importance of building a more inclusive community for people with disability.</w:t>
      </w:r>
    </w:p>
    <w:p w14:paraId="41AFB614" w14:textId="77777777" w:rsidR="008D19CD" w:rsidRPr="008D19CD" w:rsidRDefault="008D19CD" w:rsidP="008D19CD">
      <w:pPr>
        <w:rPr>
          <w:rFonts w:eastAsia="Times New Roman"/>
          <w:szCs w:val="17"/>
        </w:rPr>
      </w:pPr>
      <w:r w:rsidRPr="008D19CD">
        <w:rPr>
          <w:rFonts w:eastAsia="Times New Roman"/>
          <w:szCs w:val="17"/>
        </w:rPr>
        <w:t>Following a comprehensive independent review of the Act in 2022, significant amendments were passed by the South Australian Parliament in 2024 to strengthen the state’s commitment to access and inclusion. These changes introduced clearer legislative requirements, including:</w:t>
      </w:r>
    </w:p>
    <w:p w14:paraId="0CE8EA4C" w14:textId="77777777" w:rsidR="008D19CD" w:rsidRPr="008D19CD" w:rsidRDefault="008D19CD" w:rsidP="008D19CD">
      <w:pPr>
        <w:spacing w:after="20"/>
        <w:ind w:left="426" w:hanging="142"/>
        <w:rPr>
          <w:rFonts w:eastAsia="Times New Roman"/>
          <w:szCs w:val="17"/>
        </w:rPr>
      </w:pPr>
      <w:r w:rsidRPr="008D19CD">
        <w:rPr>
          <w:rFonts w:eastAsia="Times New Roman"/>
          <w:szCs w:val="17"/>
        </w:rPr>
        <w:t>•</w:t>
      </w:r>
      <w:r w:rsidRPr="008D19CD">
        <w:rPr>
          <w:rFonts w:eastAsia="Times New Roman"/>
          <w:szCs w:val="17"/>
        </w:rPr>
        <w:tab/>
        <w:t>improving language to affirm that all people with disability, regardless of age, have the right to be and feel safe</w:t>
      </w:r>
    </w:p>
    <w:p w14:paraId="5E710E98" w14:textId="77777777" w:rsidR="008D19CD" w:rsidRPr="008D19CD" w:rsidRDefault="008D19CD" w:rsidP="008D19CD">
      <w:pPr>
        <w:spacing w:after="20"/>
        <w:ind w:left="426" w:hanging="142"/>
        <w:rPr>
          <w:rFonts w:eastAsia="Times New Roman"/>
          <w:szCs w:val="17"/>
        </w:rPr>
      </w:pPr>
      <w:r w:rsidRPr="008D19CD">
        <w:rPr>
          <w:rFonts w:eastAsia="Times New Roman"/>
          <w:szCs w:val="17"/>
        </w:rPr>
        <w:t>•</w:t>
      </w:r>
      <w:r w:rsidRPr="008D19CD">
        <w:rPr>
          <w:rFonts w:eastAsia="Times New Roman"/>
          <w:szCs w:val="17"/>
        </w:rPr>
        <w:tab/>
        <w:t>expanding priority groups to include people with disability who live in regional communities, people with disability who identify as LGBTIQA+, and people with significant intellectual disability or who have high levels of vulnerability due to disability</w:t>
      </w:r>
    </w:p>
    <w:p w14:paraId="3249C4C5" w14:textId="77777777" w:rsidR="008D19CD" w:rsidRPr="008D19CD" w:rsidRDefault="008D19CD" w:rsidP="008D19CD">
      <w:pPr>
        <w:spacing w:after="20"/>
        <w:ind w:left="426" w:hanging="142"/>
        <w:rPr>
          <w:rFonts w:eastAsia="Times New Roman"/>
          <w:szCs w:val="17"/>
        </w:rPr>
      </w:pPr>
      <w:r w:rsidRPr="008D19CD">
        <w:rPr>
          <w:rFonts w:eastAsia="Times New Roman"/>
          <w:szCs w:val="17"/>
        </w:rPr>
        <w:t>•</w:t>
      </w:r>
      <w:r w:rsidRPr="008D19CD">
        <w:rPr>
          <w:rFonts w:eastAsia="Times New Roman"/>
          <w:szCs w:val="17"/>
        </w:rPr>
        <w:tab/>
        <w:t>establishing a dedicated lived experience committee to guide the development and review of the State Plan</w:t>
      </w:r>
    </w:p>
    <w:p w14:paraId="530E9474" w14:textId="77777777" w:rsidR="008D19CD" w:rsidRPr="008D19CD" w:rsidRDefault="008D19CD" w:rsidP="008D19CD">
      <w:pPr>
        <w:spacing w:after="20"/>
        <w:ind w:left="426" w:hanging="142"/>
        <w:rPr>
          <w:rFonts w:eastAsia="Times New Roman"/>
          <w:szCs w:val="17"/>
        </w:rPr>
      </w:pPr>
      <w:r w:rsidRPr="008D19CD">
        <w:rPr>
          <w:rFonts w:eastAsia="Times New Roman"/>
          <w:szCs w:val="17"/>
        </w:rPr>
        <w:lastRenderedPageBreak/>
        <w:t>•</w:t>
      </w:r>
      <w:r w:rsidRPr="008D19CD">
        <w:rPr>
          <w:rFonts w:eastAsia="Times New Roman"/>
          <w:szCs w:val="17"/>
        </w:rPr>
        <w:tab/>
        <w:t>strengthening requirements for co-design, consultation and engagement with people with disability, their families and representatives in developing policies and programs</w:t>
      </w:r>
    </w:p>
    <w:p w14:paraId="71620CA4" w14:textId="77777777" w:rsidR="008D19CD" w:rsidRPr="008D19CD" w:rsidRDefault="008D19CD" w:rsidP="008D19CD">
      <w:pPr>
        <w:spacing w:after="20"/>
        <w:ind w:left="426" w:hanging="142"/>
        <w:rPr>
          <w:rFonts w:eastAsia="Times New Roman"/>
          <w:szCs w:val="17"/>
        </w:rPr>
      </w:pPr>
      <w:r w:rsidRPr="008D19CD">
        <w:rPr>
          <w:rFonts w:eastAsia="Times New Roman"/>
          <w:szCs w:val="17"/>
        </w:rPr>
        <w:t>•</w:t>
      </w:r>
      <w:r w:rsidRPr="008D19CD">
        <w:rPr>
          <w:rFonts w:eastAsia="Times New Roman"/>
          <w:szCs w:val="17"/>
        </w:rPr>
        <w:tab/>
        <w:t>increasing the focus on measurable and meaningful outcomes in the State Plan</w:t>
      </w:r>
    </w:p>
    <w:p w14:paraId="598BDC00" w14:textId="77777777" w:rsidR="008D19CD" w:rsidRPr="008D19CD" w:rsidRDefault="008D19CD" w:rsidP="008D19CD">
      <w:pPr>
        <w:ind w:left="426" w:hanging="142"/>
        <w:rPr>
          <w:rFonts w:eastAsia="Times New Roman"/>
          <w:szCs w:val="17"/>
        </w:rPr>
      </w:pPr>
      <w:r w:rsidRPr="008D19CD">
        <w:rPr>
          <w:rFonts w:eastAsia="Times New Roman"/>
          <w:szCs w:val="17"/>
        </w:rPr>
        <w:t>•</w:t>
      </w:r>
      <w:r w:rsidRPr="008D19CD">
        <w:rPr>
          <w:rFonts w:eastAsia="Times New Roman"/>
          <w:szCs w:val="17"/>
        </w:rPr>
        <w:tab/>
        <w:t>clarifying expectations for DAIPs to align with the State Plan and address the needs of priority groups.</w:t>
      </w:r>
    </w:p>
    <w:p w14:paraId="6583BF8B" w14:textId="77777777" w:rsidR="008D19CD" w:rsidRPr="008D19CD" w:rsidRDefault="008D19CD" w:rsidP="008D19CD">
      <w:pPr>
        <w:rPr>
          <w:rFonts w:eastAsia="Times New Roman"/>
          <w:szCs w:val="17"/>
        </w:rPr>
      </w:pPr>
      <w:r w:rsidRPr="008D19CD">
        <w:rPr>
          <w:rFonts w:eastAsia="Times New Roman"/>
          <w:szCs w:val="17"/>
        </w:rPr>
        <w:t>This State Plan is the first to be developed under the updated legislation, marking a significant shift towards more inclusive, accountable and lived experience–driven policy in South Australia.</w:t>
      </w:r>
    </w:p>
    <w:p w14:paraId="0A5825A5" w14:textId="77777777" w:rsidR="008D19CD" w:rsidRPr="008D19CD" w:rsidRDefault="008D19CD" w:rsidP="008D19CD">
      <w:pPr>
        <w:rPr>
          <w:rFonts w:eastAsia="Times New Roman"/>
          <w:b/>
          <w:bCs/>
          <w:szCs w:val="17"/>
        </w:rPr>
      </w:pPr>
      <w:r w:rsidRPr="008D19CD">
        <w:rPr>
          <w:rFonts w:eastAsia="Times New Roman"/>
          <w:b/>
          <w:bCs/>
          <w:szCs w:val="17"/>
        </w:rPr>
        <w:t>The SA Autism Strategy 2024-2029</w:t>
      </w:r>
    </w:p>
    <w:p w14:paraId="72A8DEDD" w14:textId="77777777" w:rsidR="008D19CD" w:rsidRPr="008D19CD" w:rsidRDefault="008D19CD" w:rsidP="008D19CD">
      <w:pPr>
        <w:rPr>
          <w:rFonts w:eastAsia="Times New Roman"/>
          <w:szCs w:val="17"/>
        </w:rPr>
      </w:pPr>
      <w:r w:rsidRPr="008D19CD">
        <w:rPr>
          <w:rFonts w:eastAsia="Times New Roman"/>
          <w:szCs w:val="17"/>
        </w:rPr>
        <w:t>The Autistic and autism communities have long advocated for improved community knowledge, understanding, support and acceptance for Autistic people.</w:t>
      </w:r>
    </w:p>
    <w:p w14:paraId="537ABFC4" w14:textId="77777777" w:rsidR="008D19CD" w:rsidRPr="008D19CD" w:rsidRDefault="008D19CD" w:rsidP="008D19CD">
      <w:pPr>
        <w:rPr>
          <w:rFonts w:eastAsia="Times New Roman"/>
          <w:szCs w:val="17"/>
        </w:rPr>
      </w:pPr>
      <w:r w:rsidRPr="008D19CD">
        <w:rPr>
          <w:rFonts w:eastAsia="Times New Roman"/>
          <w:szCs w:val="17"/>
        </w:rPr>
        <w:t>NDIS data indicates that autism remains the largest disability group in South Australia, followed by intellectual disability. South Australia is also consistently above the national average for NDIS participants with autism as a primary diagnosis.</w:t>
      </w:r>
    </w:p>
    <w:p w14:paraId="271BA93B" w14:textId="77777777" w:rsidR="008D19CD" w:rsidRPr="008D19CD" w:rsidRDefault="008D19CD" w:rsidP="008D19CD">
      <w:pPr>
        <w:rPr>
          <w:rFonts w:eastAsia="Times New Roman"/>
          <w:szCs w:val="17"/>
        </w:rPr>
      </w:pPr>
      <w:r w:rsidRPr="008D19CD">
        <w:rPr>
          <w:rFonts w:eastAsia="Times New Roman"/>
          <w:szCs w:val="17"/>
        </w:rPr>
        <w:t>There is a significant gap between the life outcomes experienced by Autistic people and the rest of the population. In addition, the gap between Autistic people and people with other disability(ies) continues to increase. With the rates of autism diagnosis increasing each year, the gap will only continue to grow unless meaningful change is created, and a dedicated focus is prioritised.</w:t>
      </w:r>
    </w:p>
    <w:p w14:paraId="6B380CE7" w14:textId="77777777" w:rsidR="008D19CD" w:rsidRPr="008D19CD" w:rsidRDefault="008D19CD" w:rsidP="008D19CD">
      <w:pPr>
        <w:rPr>
          <w:rFonts w:eastAsia="Times New Roman"/>
          <w:szCs w:val="17"/>
        </w:rPr>
      </w:pPr>
      <w:r w:rsidRPr="008D19CD">
        <w:rPr>
          <w:rFonts w:eastAsia="Times New Roman"/>
          <w:szCs w:val="17"/>
        </w:rPr>
        <w:t xml:space="preserve">In response to the growing call for inclusion from the Autistic and autism communities, the South Australian Government committed to the development and implementation of the </w:t>
      </w:r>
      <w:hyperlink r:id="rId276" w:history="1">
        <w:r w:rsidRPr="008D19CD">
          <w:rPr>
            <w:rFonts w:eastAsia="Times New Roman"/>
            <w:color w:val="0000FF"/>
            <w:szCs w:val="17"/>
            <w:u w:val="single"/>
          </w:rPr>
          <w:t>SA Autism Strategy</w:t>
        </w:r>
      </w:hyperlink>
      <w:r w:rsidRPr="008D19CD">
        <w:rPr>
          <w:rFonts w:eastAsia="Times New Roman"/>
          <w:szCs w:val="17"/>
        </w:rPr>
        <w:t xml:space="preserve"> (the Strategy), which was officially launched in June 2024.</w:t>
      </w:r>
    </w:p>
    <w:p w14:paraId="6053FD44" w14:textId="77777777" w:rsidR="008D19CD" w:rsidRPr="008D19CD" w:rsidRDefault="008D19CD" w:rsidP="008D19CD">
      <w:pPr>
        <w:rPr>
          <w:rFonts w:eastAsia="Times New Roman"/>
          <w:szCs w:val="17"/>
        </w:rPr>
      </w:pPr>
      <w:r w:rsidRPr="008D19CD">
        <w:rPr>
          <w:rFonts w:eastAsia="Times New Roman"/>
          <w:szCs w:val="17"/>
        </w:rPr>
        <w:t>The Strategy is the first of its kind to be delivered and implemented in South Australia. It sets out a five-year roadmap for the government to help improve the lives of Autistic people of all ages and their families. The State Plan and the Strategy will work alongside and interact effectively with each other to align efforts, reduce unnecessary duplication and ensure the needs of diverse disability and neurodivergent communities are addressed.</w:t>
      </w:r>
    </w:p>
    <w:p w14:paraId="11280394" w14:textId="77777777" w:rsidR="008D19CD" w:rsidRPr="008D19CD" w:rsidRDefault="008D19CD" w:rsidP="008D19CD">
      <w:pPr>
        <w:rPr>
          <w:rFonts w:eastAsia="Times New Roman"/>
          <w:b/>
          <w:bCs/>
          <w:szCs w:val="17"/>
        </w:rPr>
      </w:pPr>
      <w:r w:rsidRPr="008D19CD">
        <w:rPr>
          <w:rFonts w:eastAsia="Times New Roman"/>
          <w:b/>
          <w:bCs/>
          <w:szCs w:val="17"/>
        </w:rPr>
        <w:t>Facts at a Glance</w:t>
      </w:r>
    </w:p>
    <w:p w14:paraId="471E117E" w14:textId="77777777" w:rsidR="008D19CD" w:rsidRPr="008D19CD" w:rsidRDefault="008D19CD" w:rsidP="008D19CD">
      <w:pPr>
        <w:rPr>
          <w:rFonts w:eastAsia="Times New Roman"/>
          <w:szCs w:val="17"/>
        </w:rPr>
      </w:pPr>
      <w:r w:rsidRPr="008D19CD">
        <w:rPr>
          <w:rFonts w:eastAsia="Times New Roman"/>
          <w:szCs w:val="17"/>
        </w:rPr>
        <w:t xml:space="preserve">In addition to community consultation, the following facts also highlight the importance of focusing our efforts on the domains that have been developed and outlined in the State Plan. These facts illustrate current challenges and opportunities, reinforcing the importance of targeted action to drive meaningful and lasting change where it is needed most. In 2022, 5.5 million Australians (21.4%) had a disability. </w:t>
      </w:r>
      <w:r w:rsidRPr="008D19CD">
        <w:rPr>
          <w:rFonts w:eastAsia="Times New Roman"/>
          <w:szCs w:val="17"/>
          <w:vertAlign w:val="superscript"/>
        </w:rPr>
        <w:footnoteReference w:id="1"/>
      </w:r>
      <w:r w:rsidRPr="008D19CD">
        <w:rPr>
          <w:rFonts w:eastAsia="Times New Roman"/>
          <w:szCs w:val="17"/>
          <w:vertAlign w:val="superscript"/>
        </w:rPr>
        <w:t xml:space="preserve"> </w:t>
      </w:r>
      <w:r w:rsidRPr="008D19CD">
        <w:rPr>
          <w:rFonts w:eastAsia="Times New Roman"/>
          <w:szCs w:val="17"/>
        </w:rPr>
        <w:t>Indigenous Australians are 1.9 times more likely to have a disability than non-Indigenous Australians.</w:t>
      </w:r>
      <w:r w:rsidRPr="008D19CD">
        <w:rPr>
          <w:rFonts w:eastAsia="Times New Roman"/>
          <w:szCs w:val="17"/>
          <w:vertAlign w:val="superscript"/>
        </w:rPr>
        <w:footnoteReference w:id="2"/>
      </w:r>
      <w:r w:rsidRPr="008D19CD">
        <w:rPr>
          <w:rFonts w:eastAsia="Times New Roman"/>
          <w:szCs w:val="17"/>
          <w:vertAlign w:val="superscript"/>
        </w:rPr>
        <w:t xml:space="preserve"> </w:t>
      </w:r>
      <w:r w:rsidRPr="008D19CD">
        <w:rPr>
          <w:rFonts w:eastAsia="Times New Roman"/>
          <w:szCs w:val="17"/>
        </w:rPr>
        <w:t>Each year, the Australian Human Rights Commission receives more complaints about disability discrimination than about any other form of discrimination. In 2022-23, 46% of all complaints received were about disability discrimination.</w:t>
      </w:r>
      <w:r w:rsidRPr="008D19CD">
        <w:rPr>
          <w:rFonts w:eastAsia="Times New Roman"/>
          <w:szCs w:val="17"/>
          <w:vertAlign w:val="superscript"/>
        </w:rPr>
        <w:footnoteReference w:id="3"/>
      </w:r>
      <w:r w:rsidRPr="008D19CD">
        <w:rPr>
          <w:rFonts w:eastAsia="Times New Roman"/>
          <w:szCs w:val="17"/>
        </w:rPr>
        <w:t xml:space="preserve"> In 2022, 12.1% of children and young people aged 0-24 years (946,300 people) had disability, up from 8.3% in 2018.</w:t>
      </w:r>
      <w:r w:rsidRPr="008D19CD">
        <w:rPr>
          <w:rFonts w:eastAsia="Times New Roman"/>
          <w:szCs w:val="17"/>
          <w:vertAlign w:val="superscript"/>
        </w:rPr>
        <w:footnoteReference w:id="4"/>
      </w:r>
      <w:r w:rsidRPr="008D19CD">
        <w:rPr>
          <w:rFonts w:eastAsia="Times New Roman"/>
          <w:szCs w:val="17"/>
        </w:rPr>
        <w:t xml:space="preserve"> In 2022, 37.5% of children aged 0-14 years with disability had a parent with disability.</w:t>
      </w:r>
      <w:r w:rsidRPr="008D19CD">
        <w:rPr>
          <w:rFonts w:eastAsia="Times New Roman"/>
          <w:szCs w:val="17"/>
          <w:vertAlign w:val="superscript"/>
        </w:rPr>
        <w:footnoteReference w:id="5"/>
      </w:r>
      <w:r w:rsidRPr="008D19CD">
        <w:rPr>
          <w:rFonts w:eastAsia="Times New Roman"/>
          <w:szCs w:val="17"/>
        </w:rPr>
        <w:t xml:space="preserve"> In 2022, 52.3% of people aged 65 years and over had a disability, compared with just 15% of people aged 0-64.</w:t>
      </w:r>
      <w:r w:rsidRPr="008D19CD">
        <w:rPr>
          <w:rFonts w:eastAsia="Times New Roman"/>
          <w:szCs w:val="17"/>
          <w:vertAlign w:val="superscript"/>
        </w:rPr>
        <w:footnoteReference w:id="6"/>
      </w:r>
      <w:r w:rsidRPr="008D19CD">
        <w:rPr>
          <w:rFonts w:eastAsia="Times New Roman"/>
          <w:szCs w:val="17"/>
        </w:rPr>
        <w:t xml:space="preserve"> In 2022, the proportion of South Australian people aged 20-64 with disability who had completed year 12 or equivalent was 46%, compared with 58% of people with disability nationally.</w:t>
      </w:r>
      <w:r w:rsidRPr="008D19CD">
        <w:rPr>
          <w:rFonts w:eastAsia="Times New Roman"/>
          <w:szCs w:val="17"/>
          <w:vertAlign w:val="superscript"/>
        </w:rPr>
        <w:footnoteReference w:id="7"/>
      </w:r>
      <w:r w:rsidRPr="008D19CD">
        <w:rPr>
          <w:rFonts w:eastAsia="Times New Roman"/>
          <w:szCs w:val="17"/>
        </w:rPr>
        <w:t xml:space="preserve"> In 2022, 6.3% of South Australian people with disability were unemployed in comparison to 3.8% of people without disability.</w:t>
      </w:r>
      <w:r w:rsidRPr="008D19CD">
        <w:rPr>
          <w:rFonts w:eastAsia="Times New Roman"/>
          <w:szCs w:val="17"/>
          <w:vertAlign w:val="superscript"/>
        </w:rPr>
        <w:footnoteReference w:id="8"/>
      </w:r>
      <w:r w:rsidRPr="008D19CD">
        <w:rPr>
          <w:rFonts w:eastAsia="Times New Roman"/>
          <w:szCs w:val="17"/>
        </w:rPr>
        <w:t xml:space="preserve"> The Disability Royal Commission reported that 43% of women with disability have experienced physical violence after age 15, compared with 25% of women without disability. Women with disability are also twice as likely to experience sexual violence as women without disabilities.</w:t>
      </w:r>
      <w:r w:rsidRPr="008D19CD">
        <w:rPr>
          <w:rFonts w:eastAsia="Times New Roman"/>
          <w:szCs w:val="17"/>
          <w:vertAlign w:val="superscript"/>
        </w:rPr>
        <w:footnoteReference w:id="9"/>
      </w:r>
      <w:r w:rsidRPr="008D19CD">
        <w:rPr>
          <w:rFonts w:eastAsia="Times New Roman"/>
          <w:szCs w:val="17"/>
        </w:rPr>
        <w:t xml:space="preserve"> People with disability have higher health risk factors than those without disability. In 2022, 64% of adults with disability in South Australia said their health was excellent or very good, compared with 94% of adults without disability in South Australia.</w:t>
      </w:r>
      <w:r w:rsidRPr="008D19CD">
        <w:rPr>
          <w:rFonts w:eastAsia="Times New Roman"/>
          <w:szCs w:val="17"/>
          <w:vertAlign w:val="superscript"/>
        </w:rPr>
        <w:footnoteReference w:id="10"/>
      </w:r>
      <w:r w:rsidRPr="008D19CD">
        <w:rPr>
          <w:rFonts w:eastAsia="Times New Roman"/>
          <w:szCs w:val="17"/>
        </w:rPr>
        <w:t xml:space="preserve"> In 2025, there are an estimated 35,000 South Australians living with dementia, including 2,100 people under the age of 65 living with younger onset dementia.</w:t>
      </w:r>
      <w:r w:rsidRPr="008D19CD">
        <w:rPr>
          <w:rFonts w:eastAsia="Times New Roman"/>
          <w:szCs w:val="17"/>
          <w:vertAlign w:val="superscript"/>
        </w:rPr>
        <w:footnoteReference w:id="11"/>
      </w:r>
      <w:r w:rsidRPr="008D19CD">
        <w:rPr>
          <w:rFonts w:eastAsia="Times New Roman"/>
          <w:szCs w:val="17"/>
        </w:rPr>
        <w:t xml:space="preserve"> Almost two in five carers (38.6%) have a disability themselves.</w:t>
      </w:r>
      <w:r w:rsidRPr="008D19CD">
        <w:rPr>
          <w:rFonts w:eastAsia="Times New Roman"/>
          <w:szCs w:val="17"/>
          <w:vertAlign w:val="superscript"/>
        </w:rPr>
        <w:footnoteReference w:id="12"/>
      </w:r>
    </w:p>
    <w:p w14:paraId="2A018973" w14:textId="77777777" w:rsidR="008D19CD" w:rsidRDefault="008D19CD">
      <w:pPr>
        <w:spacing w:after="0" w:line="240" w:lineRule="auto"/>
        <w:jc w:val="left"/>
        <w:rPr>
          <w:rFonts w:eastAsia="Times New Roman"/>
          <w:b/>
          <w:bCs/>
          <w:szCs w:val="17"/>
        </w:rPr>
      </w:pPr>
      <w:r>
        <w:rPr>
          <w:rFonts w:eastAsia="Times New Roman"/>
          <w:b/>
          <w:bCs/>
          <w:szCs w:val="17"/>
        </w:rPr>
        <w:br w:type="page"/>
      </w:r>
    </w:p>
    <w:p w14:paraId="6791E89C" w14:textId="0D379FFE" w:rsidR="008D19CD" w:rsidRPr="008D19CD" w:rsidRDefault="008D19CD" w:rsidP="008D19CD">
      <w:pPr>
        <w:rPr>
          <w:rFonts w:eastAsia="Times New Roman"/>
          <w:b/>
          <w:bCs/>
          <w:szCs w:val="17"/>
        </w:rPr>
      </w:pPr>
      <w:r w:rsidRPr="008D19CD">
        <w:rPr>
          <w:rFonts w:eastAsia="Times New Roman"/>
          <w:b/>
          <w:bCs/>
          <w:szCs w:val="17"/>
        </w:rPr>
        <w:lastRenderedPageBreak/>
        <w:t>A Spotlight on Our Priority Groups</w:t>
      </w:r>
    </w:p>
    <w:p w14:paraId="6395A0B5" w14:textId="77777777" w:rsidR="008D19CD" w:rsidRPr="008D19CD" w:rsidRDefault="008D19CD" w:rsidP="008D19CD">
      <w:pPr>
        <w:rPr>
          <w:rFonts w:eastAsia="Times New Roman"/>
          <w:szCs w:val="17"/>
        </w:rPr>
      </w:pPr>
      <w:r w:rsidRPr="008D19CD">
        <w:rPr>
          <w:rFonts w:eastAsia="Times New Roman"/>
          <w:szCs w:val="17"/>
        </w:rPr>
        <w:t>Since the commencement of the first State Plan in 2019, the intersection between a person’s disability and other forms of structural and systemic discrimination has become increasingly clear.</w:t>
      </w:r>
    </w:p>
    <w:p w14:paraId="7E431924" w14:textId="77777777" w:rsidR="008D19CD" w:rsidRPr="008D19CD" w:rsidRDefault="008D19CD" w:rsidP="008D19CD">
      <w:pPr>
        <w:rPr>
          <w:rFonts w:eastAsia="Times New Roman"/>
          <w:szCs w:val="17"/>
        </w:rPr>
      </w:pPr>
      <w:r w:rsidRPr="008D19CD">
        <w:rPr>
          <w:rFonts w:eastAsia="Times New Roman"/>
          <w:szCs w:val="17"/>
        </w:rPr>
        <w:t>Intersectionality is about recognising that people with disability are diverse, have different needs, and may belong to different population groups. This can result in overlapping disadvantage. Understanding intersectionality is essential to addressing the unique barriers faced by people with intersecting identities.</w:t>
      </w:r>
    </w:p>
    <w:p w14:paraId="6F286EAA" w14:textId="77777777" w:rsidR="008D19CD" w:rsidRPr="008D19CD" w:rsidRDefault="008D19CD" w:rsidP="008D19CD">
      <w:pPr>
        <w:rPr>
          <w:rFonts w:eastAsia="Times New Roman"/>
          <w:szCs w:val="17"/>
        </w:rPr>
      </w:pPr>
      <w:r w:rsidRPr="008D19CD">
        <w:rPr>
          <w:rFonts w:eastAsia="Times New Roman"/>
          <w:szCs w:val="17"/>
        </w:rPr>
        <w:t>The Act highlights seven priority groups to address the needs of people who may face additional or compounded barriers to inclusion. These groups include Aboriginal peoples with disability, people from culturally and linguistically diverse backgrounds with disability, women with disability, children with disability, people with disability who identify as LGBTIQA+, people with significant intellectual disability or who have high levels of vulnerability due to disability and people with disability who live in regional communities. To support genuine access and inclusion, the Act requires that state authorities must tailor policies, programs and services to meet the diverse and intersecting needs of these groups.</w:t>
      </w:r>
    </w:p>
    <w:p w14:paraId="7D2A61DF" w14:textId="77777777" w:rsidR="008D19CD" w:rsidRPr="008D19CD" w:rsidRDefault="008D19CD" w:rsidP="008D19CD">
      <w:pPr>
        <w:rPr>
          <w:rFonts w:eastAsia="Times New Roman"/>
          <w:szCs w:val="17"/>
        </w:rPr>
      </w:pPr>
      <w:r w:rsidRPr="008D19CD">
        <w:rPr>
          <w:rFonts w:eastAsia="Times New Roman"/>
          <w:szCs w:val="17"/>
        </w:rPr>
        <w:t>In addition to the priority groups identified in the Act, we acknowledge the importance of including older people with disability and carers as priority groups. Both groups often face compounding barriers that affect their ability to participate fully in society.</w:t>
      </w:r>
    </w:p>
    <w:p w14:paraId="5DF99A6D" w14:textId="77777777" w:rsidR="008D19CD" w:rsidRPr="008D19CD" w:rsidRDefault="008D19CD" w:rsidP="008D19CD">
      <w:pPr>
        <w:rPr>
          <w:rFonts w:eastAsia="Times New Roman"/>
          <w:szCs w:val="17"/>
        </w:rPr>
      </w:pPr>
      <w:r w:rsidRPr="008D19CD">
        <w:rPr>
          <w:rFonts w:eastAsia="Times New Roman"/>
          <w:szCs w:val="17"/>
        </w:rPr>
        <w:t>Older people with disability may experience challenges such as ageism, digital exclusion, and barriers to access appropriate services. Carers face unique pressures including physical, emotional and financial strain, as well as difficulty in finding adequate support.</w:t>
      </w:r>
    </w:p>
    <w:p w14:paraId="4BA62F86" w14:textId="77777777" w:rsidR="008D19CD" w:rsidRPr="008D19CD" w:rsidRDefault="008D19CD" w:rsidP="008D19CD">
      <w:pPr>
        <w:rPr>
          <w:rFonts w:eastAsia="Times New Roman"/>
          <w:szCs w:val="17"/>
        </w:rPr>
      </w:pPr>
      <w:r w:rsidRPr="008D19CD">
        <w:rPr>
          <w:rFonts w:eastAsia="Times New Roman"/>
          <w:szCs w:val="17"/>
        </w:rPr>
        <w:t xml:space="preserve">Applying an ageing and carer-inclusive lens across all population groups ensures that their experiences are recognised and their needs </w:t>
      </w:r>
      <w:r w:rsidRPr="008D19CD">
        <w:rPr>
          <w:rFonts w:eastAsia="Times New Roman"/>
          <w:spacing w:val="-4"/>
          <w:szCs w:val="17"/>
        </w:rPr>
        <w:t>addressed. It also reflects the understanding that disability is not fixed or static and can be acquired at any stage of life, particularly in later years.</w:t>
      </w:r>
    </w:p>
    <w:p w14:paraId="4179FF0C" w14:textId="77777777" w:rsidR="008D19CD" w:rsidRPr="008D19CD" w:rsidRDefault="008D19CD" w:rsidP="008D19CD">
      <w:pPr>
        <w:rPr>
          <w:rFonts w:eastAsia="Times New Roman"/>
          <w:szCs w:val="17"/>
        </w:rPr>
      </w:pPr>
      <w:r w:rsidRPr="008D19CD">
        <w:rPr>
          <w:rFonts w:eastAsia="Times New Roman"/>
          <w:szCs w:val="17"/>
        </w:rPr>
        <w:t>The State Plan will ensure that priority groups, including older people with disability and carers, are actively considered and meaningfully embedded across all measures and within each state authority’s DAIP.</w:t>
      </w:r>
    </w:p>
    <w:p w14:paraId="003A4143" w14:textId="77777777" w:rsidR="008D19CD" w:rsidRPr="008D19CD" w:rsidRDefault="008D19CD" w:rsidP="008D19CD">
      <w:pPr>
        <w:rPr>
          <w:rFonts w:eastAsia="Times New Roman"/>
          <w:i/>
          <w:iCs/>
          <w:szCs w:val="17"/>
        </w:rPr>
      </w:pPr>
      <w:r w:rsidRPr="008D19CD">
        <w:rPr>
          <w:rFonts w:eastAsia="Times New Roman"/>
          <w:i/>
          <w:iCs/>
          <w:szCs w:val="17"/>
        </w:rPr>
        <w:t>Aboriginal peoples with disability</w:t>
      </w:r>
    </w:p>
    <w:p w14:paraId="55E648E8" w14:textId="77777777" w:rsidR="008D19CD" w:rsidRPr="008D19CD" w:rsidRDefault="008D19CD" w:rsidP="008D19CD">
      <w:pPr>
        <w:rPr>
          <w:rFonts w:eastAsia="Times New Roman"/>
          <w:szCs w:val="17"/>
        </w:rPr>
      </w:pPr>
      <w:r w:rsidRPr="008D19CD">
        <w:rPr>
          <w:rFonts w:eastAsia="Times New Roman"/>
          <w:szCs w:val="17"/>
        </w:rPr>
        <w:t>Aboriginal peoples with disability may have a distinct understanding of disability shaped by their culture, history and kinship. As the First Peoples of Australia, they have the right to respect and to celebrate their history, culture and community identity.</w:t>
      </w:r>
    </w:p>
    <w:p w14:paraId="7E87D481" w14:textId="77777777" w:rsidR="008D19CD" w:rsidRPr="008D19CD" w:rsidRDefault="008D19CD" w:rsidP="008D19CD">
      <w:pPr>
        <w:rPr>
          <w:rFonts w:eastAsia="Times New Roman"/>
          <w:szCs w:val="17"/>
        </w:rPr>
      </w:pPr>
      <w:r w:rsidRPr="008D19CD">
        <w:rPr>
          <w:rFonts w:eastAsia="Times New Roman"/>
          <w:szCs w:val="17"/>
        </w:rPr>
        <w:t>Aboriginal peoples experience disability at significantly higher rates. This is often linked to social factors such as poverty, trauma, discrimination and limited access to culturally appropriate services. Addressing these factors is essential to achieving inclusive and equitable outcomes throughout the State Plan.</w:t>
      </w:r>
    </w:p>
    <w:p w14:paraId="3BF05A7D" w14:textId="77777777" w:rsidR="008D19CD" w:rsidRPr="008D19CD" w:rsidRDefault="008D19CD" w:rsidP="008D19CD">
      <w:pPr>
        <w:rPr>
          <w:rFonts w:eastAsia="Times New Roman"/>
          <w:i/>
          <w:iCs/>
          <w:szCs w:val="17"/>
        </w:rPr>
      </w:pPr>
      <w:r w:rsidRPr="008D19CD">
        <w:rPr>
          <w:rFonts w:eastAsia="Times New Roman"/>
          <w:i/>
          <w:iCs/>
          <w:szCs w:val="17"/>
        </w:rPr>
        <w:t>People with disability from culturally and linguistically diverse (CALD) backgrounds</w:t>
      </w:r>
    </w:p>
    <w:p w14:paraId="0ECC508B" w14:textId="77777777" w:rsidR="008D19CD" w:rsidRPr="008D19CD" w:rsidRDefault="008D19CD" w:rsidP="008D19CD">
      <w:pPr>
        <w:rPr>
          <w:rFonts w:eastAsia="Times New Roman"/>
          <w:szCs w:val="17"/>
        </w:rPr>
      </w:pPr>
      <w:r w:rsidRPr="008D19CD">
        <w:rPr>
          <w:rFonts w:eastAsia="Times New Roman"/>
          <w:szCs w:val="17"/>
        </w:rPr>
        <w:t>People with disability from CALD backgrounds may face unique challenges, including language barriers, differing cultural perceptions of disability, and difficulties navigating service systems. These factors can limit access to appropriate supports and lead to further marginalisation.</w:t>
      </w:r>
    </w:p>
    <w:p w14:paraId="4F3AA3E3" w14:textId="77777777" w:rsidR="008D19CD" w:rsidRPr="008D19CD" w:rsidRDefault="008D19CD" w:rsidP="008D19CD">
      <w:pPr>
        <w:rPr>
          <w:rFonts w:eastAsia="Times New Roman"/>
          <w:szCs w:val="17"/>
        </w:rPr>
      </w:pPr>
      <w:r w:rsidRPr="008D19CD">
        <w:rPr>
          <w:rFonts w:eastAsia="Times New Roman"/>
          <w:szCs w:val="17"/>
        </w:rPr>
        <w:t>The deaf community has a distinct language and culture. Auslan, the natural language of many deaf people in Australia, is often not recognised or understood by the broader community. This lack of recognition contributes to barriers in accessing services and achieving equitable inclusion.</w:t>
      </w:r>
    </w:p>
    <w:p w14:paraId="17AE0892" w14:textId="77777777" w:rsidR="008D19CD" w:rsidRPr="008D19CD" w:rsidRDefault="008D19CD" w:rsidP="008D19CD">
      <w:pPr>
        <w:rPr>
          <w:rFonts w:eastAsia="Times New Roman"/>
          <w:i/>
          <w:iCs/>
          <w:szCs w:val="17"/>
        </w:rPr>
      </w:pPr>
      <w:r w:rsidRPr="008D19CD">
        <w:rPr>
          <w:rFonts w:eastAsia="Times New Roman"/>
          <w:i/>
          <w:iCs/>
          <w:szCs w:val="17"/>
        </w:rPr>
        <w:t>Women with disability</w:t>
      </w:r>
    </w:p>
    <w:p w14:paraId="0A8B78FF" w14:textId="77777777" w:rsidR="008D19CD" w:rsidRPr="008D19CD" w:rsidRDefault="008D19CD" w:rsidP="008D19CD">
      <w:pPr>
        <w:rPr>
          <w:rFonts w:eastAsia="Times New Roman"/>
          <w:szCs w:val="17"/>
        </w:rPr>
      </w:pPr>
      <w:r w:rsidRPr="008D19CD">
        <w:rPr>
          <w:rFonts w:eastAsia="Times New Roman"/>
          <w:szCs w:val="17"/>
        </w:rPr>
        <w:t>Women and girls with disability may experience disability differently and are more likely to be underdiagnosed or misdiagnosed. They also face higher rates of abuse, exploitation and economic disadvantage.</w:t>
      </w:r>
    </w:p>
    <w:p w14:paraId="23AD8BB5" w14:textId="77777777" w:rsidR="008D19CD" w:rsidRPr="008D19CD" w:rsidRDefault="008D19CD" w:rsidP="008D19CD">
      <w:pPr>
        <w:rPr>
          <w:rFonts w:eastAsia="Times New Roman"/>
          <w:szCs w:val="17"/>
        </w:rPr>
      </w:pPr>
      <w:r w:rsidRPr="008D19CD">
        <w:rPr>
          <w:rFonts w:eastAsia="Times New Roman"/>
          <w:szCs w:val="17"/>
        </w:rPr>
        <w:t>Policies and programs must respond to these gender-specific challenges to support the empowerment and protection of women and girls with disability.</w:t>
      </w:r>
    </w:p>
    <w:p w14:paraId="53D553A7" w14:textId="77777777" w:rsidR="008D19CD" w:rsidRPr="008D19CD" w:rsidRDefault="008D19CD" w:rsidP="008D19CD">
      <w:pPr>
        <w:rPr>
          <w:rFonts w:eastAsia="Times New Roman"/>
          <w:i/>
          <w:iCs/>
          <w:szCs w:val="17"/>
        </w:rPr>
      </w:pPr>
      <w:r w:rsidRPr="008D19CD">
        <w:rPr>
          <w:rFonts w:eastAsia="Times New Roman"/>
          <w:i/>
          <w:iCs/>
          <w:szCs w:val="17"/>
        </w:rPr>
        <w:t>Children with disability</w:t>
      </w:r>
    </w:p>
    <w:p w14:paraId="39F710A6" w14:textId="77777777" w:rsidR="008D19CD" w:rsidRPr="008D19CD" w:rsidRDefault="008D19CD" w:rsidP="008D19CD">
      <w:pPr>
        <w:rPr>
          <w:rFonts w:eastAsia="Times New Roman"/>
          <w:szCs w:val="17"/>
        </w:rPr>
      </w:pPr>
      <w:r w:rsidRPr="008D19CD">
        <w:rPr>
          <w:rFonts w:eastAsia="Times New Roman"/>
          <w:szCs w:val="17"/>
        </w:rPr>
        <w:t>Children and young people with disability have the right to a full life in conditions that uphold their dignity, promote self-reliance and enable active participation in family, cultural and social life.</w:t>
      </w:r>
    </w:p>
    <w:p w14:paraId="5646881F" w14:textId="77777777" w:rsidR="008D19CD" w:rsidRPr="008D19CD" w:rsidRDefault="008D19CD" w:rsidP="008D19CD">
      <w:pPr>
        <w:rPr>
          <w:rFonts w:eastAsia="Times New Roman"/>
          <w:szCs w:val="17"/>
        </w:rPr>
      </w:pPr>
      <w:r w:rsidRPr="008D19CD">
        <w:rPr>
          <w:rFonts w:eastAsia="Times New Roman"/>
          <w:szCs w:val="17"/>
        </w:rPr>
        <w:t>Efforts must focus on supporting their growth, development and inclusion.</w:t>
      </w:r>
    </w:p>
    <w:p w14:paraId="6AE0E29A" w14:textId="77777777" w:rsidR="008D19CD" w:rsidRPr="008D19CD" w:rsidRDefault="008D19CD" w:rsidP="008D19CD">
      <w:pPr>
        <w:rPr>
          <w:rFonts w:eastAsia="Times New Roman"/>
          <w:szCs w:val="17"/>
        </w:rPr>
      </w:pPr>
      <w:r w:rsidRPr="008D19CD">
        <w:rPr>
          <w:rFonts w:eastAsia="Times New Roman"/>
          <w:szCs w:val="17"/>
        </w:rPr>
        <w:t>Additional consideration is needed for vulnerable children with disability and their carers, including those in out-of-home care or youth detention who face compounded disadvantage, to ensure they receive the necessary protections and support.</w:t>
      </w:r>
    </w:p>
    <w:p w14:paraId="506229E0" w14:textId="77777777" w:rsidR="008D19CD" w:rsidRPr="008D19CD" w:rsidRDefault="008D19CD" w:rsidP="008D19CD">
      <w:pPr>
        <w:rPr>
          <w:rFonts w:eastAsia="Times New Roman"/>
          <w:i/>
          <w:iCs/>
          <w:szCs w:val="17"/>
        </w:rPr>
      </w:pPr>
      <w:r w:rsidRPr="008D19CD">
        <w:rPr>
          <w:rFonts w:eastAsia="Times New Roman"/>
          <w:i/>
          <w:iCs/>
          <w:szCs w:val="17"/>
        </w:rPr>
        <w:t>People with disability who identify as LGBTIQA+</w:t>
      </w:r>
    </w:p>
    <w:p w14:paraId="60ED60FF" w14:textId="77777777" w:rsidR="008D19CD" w:rsidRPr="008D19CD" w:rsidRDefault="008D19CD" w:rsidP="008D19CD">
      <w:pPr>
        <w:rPr>
          <w:rFonts w:eastAsia="Times New Roman"/>
          <w:szCs w:val="17"/>
        </w:rPr>
      </w:pPr>
      <w:r w:rsidRPr="008D19CD">
        <w:rPr>
          <w:rFonts w:eastAsia="Times New Roman"/>
          <w:szCs w:val="17"/>
        </w:rPr>
        <w:t>People with disability who identify as LGBTIQA+ can experience exclusion from supports and services and their specific needs are often overlooked in policy and program development, leading to further marginalisation.</w:t>
      </w:r>
    </w:p>
    <w:p w14:paraId="0DAF02B0" w14:textId="77777777" w:rsidR="008D19CD" w:rsidRPr="008D19CD" w:rsidRDefault="008D19CD" w:rsidP="008D19CD">
      <w:pPr>
        <w:rPr>
          <w:rFonts w:eastAsia="Times New Roman"/>
          <w:szCs w:val="17"/>
        </w:rPr>
      </w:pPr>
      <w:r w:rsidRPr="008D19CD">
        <w:rPr>
          <w:rFonts w:eastAsia="Times New Roman"/>
          <w:szCs w:val="17"/>
        </w:rPr>
        <w:t>Inclusive approaches must recognise and address the unique barriers faced by LGBTIQA+ people with disability to promote their full participation and wellbeing.</w:t>
      </w:r>
    </w:p>
    <w:p w14:paraId="0E06CA92" w14:textId="77777777" w:rsidR="008D19CD" w:rsidRPr="008D19CD" w:rsidRDefault="008D19CD" w:rsidP="008D19CD">
      <w:pPr>
        <w:rPr>
          <w:rFonts w:eastAsia="Times New Roman"/>
          <w:szCs w:val="17"/>
        </w:rPr>
      </w:pPr>
      <w:r w:rsidRPr="008D19CD">
        <w:rPr>
          <w:rFonts w:eastAsia="Times New Roman"/>
          <w:szCs w:val="17"/>
        </w:rPr>
        <w:t>People with significant intellectual disability or who have high levels of vulnerability due to disability</w:t>
      </w:r>
    </w:p>
    <w:p w14:paraId="3595F218" w14:textId="77777777" w:rsidR="008D19CD" w:rsidRPr="008D19CD" w:rsidRDefault="008D19CD" w:rsidP="008D19CD">
      <w:pPr>
        <w:rPr>
          <w:rFonts w:eastAsia="Times New Roman"/>
          <w:szCs w:val="17"/>
        </w:rPr>
      </w:pPr>
      <w:r w:rsidRPr="008D19CD">
        <w:rPr>
          <w:rFonts w:eastAsia="Times New Roman"/>
          <w:szCs w:val="17"/>
        </w:rPr>
        <w:t>People with significant intellectual disability or who experience high levels of vulnerability due to their disability have the right to feel safe, be treated with dignity and be supported to participate meaningfully in their communities.</w:t>
      </w:r>
    </w:p>
    <w:p w14:paraId="54755F41" w14:textId="77777777" w:rsidR="008D19CD" w:rsidRPr="008D19CD" w:rsidRDefault="008D19CD" w:rsidP="008D19CD">
      <w:pPr>
        <w:rPr>
          <w:rFonts w:eastAsia="Times New Roman"/>
          <w:szCs w:val="17"/>
        </w:rPr>
      </w:pPr>
      <w:r w:rsidRPr="008D19CD">
        <w:rPr>
          <w:rFonts w:eastAsia="Times New Roman"/>
          <w:szCs w:val="17"/>
        </w:rPr>
        <w:t>Inclusive policies and services must empower each person to live a fulfilling life, based on their strengths, choices, and needs.</w:t>
      </w:r>
    </w:p>
    <w:p w14:paraId="35D426F7" w14:textId="77777777" w:rsidR="008D19CD" w:rsidRPr="008D19CD" w:rsidRDefault="008D19CD" w:rsidP="008D19CD">
      <w:pPr>
        <w:rPr>
          <w:rFonts w:eastAsia="Times New Roman"/>
          <w:i/>
          <w:iCs/>
          <w:szCs w:val="17"/>
        </w:rPr>
      </w:pPr>
      <w:r w:rsidRPr="008D19CD">
        <w:rPr>
          <w:rFonts w:eastAsia="Times New Roman"/>
          <w:i/>
          <w:iCs/>
          <w:szCs w:val="17"/>
        </w:rPr>
        <w:t>People with disability who live in regional communities</w:t>
      </w:r>
    </w:p>
    <w:p w14:paraId="26E7B038" w14:textId="77777777" w:rsidR="008D19CD" w:rsidRPr="008D19CD" w:rsidRDefault="008D19CD" w:rsidP="008D19CD">
      <w:pPr>
        <w:rPr>
          <w:rFonts w:eastAsia="Times New Roman"/>
          <w:szCs w:val="17"/>
        </w:rPr>
      </w:pPr>
      <w:r w:rsidRPr="008D19CD">
        <w:rPr>
          <w:rFonts w:eastAsia="Times New Roman"/>
          <w:szCs w:val="17"/>
        </w:rPr>
        <w:t>People with disability living in regional and remote areas often face reduced access to supports and services, along with greater barriers to participation due to distance, limited transport options, and resource shortages.</w:t>
      </w:r>
    </w:p>
    <w:p w14:paraId="216009B2" w14:textId="77777777" w:rsidR="008D19CD" w:rsidRPr="008D19CD" w:rsidRDefault="008D19CD" w:rsidP="008D19CD">
      <w:pPr>
        <w:rPr>
          <w:rFonts w:eastAsia="Times New Roman"/>
          <w:szCs w:val="17"/>
        </w:rPr>
      </w:pPr>
      <w:r w:rsidRPr="008D19CD">
        <w:rPr>
          <w:rFonts w:eastAsia="Times New Roman"/>
          <w:szCs w:val="17"/>
        </w:rPr>
        <w:t>Improving equity of access in regional and remote areas is critical to ensuring all people with disability can fully participate in their communities, regardless of location.</w:t>
      </w:r>
    </w:p>
    <w:p w14:paraId="7C60B1B9" w14:textId="77777777" w:rsidR="008D19CD" w:rsidRPr="008D19CD" w:rsidRDefault="008D19CD" w:rsidP="008D19CD">
      <w:pPr>
        <w:rPr>
          <w:rFonts w:eastAsia="Times New Roman"/>
          <w:b/>
          <w:bCs/>
          <w:szCs w:val="17"/>
        </w:rPr>
      </w:pPr>
      <w:r w:rsidRPr="008D19CD">
        <w:rPr>
          <w:rFonts w:eastAsia="Times New Roman"/>
          <w:b/>
          <w:bCs/>
          <w:szCs w:val="17"/>
        </w:rPr>
        <w:t>Our Approach: Inclusion Domains</w:t>
      </w:r>
    </w:p>
    <w:p w14:paraId="248F1206" w14:textId="77777777" w:rsidR="008D19CD" w:rsidRPr="008D19CD" w:rsidRDefault="008D19CD" w:rsidP="008D19CD">
      <w:pPr>
        <w:rPr>
          <w:rFonts w:eastAsia="Times New Roman"/>
          <w:szCs w:val="17"/>
        </w:rPr>
      </w:pPr>
      <w:r w:rsidRPr="008D19CD">
        <w:rPr>
          <w:rFonts w:eastAsia="Times New Roman"/>
          <w:szCs w:val="17"/>
        </w:rPr>
        <w:t xml:space="preserve">The benefits of a more accessible and inclusive South Australia extend beyond the disability community to all South Australians. It is in </w:t>
      </w:r>
      <w:r w:rsidRPr="008D19CD">
        <w:rPr>
          <w:rFonts w:eastAsia="Times New Roman"/>
          <w:spacing w:val="-4"/>
          <w:szCs w:val="17"/>
        </w:rPr>
        <w:t>everyone’s best interests for the State Plan to be ambitious and groundbreaking, so that South Australia can lead the way in access and inclusion.</w:t>
      </w:r>
    </w:p>
    <w:p w14:paraId="1FB347EC" w14:textId="77777777" w:rsidR="008D19CD" w:rsidRPr="008D19CD" w:rsidRDefault="008D19CD" w:rsidP="008D19CD">
      <w:pPr>
        <w:rPr>
          <w:rFonts w:eastAsia="Times New Roman"/>
          <w:szCs w:val="17"/>
        </w:rPr>
      </w:pPr>
      <w:r w:rsidRPr="008D19CD">
        <w:rPr>
          <w:rFonts w:eastAsia="Times New Roman"/>
          <w:szCs w:val="17"/>
        </w:rPr>
        <w:t>In the five years since the launch of the first State Plan, significant and meaningful progress has been made to improve access and inclusion for people with disability, reflecting a strong and ongoing commitment to change.</w:t>
      </w:r>
    </w:p>
    <w:p w14:paraId="3BDAF71C" w14:textId="77777777" w:rsidR="008D19CD" w:rsidRPr="008D19CD" w:rsidRDefault="008D19CD" w:rsidP="008D19CD">
      <w:pPr>
        <w:rPr>
          <w:rFonts w:eastAsia="Times New Roman"/>
          <w:szCs w:val="17"/>
        </w:rPr>
      </w:pPr>
      <w:r w:rsidRPr="008D19CD">
        <w:rPr>
          <w:rFonts w:eastAsia="Times New Roman"/>
          <w:szCs w:val="17"/>
        </w:rPr>
        <w:lastRenderedPageBreak/>
        <w:t>However, feedback from consultation participants highlighted that people with disability continue to face significant barriers across five identified areas that we call domains. Addressing these challenges remains a priority, and we are committed to taking meaningful action to drive lasting change.</w:t>
      </w:r>
    </w:p>
    <w:p w14:paraId="5A46C6DC" w14:textId="77777777" w:rsidR="008D19CD" w:rsidRPr="008D19CD" w:rsidRDefault="008D19CD" w:rsidP="008D19CD">
      <w:pPr>
        <w:rPr>
          <w:rFonts w:eastAsia="Times New Roman"/>
          <w:szCs w:val="17"/>
        </w:rPr>
      </w:pPr>
      <w:r w:rsidRPr="008D19CD">
        <w:rPr>
          <w:rFonts w:eastAsia="Times New Roman"/>
          <w:szCs w:val="17"/>
        </w:rPr>
        <w:t>The domains have been designed to respond to and complement the many inclusion-related initiatives underway across various areas and levels of government. They also serve as a foundation for new work aimed at strengthening inclusion and driving more coordinated, impactful outcomes for people with disability.</w:t>
      </w:r>
    </w:p>
    <w:p w14:paraId="6847D005" w14:textId="77777777" w:rsidR="008D19CD" w:rsidRPr="008D19CD" w:rsidRDefault="008D19CD" w:rsidP="008D19CD">
      <w:pPr>
        <w:rPr>
          <w:rFonts w:eastAsia="Times New Roman"/>
          <w:szCs w:val="17"/>
        </w:rPr>
      </w:pPr>
      <w:r w:rsidRPr="008D19CD">
        <w:rPr>
          <w:rFonts w:eastAsia="Times New Roman"/>
          <w:szCs w:val="17"/>
        </w:rPr>
        <w:t>Importantly, the domains promote a holistic approach by recognising that progress in one area can positively influence others, while also reflecting the unique perspectives and needs of South Australians with disability as expressed throughout the consultation process.</w:t>
      </w:r>
    </w:p>
    <w:p w14:paraId="26043173" w14:textId="77777777" w:rsidR="008D19CD" w:rsidRPr="008D19CD" w:rsidRDefault="008D19CD" w:rsidP="008D19CD">
      <w:pPr>
        <w:rPr>
          <w:rFonts w:eastAsia="Times New Roman"/>
          <w:b/>
          <w:bCs/>
          <w:szCs w:val="17"/>
        </w:rPr>
      </w:pPr>
      <w:r w:rsidRPr="008D19CD">
        <w:rPr>
          <w:rFonts w:eastAsia="Times New Roman"/>
          <w:b/>
          <w:bCs/>
          <w:szCs w:val="17"/>
        </w:rPr>
        <w:t>Domain 1: Inclusive Environments and Communities</w:t>
      </w:r>
    </w:p>
    <w:p w14:paraId="09E9D642" w14:textId="77777777" w:rsidR="008D19CD" w:rsidRPr="008D19CD" w:rsidRDefault="008D19CD" w:rsidP="008D19CD">
      <w:pPr>
        <w:rPr>
          <w:rFonts w:eastAsia="Times New Roman"/>
          <w:szCs w:val="17"/>
        </w:rPr>
      </w:pPr>
      <w:r w:rsidRPr="008D19CD">
        <w:rPr>
          <w:rFonts w:eastAsia="Times New Roman"/>
          <w:szCs w:val="17"/>
        </w:rPr>
        <w:t>All people with disability can participate as equal citizens and feel connected to their communities.</w:t>
      </w:r>
    </w:p>
    <w:p w14:paraId="6ACD4E68" w14:textId="77777777" w:rsidR="008D19CD" w:rsidRPr="008D19CD" w:rsidRDefault="008D19CD" w:rsidP="008D19CD">
      <w:pPr>
        <w:rPr>
          <w:rFonts w:eastAsia="Times New Roman"/>
          <w:b/>
          <w:bCs/>
          <w:szCs w:val="17"/>
        </w:rPr>
      </w:pPr>
      <w:r w:rsidRPr="008D19CD">
        <w:rPr>
          <w:rFonts w:eastAsia="Times New Roman"/>
          <w:b/>
          <w:bCs/>
          <w:szCs w:val="17"/>
        </w:rPr>
        <w:t>Domain 2: Education and Employment</w:t>
      </w:r>
    </w:p>
    <w:p w14:paraId="6145E0F8" w14:textId="77777777" w:rsidR="008D19CD" w:rsidRPr="008D19CD" w:rsidRDefault="008D19CD" w:rsidP="008D19CD">
      <w:pPr>
        <w:rPr>
          <w:rFonts w:eastAsia="Times New Roman"/>
          <w:szCs w:val="17"/>
        </w:rPr>
      </w:pPr>
      <w:r w:rsidRPr="008D19CD">
        <w:rPr>
          <w:rFonts w:eastAsia="Times New Roman"/>
          <w:szCs w:val="17"/>
        </w:rPr>
        <w:t>All people with disability benefit from inclusive educational experiences, equitable employment opportunities and financial security.</w:t>
      </w:r>
    </w:p>
    <w:p w14:paraId="50D4673B" w14:textId="77777777" w:rsidR="008D19CD" w:rsidRPr="008D19CD" w:rsidRDefault="008D19CD" w:rsidP="008D19CD">
      <w:pPr>
        <w:rPr>
          <w:rFonts w:eastAsia="Times New Roman"/>
          <w:b/>
          <w:bCs/>
          <w:szCs w:val="17"/>
        </w:rPr>
      </w:pPr>
      <w:r w:rsidRPr="008D19CD">
        <w:rPr>
          <w:rFonts w:eastAsia="Times New Roman"/>
          <w:b/>
          <w:bCs/>
          <w:szCs w:val="17"/>
        </w:rPr>
        <w:t>Domain 3: Personal and Community Support</w:t>
      </w:r>
    </w:p>
    <w:p w14:paraId="7F8913CD" w14:textId="77777777" w:rsidR="008D19CD" w:rsidRPr="008D19CD" w:rsidRDefault="008D19CD" w:rsidP="008D19CD">
      <w:pPr>
        <w:rPr>
          <w:rFonts w:eastAsia="Times New Roman"/>
          <w:szCs w:val="17"/>
        </w:rPr>
      </w:pPr>
      <w:r w:rsidRPr="008D19CD">
        <w:rPr>
          <w:rFonts w:eastAsia="Times New Roman"/>
          <w:szCs w:val="17"/>
        </w:rPr>
        <w:t>All people with disability can access quality, tailored, personal and community supports addressing their individual needs.</w:t>
      </w:r>
    </w:p>
    <w:p w14:paraId="48C9A9B7" w14:textId="77777777" w:rsidR="008D19CD" w:rsidRPr="008D19CD" w:rsidRDefault="008D19CD" w:rsidP="008D19CD">
      <w:pPr>
        <w:rPr>
          <w:rFonts w:eastAsia="Times New Roman"/>
          <w:b/>
          <w:bCs/>
          <w:szCs w:val="17"/>
        </w:rPr>
      </w:pPr>
      <w:r w:rsidRPr="008D19CD">
        <w:rPr>
          <w:rFonts w:eastAsia="Times New Roman"/>
          <w:b/>
          <w:bCs/>
          <w:szCs w:val="17"/>
        </w:rPr>
        <w:t>Domain 4: Health and Wellbeing</w:t>
      </w:r>
    </w:p>
    <w:p w14:paraId="7B80B043" w14:textId="77777777" w:rsidR="008D19CD" w:rsidRPr="008D19CD" w:rsidRDefault="008D19CD" w:rsidP="008D19CD">
      <w:pPr>
        <w:rPr>
          <w:rFonts w:eastAsia="Times New Roman"/>
          <w:szCs w:val="17"/>
        </w:rPr>
      </w:pPr>
      <w:r w:rsidRPr="008D19CD">
        <w:rPr>
          <w:rFonts w:eastAsia="Times New Roman"/>
          <w:szCs w:val="17"/>
        </w:rPr>
        <w:t>All people with disability can attain the highest possible health and wellbeing outcomes throughout their lives.</w:t>
      </w:r>
    </w:p>
    <w:p w14:paraId="12F6F1EE" w14:textId="77777777" w:rsidR="008D19CD" w:rsidRPr="008D19CD" w:rsidRDefault="008D19CD" w:rsidP="008D19CD">
      <w:pPr>
        <w:rPr>
          <w:rFonts w:eastAsia="Times New Roman"/>
          <w:b/>
          <w:bCs/>
          <w:szCs w:val="17"/>
        </w:rPr>
      </w:pPr>
      <w:r w:rsidRPr="008D19CD">
        <w:rPr>
          <w:rFonts w:eastAsia="Times New Roman"/>
          <w:b/>
          <w:bCs/>
          <w:szCs w:val="17"/>
        </w:rPr>
        <w:t>Domain 5: Safety, Rights and Justice</w:t>
      </w:r>
    </w:p>
    <w:p w14:paraId="26ABE70B" w14:textId="77777777" w:rsidR="008D19CD" w:rsidRPr="008D19CD" w:rsidRDefault="008D19CD" w:rsidP="008D19CD">
      <w:pPr>
        <w:rPr>
          <w:rFonts w:eastAsia="Times New Roman"/>
          <w:szCs w:val="17"/>
        </w:rPr>
      </w:pPr>
      <w:r w:rsidRPr="008D19CD">
        <w:rPr>
          <w:rFonts w:eastAsia="Times New Roman"/>
          <w:szCs w:val="17"/>
        </w:rPr>
        <w:t>All people with disability feel safe, have their rights upheld and have full and equal protection before the law.</w:t>
      </w:r>
    </w:p>
    <w:p w14:paraId="2BCB5196" w14:textId="77777777" w:rsidR="008D19CD" w:rsidRPr="008D19CD" w:rsidRDefault="008D19CD" w:rsidP="008D19CD">
      <w:pPr>
        <w:rPr>
          <w:rFonts w:eastAsia="Times New Roman"/>
          <w:i/>
          <w:iCs/>
          <w:szCs w:val="17"/>
        </w:rPr>
      </w:pPr>
      <w:r w:rsidRPr="008D19CD">
        <w:rPr>
          <w:rFonts w:eastAsia="Times New Roman"/>
          <w:i/>
          <w:iCs/>
          <w:szCs w:val="17"/>
        </w:rPr>
        <w:t>Domains at a glance</w:t>
      </w:r>
    </w:p>
    <w:p w14:paraId="3205B0FF" w14:textId="77777777" w:rsidR="008D19CD" w:rsidRPr="008D19CD" w:rsidRDefault="008D19CD" w:rsidP="008D19CD">
      <w:pPr>
        <w:rPr>
          <w:rFonts w:eastAsia="Times New Roman"/>
          <w:szCs w:val="17"/>
        </w:rPr>
      </w:pPr>
      <w:r w:rsidRPr="008D19CD">
        <w:rPr>
          <w:rFonts w:eastAsia="Times New Roman"/>
          <w:szCs w:val="17"/>
        </w:rPr>
        <w:t>Each domain represents an area of priority and focus for state and local government during the four years of the State Plan. While some aspects of each domain will need to be prioritised as they require immediate action, other aspects will be undertaken in a staged effort as existing work continues, new initiatives emerge and other reforms, both state and national, progress.</w:t>
      </w:r>
    </w:p>
    <w:p w14:paraId="1F6407BF" w14:textId="77777777" w:rsidR="008D19CD" w:rsidRPr="008D19CD" w:rsidRDefault="008D19CD" w:rsidP="008D19CD">
      <w:pPr>
        <w:rPr>
          <w:rFonts w:eastAsia="Times New Roman"/>
          <w:b/>
          <w:bCs/>
          <w:szCs w:val="17"/>
        </w:rPr>
      </w:pPr>
      <w:r w:rsidRPr="008D19CD">
        <w:rPr>
          <w:rFonts w:eastAsia="Times New Roman"/>
          <w:b/>
          <w:bCs/>
          <w:szCs w:val="17"/>
        </w:rPr>
        <w:t>Domain 1: Inclusive Environments and Communities</w:t>
      </w:r>
    </w:p>
    <w:p w14:paraId="5B89ED72" w14:textId="77777777" w:rsidR="008D19CD" w:rsidRPr="008D19CD" w:rsidRDefault="008D19CD" w:rsidP="008D19CD">
      <w:pPr>
        <w:rPr>
          <w:rFonts w:eastAsia="Times New Roman"/>
          <w:szCs w:val="17"/>
        </w:rPr>
      </w:pPr>
      <w:r w:rsidRPr="008D19CD">
        <w:rPr>
          <w:rFonts w:eastAsia="Times New Roman"/>
          <w:szCs w:val="17"/>
        </w:rPr>
        <w:t>People with disability have a fundamental right to take part in all aspects of social, cultural and economic life and enjoy the benefits of an accessible and inclusive community.</w:t>
      </w:r>
    </w:p>
    <w:p w14:paraId="55671E0E" w14:textId="77777777" w:rsidR="008D19CD" w:rsidRPr="008D19CD" w:rsidRDefault="008D19CD" w:rsidP="008D19CD">
      <w:pPr>
        <w:rPr>
          <w:rFonts w:eastAsia="Times New Roman"/>
          <w:szCs w:val="17"/>
        </w:rPr>
      </w:pPr>
      <w:r w:rsidRPr="008D19CD">
        <w:rPr>
          <w:rFonts w:eastAsia="Times New Roman"/>
          <w:szCs w:val="17"/>
        </w:rPr>
        <w:t>Actions and outcomes within this domain will concentrate on breaking down the barriers to accessibility and providing opportunities for people with disability to actively participate in environments and communities.</w:t>
      </w:r>
    </w:p>
    <w:p w14:paraId="6FF8F1A6" w14:textId="77777777" w:rsidR="008D19CD" w:rsidRPr="008D19CD" w:rsidRDefault="008D19CD" w:rsidP="008D19CD">
      <w:pPr>
        <w:rPr>
          <w:rFonts w:eastAsia="Times New Roman"/>
          <w:b/>
          <w:bCs/>
          <w:szCs w:val="17"/>
        </w:rPr>
      </w:pPr>
      <w:r w:rsidRPr="008D19CD">
        <w:rPr>
          <w:rFonts w:eastAsia="Times New Roman"/>
          <w:b/>
          <w:bCs/>
          <w:szCs w:val="17"/>
        </w:rPr>
        <w:t>Domain 2: Education and Employment</w:t>
      </w:r>
    </w:p>
    <w:p w14:paraId="3C5B6318" w14:textId="77777777" w:rsidR="008D19CD" w:rsidRPr="008D19CD" w:rsidRDefault="008D19CD" w:rsidP="008D19CD">
      <w:pPr>
        <w:rPr>
          <w:rFonts w:eastAsia="Times New Roman"/>
          <w:szCs w:val="17"/>
        </w:rPr>
      </w:pPr>
      <w:r w:rsidRPr="008D19CD">
        <w:rPr>
          <w:rFonts w:eastAsia="Times New Roman"/>
          <w:szCs w:val="17"/>
        </w:rPr>
        <w:t>People with disability have a fundamental right to achieve their full potential through education and lifelong learning, and the economic security that comes from equal opportunities within the workforce.</w:t>
      </w:r>
    </w:p>
    <w:p w14:paraId="18F557E1" w14:textId="77777777" w:rsidR="008D19CD" w:rsidRPr="008D19CD" w:rsidRDefault="008D19CD" w:rsidP="008D19CD">
      <w:pPr>
        <w:rPr>
          <w:rFonts w:eastAsia="Times New Roman"/>
          <w:szCs w:val="17"/>
        </w:rPr>
      </w:pPr>
      <w:r w:rsidRPr="008D19CD">
        <w:rPr>
          <w:rFonts w:eastAsia="Times New Roman"/>
          <w:szCs w:val="17"/>
        </w:rPr>
        <w:t>Actions and outcomes within this domain will put in place targeted measures to support transitions through educational settings and into the workforce, and ensure equal opportunity is afforded to people with disability across all stages of the education and employment experience.</w:t>
      </w:r>
    </w:p>
    <w:p w14:paraId="17390325" w14:textId="77777777" w:rsidR="008D19CD" w:rsidRPr="008D19CD" w:rsidRDefault="008D19CD" w:rsidP="008D19CD">
      <w:pPr>
        <w:rPr>
          <w:rFonts w:eastAsia="Times New Roman"/>
          <w:b/>
          <w:bCs/>
          <w:szCs w:val="17"/>
        </w:rPr>
      </w:pPr>
      <w:r w:rsidRPr="008D19CD">
        <w:rPr>
          <w:rFonts w:eastAsia="Times New Roman"/>
          <w:b/>
          <w:bCs/>
          <w:szCs w:val="17"/>
        </w:rPr>
        <w:t>Domain 3: Personal and Community Support</w:t>
      </w:r>
    </w:p>
    <w:p w14:paraId="013A62F5" w14:textId="77777777" w:rsidR="008D19CD" w:rsidRPr="008D19CD" w:rsidRDefault="008D19CD" w:rsidP="008D19CD">
      <w:pPr>
        <w:rPr>
          <w:rFonts w:eastAsia="Times New Roman"/>
          <w:spacing w:val="-4"/>
          <w:szCs w:val="17"/>
        </w:rPr>
      </w:pPr>
      <w:r w:rsidRPr="008D19CD">
        <w:rPr>
          <w:rFonts w:eastAsia="Times New Roman"/>
          <w:spacing w:val="-4"/>
          <w:szCs w:val="17"/>
        </w:rPr>
        <w:t>People with disability have a fundamental right to access a range of in-home, residential and other community support services. This includes personal assistance necessary to support living and inclusion in the community, and to prevent isolation or segregation from the community.</w:t>
      </w:r>
    </w:p>
    <w:p w14:paraId="37F3138B" w14:textId="77777777" w:rsidR="008D19CD" w:rsidRPr="008D19CD" w:rsidRDefault="008D19CD" w:rsidP="008D19CD">
      <w:pPr>
        <w:rPr>
          <w:rFonts w:eastAsia="Times New Roman"/>
          <w:szCs w:val="17"/>
        </w:rPr>
      </w:pPr>
      <w:r w:rsidRPr="008D19CD">
        <w:rPr>
          <w:rFonts w:eastAsia="Times New Roman"/>
          <w:szCs w:val="17"/>
        </w:rPr>
        <w:t>Actions and outcomes within this domain will address the accessibility and availability of community services and supports that are responsive to their specific needs, and the needs of people that care for them.</w:t>
      </w:r>
    </w:p>
    <w:p w14:paraId="03417A5E" w14:textId="77777777" w:rsidR="008D19CD" w:rsidRPr="008D19CD" w:rsidRDefault="008D19CD" w:rsidP="008D19CD">
      <w:pPr>
        <w:rPr>
          <w:rFonts w:eastAsia="Times New Roman"/>
          <w:b/>
          <w:bCs/>
          <w:szCs w:val="17"/>
        </w:rPr>
      </w:pPr>
      <w:r w:rsidRPr="008D19CD">
        <w:rPr>
          <w:rFonts w:eastAsia="Times New Roman"/>
          <w:b/>
          <w:bCs/>
          <w:szCs w:val="17"/>
        </w:rPr>
        <w:t>Domain 4: Health and Wellbeing</w:t>
      </w:r>
    </w:p>
    <w:p w14:paraId="02000FF1" w14:textId="77777777" w:rsidR="008D19CD" w:rsidRPr="008D19CD" w:rsidRDefault="008D19CD" w:rsidP="008D19CD">
      <w:pPr>
        <w:rPr>
          <w:rFonts w:eastAsia="Times New Roman"/>
          <w:szCs w:val="17"/>
        </w:rPr>
      </w:pPr>
      <w:r w:rsidRPr="008D19CD">
        <w:rPr>
          <w:rFonts w:eastAsia="Times New Roman"/>
          <w:szCs w:val="17"/>
        </w:rPr>
        <w:t>People with disability have a fundamental right to enjoy the highest attainable standard of health without discrimination on the basis of disability, and to be confident that measures are in place to ensure equitable access to health and mental health services and supports.</w:t>
      </w:r>
    </w:p>
    <w:p w14:paraId="57702EF9" w14:textId="77777777" w:rsidR="008D19CD" w:rsidRPr="008D19CD" w:rsidRDefault="008D19CD" w:rsidP="008D19CD">
      <w:pPr>
        <w:rPr>
          <w:rFonts w:eastAsia="Times New Roman"/>
          <w:szCs w:val="17"/>
        </w:rPr>
      </w:pPr>
      <w:r w:rsidRPr="008D19CD">
        <w:rPr>
          <w:rFonts w:eastAsia="Times New Roman"/>
          <w:szCs w:val="17"/>
        </w:rPr>
        <w:t>Actions and outcomes within this domain will aim to build knowledge and awareness of the diversity and intersectionality of disability. They will also seek to prioritise the accessibility and availability of health and mental health services to ensure quality care is provided at all stages of life.</w:t>
      </w:r>
    </w:p>
    <w:p w14:paraId="05C6ED8F" w14:textId="77777777" w:rsidR="008D19CD" w:rsidRPr="008D19CD" w:rsidRDefault="008D19CD" w:rsidP="008D19CD">
      <w:pPr>
        <w:rPr>
          <w:rFonts w:eastAsia="Times New Roman"/>
          <w:b/>
          <w:bCs/>
          <w:szCs w:val="17"/>
        </w:rPr>
      </w:pPr>
      <w:r w:rsidRPr="008D19CD">
        <w:rPr>
          <w:rFonts w:eastAsia="Times New Roman"/>
          <w:b/>
          <w:bCs/>
          <w:szCs w:val="17"/>
        </w:rPr>
        <w:t>Domain 5: Safety, Rights and Justice</w:t>
      </w:r>
    </w:p>
    <w:p w14:paraId="3B943063" w14:textId="77777777" w:rsidR="008D19CD" w:rsidRPr="008D19CD" w:rsidRDefault="008D19CD" w:rsidP="008D19CD">
      <w:pPr>
        <w:rPr>
          <w:rFonts w:eastAsia="Times New Roman"/>
          <w:szCs w:val="17"/>
        </w:rPr>
      </w:pPr>
      <w:r w:rsidRPr="008D19CD">
        <w:rPr>
          <w:rFonts w:eastAsia="Times New Roman"/>
          <w:szCs w:val="17"/>
        </w:rPr>
        <w:t>People with disability have a fundamental right to recognition before the law and to live free from all forms of exploitation, violence, abuse and neglect. This includes the right to safety and to legislative, administrative, social and educational support, and other measures that protect and uphold their dignity and wellbeing.</w:t>
      </w:r>
    </w:p>
    <w:p w14:paraId="3F110A99" w14:textId="77777777" w:rsidR="008D19CD" w:rsidRPr="008D19CD" w:rsidRDefault="008D19CD" w:rsidP="008D19CD">
      <w:pPr>
        <w:rPr>
          <w:rFonts w:eastAsia="Times New Roman"/>
          <w:szCs w:val="17"/>
        </w:rPr>
      </w:pPr>
      <w:r w:rsidRPr="008D19CD">
        <w:rPr>
          <w:rFonts w:eastAsia="Times New Roman"/>
          <w:szCs w:val="17"/>
        </w:rPr>
        <w:t>Actions and outcomes within this domain will promote, uphold and protect the safety and rights of people with disability through improved interactions with the justice system, whether as victims, witnesses, suspects or defendants.</w:t>
      </w:r>
    </w:p>
    <w:p w14:paraId="0BD0781C" w14:textId="77777777" w:rsidR="008D19CD" w:rsidRPr="008D19CD" w:rsidRDefault="008D19CD" w:rsidP="008D19CD">
      <w:pPr>
        <w:rPr>
          <w:rFonts w:eastAsia="Times New Roman"/>
          <w:szCs w:val="17"/>
        </w:rPr>
      </w:pPr>
      <w:r w:rsidRPr="008D19CD">
        <w:rPr>
          <w:rFonts w:eastAsia="Times New Roman"/>
          <w:i/>
          <w:iCs/>
          <w:szCs w:val="17"/>
        </w:rPr>
        <w:t>All domains are underpinned by the wider process of building knowledge, understanding and acceptance of disability across the South Australian community</w:t>
      </w:r>
      <w:r w:rsidRPr="008D19CD">
        <w:rPr>
          <w:rFonts w:eastAsia="Times New Roman"/>
          <w:szCs w:val="17"/>
        </w:rPr>
        <w:t>.</w:t>
      </w:r>
    </w:p>
    <w:p w14:paraId="579C8C8F" w14:textId="77777777" w:rsidR="008D19CD" w:rsidRPr="008D19CD" w:rsidRDefault="008D19CD" w:rsidP="008D19CD">
      <w:pPr>
        <w:rPr>
          <w:rFonts w:eastAsia="Times New Roman"/>
          <w:szCs w:val="17"/>
        </w:rPr>
      </w:pPr>
      <w:r w:rsidRPr="008D19CD">
        <w:rPr>
          <w:rFonts w:eastAsia="Times New Roman"/>
          <w:szCs w:val="17"/>
        </w:rPr>
        <w:t>Driving change: Accountability, performance and reporting</w:t>
      </w:r>
    </w:p>
    <w:p w14:paraId="2BC9213E" w14:textId="77777777" w:rsidR="008D19CD" w:rsidRPr="008D19CD" w:rsidRDefault="008D19CD" w:rsidP="008D19CD">
      <w:pPr>
        <w:rPr>
          <w:rFonts w:eastAsia="Times New Roman"/>
          <w:szCs w:val="17"/>
        </w:rPr>
      </w:pPr>
      <w:r w:rsidRPr="008D19CD">
        <w:rPr>
          <w:rFonts w:eastAsia="Times New Roman"/>
          <w:szCs w:val="17"/>
        </w:rPr>
        <w:t>This State Plan sets out whole-of-government policies and measures for achieving an accessible and inclusive South Australia.</w:t>
      </w:r>
    </w:p>
    <w:p w14:paraId="5E0D1273" w14:textId="77777777" w:rsidR="008D19CD" w:rsidRPr="008D19CD" w:rsidRDefault="008D19CD" w:rsidP="008D19CD">
      <w:pPr>
        <w:rPr>
          <w:rFonts w:eastAsia="Times New Roman"/>
          <w:szCs w:val="17"/>
        </w:rPr>
      </w:pPr>
      <w:r w:rsidRPr="008D19CD">
        <w:rPr>
          <w:rFonts w:eastAsia="Times New Roman"/>
          <w:szCs w:val="17"/>
        </w:rPr>
        <w:t>The Act makes it clear that the State Plan must specify measurable outcomes for each domain. These outcomes provide a clear direction and framework for progress.</w:t>
      </w:r>
    </w:p>
    <w:p w14:paraId="3689B832" w14:textId="77777777" w:rsidR="008D19CD" w:rsidRPr="008D19CD" w:rsidRDefault="008D19CD" w:rsidP="008D19CD">
      <w:pPr>
        <w:rPr>
          <w:rFonts w:eastAsia="Times New Roman"/>
          <w:szCs w:val="17"/>
        </w:rPr>
      </w:pPr>
      <w:r w:rsidRPr="008D19CD">
        <w:rPr>
          <w:rFonts w:eastAsia="Times New Roman"/>
          <w:szCs w:val="17"/>
        </w:rPr>
        <w:t>Achieving the outcomes of the State Plan requires a shared commitment across all levels of government. While each state authority operates within its unique context, we must work together on common priorities to create a truly inclusive South Australia.</w:t>
      </w:r>
    </w:p>
    <w:p w14:paraId="5C6C17A6" w14:textId="77777777" w:rsidR="008D19CD" w:rsidRPr="008D19CD" w:rsidRDefault="008D19CD" w:rsidP="008D19CD">
      <w:pPr>
        <w:rPr>
          <w:rFonts w:eastAsia="Times New Roman"/>
          <w:spacing w:val="-2"/>
          <w:szCs w:val="17"/>
        </w:rPr>
      </w:pPr>
      <w:r w:rsidRPr="008D19CD">
        <w:rPr>
          <w:rFonts w:eastAsia="Times New Roman"/>
          <w:spacing w:val="-2"/>
          <w:szCs w:val="17"/>
        </w:rPr>
        <w:t>Every state authority has a vital role to play and will contribute through their individual DAIP. These plans reflect the specific responsibilities and actions of each authority. However, real and lasting change will only be achieved when these efforts are aligned and coordinated.</w:t>
      </w:r>
    </w:p>
    <w:p w14:paraId="39D43211" w14:textId="77777777" w:rsidR="008D19CD" w:rsidRPr="008D19CD" w:rsidRDefault="008D19CD" w:rsidP="008D19CD">
      <w:pPr>
        <w:rPr>
          <w:rFonts w:eastAsia="Times New Roman"/>
          <w:szCs w:val="17"/>
        </w:rPr>
      </w:pPr>
      <w:r w:rsidRPr="008D19CD">
        <w:rPr>
          <w:rFonts w:eastAsia="Times New Roman"/>
          <w:szCs w:val="17"/>
        </w:rPr>
        <w:t>The Department of Human Services (DHS) will lead the implementation of the State Plan and provide strategic guidance and support to state authorities. DHS will also ensure alignment with the activities of other state and national disability-related reforms to create a cohesive, whole-of-government response to access and inclusion.</w:t>
      </w:r>
    </w:p>
    <w:p w14:paraId="1C918C32" w14:textId="77777777" w:rsidR="008D19CD" w:rsidRPr="008D19CD" w:rsidRDefault="008D19CD" w:rsidP="008D19CD">
      <w:pPr>
        <w:rPr>
          <w:rFonts w:eastAsia="Times New Roman"/>
          <w:szCs w:val="17"/>
        </w:rPr>
      </w:pPr>
      <w:r w:rsidRPr="008D19CD">
        <w:rPr>
          <w:rFonts w:eastAsia="Times New Roman"/>
          <w:szCs w:val="17"/>
        </w:rPr>
        <w:lastRenderedPageBreak/>
        <w:t>To achieve our vision, state authorities must set clear targets, be ambitious, prioritise and lead by example. It is incumbent on those who can effect positive change to do so and support the broader community along this journey.</w:t>
      </w:r>
    </w:p>
    <w:p w14:paraId="16BC21B9" w14:textId="77777777" w:rsidR="008D19CD" w:rsidRPr="008D19CD" w:rsidRDefault="008D19CD" w:rsidP="008D19CD">
      <w:pPr>
        <w:rPr>
          <w:rFonts w:eastAsia="Times New Roman"/>
          <w:szCs w:val="17"/>
        </w:rPr>
      </w:pPr>
      <w:r w:rsidRPr="008D19CD">
        <w:rPr>
          <w:rFonts w:eastAsia="Times New Roman"/>
          <w:szCs w:val="17"/>
        </w:rPr>
        <w:t>To maintain accountability, state authorities are required to report annually on the actions taken through their DAIP. This regular reporting helps track progress, identify what’s working, and highlight areas that need more attention.</w:t>
      </w:r>
    </w:p>
    <w:p w14:paraId="4A667B97" w14:textId="77777777" w:rsidR="008D19CD" w:rsidRPr="008D19CD" w:rsidRDefault="008D19CD" w:rsidP="008D19CD">
      <w:pPr>
        <w:rPr>
          <w:rFonts w:eastAsia="Times New Roman"/>
          <w:szCs w:val="17"/>
        </w:rPr>
      </w:pPr>
      <w:r w:rsidRPr="008D19CD">
        <w:rPr>
          <w:rFonts w:eastAsia="Times New Roman"/>
          <w:szCs w:val="17"/>
        </w:rPr>
        <w:t xml:space="preserve">The State Plan explains </w:t>
      </w:r>
      <w:r w:rsidRPr="008D19CD">
        <w:rPr>
          <w:rFonts w:eastAsia="Times New Roman"/>
          <w:b/>
          <w:bCs/>
          <w:i/>
          <w:iCs/>
          <w:szCs w:val="17"/>
        </w:rPr>
        <w:t>what</w:t>
      </w:r>
      <w:r w:rsidRPr="008D19CD">
        <w:rPr>
          <w:rFonts w:eastAsia="Times New Roman"/>
          <w:szCs w:val="17"/>
        </w:rPr>
        <w:t xml:space="preserve"> we want to achieve and </w:t>
      </w:r>
      <w:r w:rsidRPr="008D19CD">
        <w:rPr>
          <w:rFonts w:eastAsia="Times New Roman"/>
          <w:b/>
          <w:bCs/>
          <w:i/>
          <w:iCs/>
          <w:szCs w:val="17"/>
        </w:rPr>
        <w:t>why</w:t>
      </w:r>
      <w:r w:rsidRPr="008D19CD">
        <w:rPr>
          <w:rFonts w:eastAsia="Times New Roman"/>
          <w:szCs w:val="17"/>
        </w:rPr>
        <w:t xml:space="preserve"> we want to do it.</w:t>
      </w:r>
    </w:p>
    <w:p w14:paraId="58A03156" w14:textId="77777777" w:rsidR="008D19CD" w:rsidRPr="008D19CD" w:rsidRDefault="008D19CD" w:rsidP="008D19CD">
      <w:pPr>
        <w:rPr>
          <w:rFonts w:eastAsia="Times New Roman"/>
          <w:szCs w:val="17"/>
        </w:rPr>
      </w:pPr>
      <w:r w:rsidRPr="008D19CD">
        <w:rPr>
          <w:rFonts w:eastAsia="Times New Roman"/>
          <w:szCs w:val="17"/>
        </w:rPr>
        <w:t xml:space="preserve">Each DAIP outlines </w:t>
      </w:r>
      <w:r w:rsidRPr="008D19CD">
        <w:rPr>
          <w:rFonts w:eastAsia="Times New Roman"/>
          <w:b/>
          <w:bCs/>
          <w:i/>
          <w:iCs/>
          <w:szCs w:val="17"/>
        </w:rPr>
        <w:t>how</w:t>
      </w:r>
      <w:r w:rsidRPr="008D19CD">
        <w:rPr>
          <w:rFonts w:eastAsia="Times New Roman"/>
          <w:szCs w:val="17"/>
        </w:rPr>
        <w:t xml:space="preserve"> we will achieve it and </w:t>
      </w:r>
      <w:r w:rsidRPr="008D19CD">
        <w:rPr>
          <w:rFonts w:eastAsia="Times New Roman"/>
          <w:b/>
          <w:bCs/>
          <w:i/>
          <w:iCs/>
          <w:szCs w:val="17"/>
        </w:rPr>
        <w:t>when</w:t>
      </w:r>
      <w:r w:rsidRPr="008D19CD">
        <w:rPr>
          <w:rFonts w:eastAsia="Times New Roman"/>
          <w:szCs w:val="17"/>
        </w:rPr>
        <w:t xml:space="preserve"> we will do it.</w:t>
      </w:r>
    </w:p>
    <w:p w14:paraId="14919626" w14:textId="77777777" w:rsidR="008D19CD" w:rsidRPr="008D19CD" w:rsidRDefault="008D19CD" w:rsidP="008D19CD">
      <w:pPr>
        <w:rPr>
          <w:rFonts w:eastAsia="Times New Roman"/>
          <w:szCs w:val="17"/>
        </w:rPr>
      </w:pPr>
      <w:r w:rsidRPr="008D19CD">
        <w:rPr>
          <w:rFonts w:eastAsia="Times New Roman"/>
          <w:szCs w:val="17"/>
        </w:rPr>
        <w:t xml:space="preserve">Annual reporting will </w:t>
      </w:r>
      <w:r w:rsidRPr="008D19CD">
        <w:rPr>
          <w:rFonts w:eastAsia="Times New Roman"/>
          <w:b/>
          <w:bCs/>
          <w:i/>
          <w:iCs/>
          <w:szCs w:val="17"/>
        </w:rPr>
        <w:t>show</w:t>
      </w:r>
      <w:r w:rsidRPr="008D19CD">
        <w:rPr>
          <w:rFonts w:eastAsia="Times New Roman"/>
          <w:szCs w:val="17"/>
        </w:rPr>
        <w:t xml:space="preserve"> how we are progressing.</w:t>
      </w:r>
    </w:p>
    <w:p w14:paraId="3039E47B" w14:textId="77777777" w:rsidR="008D19CD" w:rsidRPr="008D19CD" w:rsidRDefault="008D19CD" w:rsidP="008D19CD">
      <w:pPr>
        <w:rPr>
          <w:rFonts w:eastAsia="Times New Roman"/>
          <w:szCs w:val="17"/>
        </w:rPr>
      </w:pPr>
      <w:r w:rsidRPr="008D19CD">
        <w:rPr>
          <w:rFonts w:eastAsia="Times New Roman"/>
          <w:szCs w:val="17"/>
        </w:rPr>
        <w:t>Data methodology and limitations</w:t>
      </w:r>
    </w:p>
    <w:p w14:paraId="37FF10C2" w14:textId="77777777" w:rsidR="008D19CD" w:rsidRPr="008D19CD" w:rsidRDefault="008D19CD" w:rsidP="008D19CD">
      <w:pPr>
        <w:rPr>
          <w:rFonts w:eastAsia="Times New Roman"/>
          <w:szCs w:val="17"/>
        </w:rPr>
      </w:pPr>
      <w:r w:rsidRPr="008D19CD">
        <w:rPr>
          <w:rFonts w:eastAsia="Times New Roman"/>
          <w:szCs w:val="17"/>
        </w:rPr>
        <w:t>In the first year of reporting, data collected will serve as a baseline. This foundational data is critical as it provides the starting point from which we can measure progress over time. Once the baseline is established, we will be in a stronger position to consider meaningful and evidence-based targets, likely to coincide with the first review of the State Plan in two years’ time.</w:t>
      </w:r>
    </w:p>
    <w:p w14:paraId="4F32C6A8" w14:textId="77777777" w:rsidR="008D19CD" w:rsidRPr="008D19CD" w:rsidRDefault="008D19CD" w:rsidP="008D19CD">
      <w:pPr>
        <w:rPr>
          <w:rFonts w:eastAsia="Times New Roman"/>
          <w:szCs w:val="17"/>
        </w:rPr>
      </w:pPr>
      <w:r w:rsidRPr="008D19CD">
        <w:rPr>
          <w:rFonts w:eastAsia="Times New Roman"/>
          <w:szCs w:val="17"/>
        </w:rPr>
        <w:t>At each reporting stage, we will collect and analyse both quantitative data (numbers) and qualitative data (experiences and stories). This mixed-method approach ensures we capture what is happening, as well as how people are experiencing it. Listening to people with lived experience of disability is central to this process, helping to make sense of the data and understand the real-world impact of actions.</w:t>
      </w:r>
    </w:p>
    <w:p w14:paraId="69FBEF40" w14:textId="77777777" w:rsidR="008D19CD" w:rsidRPr="008D19CD" w:rsidRDefault="008D19CD" w:rsidP="008D19CD">
      <w:pPr>
        <w:rPr>
          <w:rFonts w:eastAsia="Times New Roman"/>
          <w:szCs w:val="17"/>
        </w:rPr>
      </w:pPr>
      <w:r w:rsidRPr="008D19CD">
        <w:rPr>
          <w:rFonts w:eastAsia="Times New Roman"/>
          <w:szCs w:val="17"/>
        </w:rPr>
        <w:t>There are, however, several limitations to be aware of when interpreting the data.</w:t>
      </w:r>
    </w:p>
    <w:p w14:paraId="01164A63" w14:textId="77777777" w:rsidR="008D19CD" w:rsidRPr="008D19CD" w:rsidRDefault="008D19CD" w:rsidP="008D19CD">
      <w:pPr>
        <w:rPr>
          <w:rFonts w:eastAsia="Times New Roman"/>
          <w:szCs w:val="17"/>
        </w:rPr>
      </w:pPr>
      <w:r w:rsidRPr="008D19CD">
        <w:rPr>
          <w:rFonts w:eastAsia="Times New Roman"/>
          <w:szCs w:val="17"/>
        </w:rPr>
        <w:t>Disability disclosure is not mandatory, which means some data may not fully represent the</w:t>
      </w:r>
    </w:p>
    <w:p w14:paraId="4F306D2A" w14:textId="77777777" w:rsidR="008D19CD" w:rsidRPr="008D19CD" w:rsidRDefault="008D19CD" w:rsidP="008D19CD">
      <w:pPr>
        <w:rPr>
          <w:rFonts w:eastAsia="Times New Roman"/>
          <w:szCs w:val="17"/>
        </w:rPr>
      </w:pPr>
      <w:r w:rsidRPr="008D19CD">
        <w:rPr>
          <w:rFonts w:eastAsia="Times New Roman"/>
          <w:szCs w:val="17"/>
        </w:rPr>
        <w:t>number or diversity of people with disability.</w:t>
      </w:r>
    </w:p>
    <w:p w14:paraId="0FD8BCC1" w14:textId="77777777" w:rsidR="008D19CD" w:rsidRPr="008D19CD" w:rsidRDefault="008D19CD" w:rsidP="008D19CD">
      <w:pPr>
        <w:rPr>
          <w:rFonts w:eastAsia="Times New Roman"/>
          <w:szCs w:val="17"/>
        </w:rPr>
      </w:pPr>
      <w:r w:rsidRPr="008D19CD">
        <w:rPr>
          <w:rFonts w:eastAsia="Times New Roman"/>
          <w:szCs w:val="17"/>
        </w:rPr>
        <w:t>Measuring outcomes for people with disability is complex, particularly when trying to</w:t>
      </w:r>
    </w:p>
    <w:p w14:paraId="08CDE48D" w14:textId="77777777" w:rsidR="008D19CD" w:rsidRPr="008D19CD" w:rsidRDefault="008D19CD" w:rsidP="008D19CD">
      <w:pPr>
        <w:rPr>
          <w:rFonts w:eastAsia="Times New Roman"/>
          <w:szCs w:val="17"/>
        </w:rPr>
      </w:pPr>
      <w:r w:rsidRPr="008D19CD">
        <w:rPr>
          <w:rFonts w:eastAsia="Times New Roman"/>
          <w:szCs w:val="17"/>
        </w:rPr>
        <w:t>capture personal, social and systemic change. Changes, such as policy reform or increased</w:t>
      </w:r>
    </w:p>
    <w:p w14:paraId="5DC59DAF" w14:textId="77777777" w:rsidR="008D19CD" w:rsidRPr="008D19CD" w:rsidRDefault="008D19CD" w:rsidP="008D19CD">
      <w:pPr>
        <w:rPr>
          <w:rFonts w:eastAsia="Times New Roman"/>
          <w:szCs w:val="17"/>
        </w:rPr>
      </w:pPr>
      <w:r w:rsidRPr="008D19CD">
        <w:rPr>
          <w:rFonts w:eastAsia="Times New Roman"/>
          <w:szCs w:val="17"/>
        </w:rPr>
        <w:t>feelings of inclusion, are often qualitative and may take time to emerge. Multiple factors,</w:t>
      </w:r>
    </w:p>
    <w:p w14:paraId="013F1FB7" w14:textId="77777777" w:rsidR="008D19CD" w:rsidRPr="008D19CD" w:rsidRDefault="008D19CD" w:rsidP="008D19CD">
      <w:pPr>
        <w:rPr>
          <w:rFonts w:eastAsia="Times New Roman"/>
          <w:szCs w:val="17"/>
        </w:rPr>
      </w:pPr>
      <w:r w:rsidRPr="008D19CD">
        <w:rPr>
          <w:rFonts w:eastAsia="Times New Roman"/>
          <w:szCs w:val="17"/>
        </w:rPr>
        <w:t>including social attitudes and intersectionality, can also make it difficult to link progress to</w:t>
      </w:r>
    </w:p>
    <w:p w14:paraId="6DB05A7D" w14:textId="77777777" w:rsidR="008D19CD" w:rsidRPr="008D19CD" w:rsidRDefault="008D19CD" w:rsidP="008D19CD">
      <w:pPr>
        <w:rPr>
          <w:rFonts w:eastAsia="Times New Roman"/>
          <w:szCs w:val="17"/>
        </w:rPr>
      </w:pPr>
      <w:r w:rsidRPr="008D19CD">
        <w:rPr>
          <w:rFonts w:eastAsia="Times New Roman"/>
          <w:szCs w:val="17"/>
        </w:rPr>
        <w:t>specific programs. To address this, we will use both quantitative and qualitative data to</w:t>
      </w:r>
    </w:p>
    <w:p w14:paraId="218C514B" w14:textId="77777777" w:rsidR="008D19CD" w:rsidRPr="008D19CD" w:rsidRDefault="008D19CD" w:rsidP="008D19CD">
      <w:pPr>
        <w:rPr>
          <w:rFonts w:eastAsia="Times New Roman"/>
          <w:szCs w:val="17"/>
        </w:rPr>
      </w:pPr>
      <w:r w:rsidRPr="008D19CD">
        <w:rPr>
          <w:rFonts w:eastAsia="Times New Roman"/>
          <w:szCs w:val="17"/>
        </w:rPr>
        <w:t>ensure outcomes are measured in meaningful and accurate ways.</w:t>
      </w:r>
    </w:p>
    <w:p w14:paraId="1F176E35" w14:textId="77777777" w:rsidR="008D19CD" w:rsidRPr="008D19CD" w:rsidRDefault="008D19CD" w:rsidP="008D19CD">
      <w:pPr>
        <w:rPr>
          <w:rFonts w:eastAsia="Times New Roman"/>
          <w:szCs w:val="17"/>
        </w:rPr>
      </w:pPr>
      <w:r w:rsidRPr="008D19CD">
        <w:rPr>
          <w:rFonts w:eastAsia="Times New Roman"/>
          <w:szCs w:val="17"/>
        </w:rPr>
        <w:t>Disaggregated data such as age, gender, Aboriginal status or cultural background may not</w:t>
      </w:r>
    </w:p>
    <w:p w14:paraId="60EBB76D" w14:textId="77777777" w:rsidR="008D19CD" w:rsidRPr="008D19CD" w:rsidRDefault="008D19CD" w:rsidP="008D19CD">
      <w:pPr>
        <w:rPr>
          <w:rFonts w:eastAsia="Times New Roman"/>
          <w:szCs w:val="17"/>
        </w:rPr>
      </w:pPr>
      <w:r w:rsidRPr="008D19CD">
        <w:rPr>
          <w:rFonts w:eastAsia="Times New Roman"/>
          <w:szCs w:val="17"/>
        </w:rPr>
        <w:t>always be available. However, we will work to include this where possible through state</w:t>
      </w:r>
    </w:p>
    <w:p w14:paraId="4DE8B813" w14:textId="77777777" w:rsidR="008D19CD" w:rsidRPr="008D19CD" w:rsidRDefault="008D19CD" w:rsidP="008D19CD">
      <w:pPr>
        <w:rPr>
          <w:rFonts w:eastAsia="Times New Roman"/>
          <w:spacing w:val="-2"/>
          <w:szCs w:val="17"/>
        </w:rPr>
      </w:pPr>
      <w:r w:rsidRPr="008D19CD">
        <w:rPr>
          <w:rFonts w:eastAsia="Times New Roman"/>
          <w:spacing w:val="-2"/>
          <w:szCs w:val="17"/>
        </w:rPr>
        <w:t>authority DAIP actions and reporting, with a focus on capturing data related to priority groups.</w:t>
      </w:r>
    </w:p>
    <w:p w14:paraId="73EA84D2" w14:textId="77777777" w:rsidR="008D19CD" w:rsidRPr="008D19CD" w:rsidRDefault="008D19CD" w:rsidP="008D19CD">
      <w:pPr>
        <w:rPr>
          <w:rFonts w:eastAsia="Times New Roman"/>
          <w:szCs w:val="17"/>
        </w:rPr>
      </w:pPr>
      <w:r w:rsidRPr="008D19CD">
        <w:rPr>
          <w:rFonts w:eastAsia="Times New Roman"/>
          <w:szCs w:val="17"/>
        </w:rPr>
        <w:t>We are committed to culturally safe and respectful data practices, especially in relation to Aboriginal peoples. This includes upholding principles of data sovereignty and ensuring that data is used in ways that empower and support communities.</w:t>
      </w:r>
    </w:p>
    <w:p w14:paraId="06F656EA" w14:textId="77777777" w:rsidR="008D19CD" w:rsidRPr="008D19CD" w:rsidRDefault="008D19CD" w:rsidP="008D19CD">
      <w:pPr>
        <w:rPr>
          <w:rFonts w:eastAsia="Times New Roman"/>
          <w:szCs w:val="17"/>
        </w:rPr>
      </w:pPr>
      <w:r w:rsidRPr="008D19CD">
        <w:rPr>
          <w:rFonts w:eastAsia="Times New Roman"/>
          <w:szCs w:val="17"/>
        </w:rPr>
        <w:t>We also recognise that population-level change takes time. However, through consistent measurement and focus on the State Plan’s outcomes, we aim to influence long-term improvements and help create a new normal—one where inclusion and accessibility are the standard, not the exception.</w:t>
      </w:r>
    </w:p>
    <w:p w14:paraId="337114C4" w14:textId="77777777" w:rsidR="008D19CD" w:rsidRPr="008D19CD" w:rsidRDefault="008D19CD" w:rsidP="008D19CD">
      <w:pPr>
        <w:rPr>
          <w:rFonts w:eastAsia="Times New Roman"/>
          <w:b/>
          <w:bCs/>
          <w:szCs w:val="17"/>
        </w:rPr>
      </w:pPr>
      <w:r w:rsidRPr="008D19CD">
        <w:rPr>
          <w:rFonts w:eastAsia="Times New Roman"/>
          <w:b/>
          <w:bCs/>
          <w:szCs w:val="17"/>
        </w:rPr>
        <w:t>Outcomes Framework</w:t>
      </w:r>
    </w:p>
    <w:p w14:paraId="1436812B" w14:textId="77777777" w:rsidR="008D19CD" w:rsidRPr="008D19CD" w:rsidRDefault="008D19CD" w:rsidP="008D19CD">
      <w:pPr>
        <w:rPr>
          <w:rFonts w:eastAsia="Times New Roman"/>
          <w:szCs w:val="17"/>
        </w:rPr>
      </w:pPr>
      <w:r w:rsidRPr="008D19CD">
        <w:rPr>
          <w:rFonts w:eastAsia="Times New Roman"/>
          <w:szCs w:val="17"/>
        </w:rPr>
        <w:t>Insights gathered through the statewide consultation process have informed the development of the State Plan and key components within the outcomes framework.</w:t>
      </w:r>
    </w:p>
    <w:p w14:paraId="0A05F98F" w14:textId="77777777" w:rsidR="008D19CD" w:rsidRPr="008D19CD" w:rsidRDefault="008D19CD" w:rsidP="008D19CD">
      <w:pPr>
        <w:rPr>
          <w:rFonts w:eastAsia="Times New Roman"/>
          <w:szCs w:val="17"/>
        </w:rPr>
      </w:pPr>
      <w:r w:rsidRPr="008D19CD">
        <w:rPr>
          <w:rFonts w:eastAsia="Times New Roman"/>
          <w:szCs w:val="17"/>
        </w:rPr>
        <w:t>The outcomes framework supports the implementation of the State Plan by setting clear outcomes and associated measures to drive meaningful change for people with disability in South Australia. It will be used to track progress across the five domains.</w:t>
      </w:r>
    </w:p>
    <w:p w14:paraId="22439980" w14:textId="77777777" w:rsidR="008D19CD" w:rsidRPr="008D19CD" w:rsidRDefault="008D19CD" w:rsidP="008D19CD">
      <w:pPr>
        <w:rPr>
          <w:rFonts w:eastAsia="Times New Roman"/>
          <w:szCs w:val="17"/>
        </w:rPr>
      </w:pPr>
      <w:r w:rsidRPr="008D19CD">
        <w:rPr>
          <w:rFonts w:eastAsia="Times New Roman"/>
          <w:szCs w:val="17"/>
        </w:rPr>
        <w:t>The outcomes framework outlines 27 priority areas that have been identified by the disability community. Each priority area includes an outcome, this is the desired condition or positive change that we aim to achieve. Progress is tracked through specific measures that help us understand whether things are improving over time.</w:t>
      </w:r>
    </w:p>
    <w:p w14:paraId="16647FF8" w14:textId="77777777" w:rsidR="008D19CD" w:rsidRPr="008D19CD" w:rsidRDefault="008D19CD" w:rsidP="008D19CD">
      <w:pPr>
        <w:rPr>
          <w:rFonts w:eastAsia="Times New Roman"/>
          <w:szCs w:val="17"/>
        </w:rPr>
      </w:pPr>
      <w:r w:rsidRPr="008D19CD">
        <w:rPr>
          <w:rFonts w:eastAsia="Times New Roman"/>
          <w:szCs w:val="17"/>
        </w:rPr>
        <w:t>State authorities are assigned to lead efforts on specific measures, although all state authorities are encouraged to contribute by developing their own initiatives that support the goals of the State Plan.</w:t>
      </w:r>
    </w:p>
    <w:p w14:paraId="288E16FA" w14:textId="77777777" w:rsidR="008D19CD" w:rsidRPr="008D19CD" w:rsidRDefault="008D19CD" w:rsidP="008D19CD">
      <w:pPr>
        <w:rPr>
          <w:rFonts w:eastAsia="Times New Roman"/>
          <w:szCs w:val="17"/>
        </w:rPr>
      </w:pPr>
      <w:r w:rsidRPr="008D19CD">
        <w:rPr>
          <w:rFonts w:eastAsia="Times New Roman"/>
          <w:szCs w:val="17"/>
        </w:rPr>
        <w:t>By applying the outcomes framework, we take a long-term, sustainable approach that promotes transparency, tracks change over time, and helps assess the impact on access to supports, services and overall inclusion for people with disability in our state.</w:t>
      </w:r>
    </w:p>
    <w:p w14:paraId="6E142C0A" w14:textId="77777777" w:rsidR="008D19CD" w:rsidRPr="008D19CD" w:rsidRDefault="008D19CD" w:rsidP="008D19CD">
      <w:pPr>
        <w:rPr>
          <w:rFonts w:eastAsia="Times New Roman"/>
          <w:b/>
          <w:bCs/>
          <w:szCs w:val="17"/>
        </w:rPr>
      </w:pPr>
      <w:r w:rsidRPr="008D19CD">
        <w:rPr>
          <w:rFonts w:eastAsia="Times New Roman"/>
          <w:b/>
          <w:bCs/>
          <w:szCs w:val="17"/>
        </w:rPr>
        <w:t>Outcome Measures</w:t>
      </w:r>
    </w:p>
    <w:p w14:paraId="16EA76D1" w14:textId="77777777" w:rsidR="008D19CD" w:rsidRPr="008D19CD" w:rsidRDefault="008D19CD" w:rsidP="008D19CD">
      <w:pPr>
        <w:rPr>
          <w:rFonts w:eastAsia="Times New Roman"/>
          <w:szCs w:val="17"/>
        </w:rPr>
      </w:pPr>
      <w:r w:rsidRPr="008D19CD">
        <w:rPr>
          <w:rFonts w:eastAsia="Times New Roman"/>
          <w:b/>
          <w:bCs/>
          <w:szCs w:val="17"/>
        </w:rPr>
        <w:t>Proportion</w:t>
      </w:r>
      <w:r w:rsidRPr="008D19CD">
        <w:rPr>
          <w:rFonts w:eastAsia="Times New Roman"/>
          <w:szCs w:val="17"/>
        </w:rPr>
        <w:t xml:space="preserve"> and </w:t>
      </w:r>
      <w:r w:rsidRPr="008D19CD">
        <w:rPr>
          <w:rFonts w:eastAsia="Times New Roman"/>
          <w:b/>
          <w:bCs/>
          <w:szCs w:val="17"/>
        </w:rPr>
        <w:t>total</w:t>
      </w:r>
      <w:r w:rsidRPr="008D19CD">
        <w:rPr>
          <w:rFonts w:eastAsia="Times New Roman"/>
          <w:szCs w:val="17"/>
        </w:rPr>
        <w:t xml:space="preserve"> </w:t>
      </w:r>
      <w:r w:rsidRPr="008D19CD">
        <w:rPr>
          <w:rFonts w:eastAsia="Times New Roman"/>
          <w:b/>
          <w:bCs/>
          <w:szCs w:val="17"/>
        </w:rPr>
        <w:t>number</w:t>
      </w:r>
      <w:r w:rsidRPr="008D19CD">
        <w:rPr>
          <w:rFonts w:eastAsia="Times New Roman"/>
          <w:szCs w:val="17"/>
        </w:rPr>
        <w:t xml:space="preserve"> are used to measure outcomes.</w:t>
      </w:r>
    </w:p>
    <w:p w14:paraId="3BDCFB14" w14:textId="77777777" w:rsidR="008D19CD" w:rsidRPr="008D19CD" w:rsidRDefault="008D19CD" w:rsidP="008D19CD">
      <w:pPr>
        <w:rPr>
          <w:rFonts w:eastAsia="Times New Roman"/>
          <w:szCs w:val="17"/>
        </w:rPr>
      </w:pPr>
      <w:r w:rsidRPr="008D19CD">
        <w:rPr>
          <w:rFonts w:eastAsia="Times New Roman"/>
          <w:b/>
          <w:bCs/>
          <w:szCs w:val="17"/>
        </w:rPr>
        <w:t>Proportion</w:t>
      </w:r>
      <w:r w:rsidRPr="008D19CD">
        <w:rPr>
          <w:rFonts w:eastAsia="Times New Roman"/>
          <w:szCs w:val="17"/>
        </w:rPr>
        <w:t xml:space="preserve"> refers to a part of a whole. It tells you what share, or percentage of a group has a certain characteristic. For example, three out of 10 (or 30%) of committee members disclosed a disability.</w:t>
      </w:r>
    </w:p>
    <w:p w14:paraId="27990F3A" w14:textId="77777777" w:rsidR="008D19CD" w:rsidRPr="008D19CD" w:rsidRDefault="008D19CD" w:rsidP="008D19CD">
      <w:pPr>
        <w:rPr>
          <w:rFonts w:eastAsia="Times New Roman"/>
          <w:szCs w:val="17"/>
        </w:rPr>
      </w:pPr>
      <w:r w:rsidRPr="008D19CD">
        <w:rPr>
          <w:rFonts w:eastAsia="Times New Roman"/>
          <w:b/>
          <w:bCs/>
          <w:szCs w:val="17"/>
        </w:rPr>
        <w:t>Total number</w:t>
      </w:r>
      <w:r w:rsidRPr="008D19CD">
        <w:rPr>
          <w:rFonts w:eastAsia="Times New Roman"/>
          <w:szCs w:val="17"/>
        </w:rPr>
        <w:t xml:space="preserve"> refers to the count of how many there are. Using the same example, the number of committee members who disclosed a disability was three.</w:t>
      </w:r>
    </w:p>
    <w:p w14:paraId="35E9D932" w14:textId="77777777" w:rsidR="008D19CD" w:rsidRPr="008D19CD" w:rsidRDefault="008D19CD" w:rsidP="008D19CD">
      <w:pPr>
        <w:rPr>
          <w:rFonts w:eastAsia="Times New Roman"/>
          <w:szCs w:val="17"/>
        </w:rPr>
      </w:pPr>
      <w:r w:rsidRPr="008D19CD">
        <w:rPr>
          <w:rFonts w:eastAsia="Times New Roman"/>
          <w:szCs w:val="17"/>
        </w:rPr>
        <w:t>The measures assigned to state authorities will be reflected in full or in part within their own DAIP. All measures referencing the ADS are being captured by the ADS reporting processes unless state authorities are also providing data to those same measures.</w:t>
      </w:r>
    </w:p>
    <w:p w14:paraId="673E24AF" w14:textId="77777777" w:rsidR="008D19CD" w:rsidRPr="008D19CD" w:rsidRDefault="008D19CD" w:rsidP="008D19CD">
      <w:pPr>
        <w:rPr>
          <w:rFonts w:eastAsia="Times New Roman"/>
          <w:szCs w:val="17"/>
        </w:rPr>
      </w:pPr>
      <w:r w:rsidRPr="008D19CD">
        <w:rPr>
          <w:rFonts w:eastAsia="Times New Roman"/>
          <w:szCs w:val="17"/>
        </w:rPr>
        <w:t>When measures require further interpretation, state authorities are encouraged to proactively engage with DHS, the State Plan Community of Practice (CoP) and the disability community. This collaboration is critical to clarify expectations, access practical examples and apply best practices.</w:t>
      </w:r>
    </w:p>
    <w:p w14:paraId="56123F64" w14:textId="77777777" w:rsidR="008D19CD" w:rsidRPr="008D19CD" w:rsidRDefault="008D19CD" w:rsidP="008D19CD">
      <w:pPr>
        <w:rPr>
          <w:rFonts w:eastAsia="Times New Roman"/>
          <w:szCs w:val="17"/>
        </w:rPr>
      </w:pPr>
      <w:r w:rsidRPr="008D19CD">
        <w:rPr>
          <w:rFonts w:eastAsia="Times New Roman"/>
          <w:szCs w:val="17"/>
        </w:rPr>
        <w:t>Engaging early and often supports accurate reporting and ensures services and events meet accessibility and inclusion standards. A coordinated approach helps maintain consistency and effectiveness, keeping people with disability central to planning and evaluation of the measures captured within domains. This shared effort will help to ensure alignment across state authorities, reduce duplication and strengthen the overall impact of the State Plan.</w:t>
      </w:r>
    </w:p>
    <w:p w14:paraId="1516B5CC" w14:textId="77777777" w:rsidR="008D19CD" w:rsidRPr="008D19CD" w:rsidRDefault="008D19CD" w:rsidP="008D19CD">
      <w:pPr>
        <w:rPr>
          <w:rFonts w:eastAsia="Times New Roman"/>
          <w:szCs w:val="17"/>
        </w:rPr>
      </w:pPr>
      <w:r w:rsidRPr="008D19CD">
        <w:rPr>
          <w:rFonts w:eastAsia="Times New Roman"/>
          <w:szCs w:val="17"/>
        </w:rPr>
        <w:t>Domain 1: Inclusive environments and communities</w:t>
      </w:r>
    </w:p>
    <w:p w14:paraId="3CA9FDB0" w14:textId="77777777" w:rsidR="008D19CD" w:rsidRDefault="008D19CD">
      <w:pPr>
        <w:spacing w:after="0" w:line="240" w:lineRule="auto"/>
        <w:jc w:val="left"/>
        <w:rPr>
          <w:rFonts w:eastAsia="Times New Roman"/>
          <w:b/>
          <w:bCs/>
          <w:szCs w:val="17"/>
        </w:rPr>
      </w:pPr>
      <w:r>
        <w:rPr>
          <w:rFonts w:eastAsia="Times New Roman"/>
          <w:b/>
          <w:bCs/>
          <w:szCs w:val="17"/>
        </w:rPr>
        <w:br w:type="page"/>
      </w:r>
    </w:p>
    <w:p w14:paraId="23491E1D" w14:textId="1802C0C5" w:rsidR="008D19CD" w:rsidRPr="008D19CD" w:rsidRDefault="008D19CD" w:rsidP="008D19CD">
      <w:pPr>
        <w:rPr>
          <w:rFonts w:eastAsia="Times New Roman"/>
          <w:b/>
          <w:bCs/>
          <w:szCs w:val="17"/>
        </w:rPr>
      </w:pPr>
      <w:r w:rsidRPr="008D19CD">
        <w:rPr>
          <w:rFonts w:eastAsia="Times New Roman"/>
          <w:b/>
          <w:bCs/>
          <w:szCs w:val="17"/>
        </w:rPr>
        <w:lastRenderedPageBreak/>
        <w:t>What We Want: a South Australia Where All People with Disability can Participate as Equal Citizens and Feel Connected to Their Communities.</w:t>
      </w:r>
    </w:p>
    <w:p w14:paraId="4715118E" w14:textId="77777777" w:rsidR="008D19CD" w:rsidRPr="008D19CD" w:rsidRDefault="008D19CD" w:rsidP="008D19CD">
      <w:pPr>
        <w:rPr>
          <w:rFonts w:eastAsia="Times New Roman"/>
          <w:szCs w:val="17"/>
        </w:rPr>
      </w:pPr>
      <w:r w:rsidRPr="008D19CD">
        <w:rPr>
          <w:rFonts w:eastAsia="Times New Roman"/>
          <w:szCs w:val="17"/>
        </w:rPr>
        <w:t>People with disability are ever present in our community but most do not enjoy full participation in it. Inaccessibility continues to limit the rights and freedoms of many people with disability, with some relying fully on carers whose support is essential to access and participation in everyday life. This can be compounded by widespread misconceptions and stereotypes which influence how the community thinks about and treats people with disability. In turn, these misconceptions can be even stronger when disability overlaps with other factors like gender, age or cultural background.</w:t>
      </w:r>
    </w:p>
    <w:p w14:paraId="0E4F5852" w14:textId="77777777" w:rsidR="008D19CD" w:rsidRPr="008D19CD" w:rsidRDefault="008D19CD" w:rsidP="008D19CD">
      <w:pPr>
        <w:rPr>
          <w:rFonts w:eastAsia="Times New Roman"/>
          <w:szCs w:val="17"/>
        </w:rPr>
      </w:pPr>
      <w:r w:rsidRPr="008D19CD">
        <w:rPr>
          <w:rFonts w:eastAsia="Times New Roman"/>
          <w:szCs w:val="17"/>
        </w:rPr>
        <w:t>We want to influence community attitudes to remove discrimination and build a South Australian community that values difference and respects the contributions people with disability make to our communities. This includes ensuring the community itself is fully accessible.</w:t>
      </w:r>
    </w:p>
    <w:p w14:paraId="14FBEC34" w14:textId="77777777" w:rsidR="008D19CD" w:rsidRPr="008D19CD" w:rsidRDefault="008D19CD" w:rsidP="008D19CD">
      <w:pPr>
        <w:rPr>
          <w:rFonts w:eastAsia="Times New Roman"/>
          <w:szCs w:val="17"/>
        </w:rPr>
      </w:pPr>
      <w:r w:rsidRPr="008D19CD">
        <w:rPr>
          <w:rFonts w:eastAsia="Times New Roman"/>
          <w:szCs w:val="17"/>
        </w:rPr>
        <w:t xml:space="preserve">The following outcomes are designed to drive inclusive environments and communities and will guide state authorities’ actions within their Disability Access and Inclusion Plans (DAIP). Visit </w:t>
      </w:r>
      <w:hyperlink r:id="rId277" w:history="1">
        <w:r w:rsidRPr="008D19CD">
          <w:rPr>
            <w:rFonts w:eastAsia="Times New Roman"/>
            <w:color w:val="0000FF"/>
            <w:szCs w:val="17"/>
            <w:u w:val="single"/>
          </w:rPr>
          <w:t>inclusive.sa.gov.au</w:t>
        </w:r>
      </w:hyperlink>
      <w:r w:rsidRPr="008D19CD">
        <w:rPr>
          <w:rFonts w:eastAsia="Times New Roman"/>
          <w:szCs w:val="17"/>
        </w:rPr>
        <w:t xml:space="preserve"> to download each state authority’s DAIP.</w:t>
      </w:r>
    </w:p>
    <w:p w14:paraId="1FA13307" w14:textId="77777777" w:rsidR="008D19CD" w:rsidRPr="008D19CD" w:rsidRDefault="008D19CD" w:rsidP="008D19CD">
      <w:pPr>
        <w:rPr>
          <w:rFonts w:eastAsia="Times New Roman"/>
          <w:szCs w:val="17"/>
        </w:rPr>
      </w:pPr>
      <w:r w:rsidRPr="008D19CD">
        <w:rPr>
          <w:rFonts w:eastAsia="Times New Roman"/>
          <w:szCs w:val="17"/>
        </w:rPr>
        <w:t>Priority area 1: Active participation</w:t>
      </w:r>
    </w:p>
    <w:p w14:paraId="062F4680" w14:textId="77777777" w:rsidR="008D19CD" w:rsidRPr="008D19CD" w:rsidRDefault="008D19CD" w:rsidP="008D19CD">
      <w:pPr>
        <w:rPr>
          <w:rFonts w:eastAsia="Times New Roman"/>
          <w:i/>
          <w:iCs/>
          <w:szCs w:val="17"/>
        </w:rPr>
      </w:pPr>
      <w:r w:rsidRPr="008D19CD">
        <w:rPr>
          <w:rFonts w:eastAsia="Times New Roman"/>
          <w:i/>
          <w:iCs/>
          <w:szCs w:val="17"/>
        </w:rPr>
        <w:t>Outcome 1</w:t>
      </w:r>
    </w:p>
    <w:p w14:paraId="5EB03D64" w14:textId="77777777" w:rsidR="008D19CD" w:rsidRPr="008D19CD" w:rsidRDefault="008D19CD" w:rsidP="008D19CD">
      <w:pPr>
        <w:rPr>
          <w:rFonts w:eastAsia="Times New Roman"/>
          <w:szCs w:val="17"/>
        </w:rPr>
      </w:pPr>
      <w:r w:rsidRPr="008D19CD">
        <w:rPr>
          <w:rFonts w:eastAsia="Times New Roman"/>
          <w:szCs w:val="17"/>
        </w:rPr>
        <w:t>People with disability are active participants in accessible and inclusive communities.</w:t>
      </w:r>
    </w:p>
    <w:p w14:paraId="2A301B91" w14:textId="77777777" w:rsidR="008D19CD" w:rsidRPr="008D19CD" w:rsidRDefault="008D19CD" w:rsidP="008D19CD">
      <w:pPr>
        <w:rPr>
          <w:rFonts w:eastAsia="Times New Roman"/>
          <w:i/>
          <w:iCs/>
          <w:szCs w:val="17"/>
        </w:rPr>
      </w:pPr>
      <w:r w:rsidRPr="008D19CD">
        <w:rPr>
          <w:rFonts w:eastAsia="Times New Roman"/>
          <w:i/>
          <w:iCs/>
          <w:szCs w:val="17"/>
        </w:rPr>
        <w:t>Measure 1.1.1</w:t>
      </w:r>
    </w:p>
    <w:p w14:paraId="129E5548" w14:textId="77777777" w:rsidR="008D19CD" w:rsidRPr="008D19CD" w:rsidRDefault="008D19CD" w:rsidP="008D19CD">
      <w:pPr>
        <w:rPr>
          <w:rFonts w:eastAsia="Times New Roman"/>
          <w:szCs w:val="17"/>
        </w:rPr>
      </w:pPr>
      <w:r w:rsidRPr="008D19CD">
        <w:rPr>
          <w:rFonts w:eastAsia="Times New Roman"/>
          <w:szCs w:val="17"/>
        </w:rPr>
        <w:t>Proportion of people with disability participating in cultural, recreational and sporting activities (source: ADS).</w:t>
      </w:r>
    </w:p>
    <w:p w14:paraId="5F3A6932" w14:textId="77777777" w:rsidR="008D19CD" w:rsidRPr="008D19CD" w:rsidRDefault="008D19CD" w:rsidP="008D19CD">
      <w:pPr>
        <w:rPr>
          <w:rFonts w:eastAsia="Times New Roman"/>
          <w:i/>
          <w:iCs/>
          <w:szCs w:val="17"/>
        </w:rPr>
      </w:pPr>
      <w:r w:rsidRPr="008D19CD">
        <w:rPr>
          <w:rFonts w:eastAsia="Times New Roman"/>
          <w:i/>
          <w:iCs/>
          <w:szCs w:val="17"/>
        </w:rPr>
        <w:t>Measure 1.1.2</w:t>
      </w:r>
    </w:p>
    <w:p w14:paraId="5EE28C49" w14:textId="77777777" w:rsidR="008D19CD" w:rsidRPr="008D19CD" w:rsidRDefault="008D19CD" w:rsidP="008D19CD">
      <w:pPr>
        <w:rPr>
          <w:rFonts w:eastAsia="Times New Roman"/>
          <w:szCs w:val="17"/>
        </w:rPr>
      </w:pPr>
      <w:r w:rsidRPr="008D19CD">
        <w:rPr>
          <w:rFonts w:eastAsia="Times New Roman"/>
          <w:szCs w:val="17"/>
        </w:rPr>
        <w:t>Total number of inclusive and accessible events, both internal and external, with 50+ people following best practice event management principles. For example, the Accessible and Inclusive Community Events Toolkit.</w:t>
      </w:r>
    </w:p>
    <w:p w14:paraId="342CC6A7"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34CDD15B" w14:textId="77777777" w:rsidR="008D19CD" w:rsidRPr="008D19CD" w:rsidRDefault="008D19CD" w:rsidP="008D19CD">
      <w:pPr>
        <w:rPr>
          <w:rFonts w:eastAsia="Times New Roman"/>
          <w:i/>
          <w:iCs/>
          <w:szCs w:val="17"/>
        </w:rPr>
      </w:pPr>
      <w:r w:rsidRPr="008D19CD">
        <w:rPr>
          <w:rFonts w:eastAsia="Times New Roman"/>
          <w:i/>
          <w:iCs/>
          <w:szCs w:val="17"/>
        </w:rPr>
        <w:t>Measure 1.1.3</w:t>
      </w:r>
    </w:p>
    <w:p w14:paraId="56E55DFC" w14:textId="77777777" w:rsidR="008D19CD" w:rsidRPr="008D19CD" w:rsidRDefault="008D19CD" w:rsidP="008D19CD">
      <w:pPr>
        <w:rPr>
          <w:rFonts w:eastAsia="Times New Roman"/>
          <w:spacing w:val="-4"/>
          <w:szCs w:val="17"/>
        </w:rPr>
      </w:pPr>
      <w:r w:rsidRPr="008D19CD">
        <w:rPr>
          <w:rFonts w:eastAsia="Times New Roman"/>
          <w:spacing w:val="-4"/>
          <w:szCs w:val="17"/>
        </w:rPr>
        <w:t>Total number of facilities managed by Office for Recreation, Sport and Racing (ORSR) that have improved accessibility and inclusive opportunities, and the number of people with disability participating in ORSR programs, such as Para-Hub, Sports Vouchers Plus and VACSWIM.</w:t>
      </w:r>
    </w:p>
    <w:p w14:paraId="385362CA" w14:textId="77777777" w:rsidR="008D19CD" w:rsidRPr="008D19CD" w:rsidRDefault="008D19CD" w:rsidP="008D19CD">
      <w:pPr>
        <w:rPr>
          <w:rFonts w:eastAsia="Times New Roman"/>
          <w:szCs w:val="17"/>
        </w:rPr>
      </w:pPr>
      <w:r w:rsidRPr="008D19CD">
        <w:rPr>
          <w:rFonts w:eastAsia="Times New Roman"/>
          <w:szCs w:val="17"/>
        </w:rPr>
        <w:t>State authority: Office for Recreation, Sport and Racing</w:t>
      </w:r>
    </w:p>
    <w:p w14:paraId="7201BBD7" w14:textId="77777777" w:rsidR="008D19CD" w:rsidRPr="008D19CD" w:rsidRDefault="008D19CD" w:rsidP="008D19CD">
      <w:pPr>
        <w:rPr>
          <w:rFonts w:eastAsia="Times New Roman"/>
          <w:szCs w:val="17"/>
        </w:rPr>
      </w:pPr>
      <w:r w:rsidRPr="008D19CD">
        <w:rPr>
          <w:rFonts w:eastAsia="Times New Roman"/>
          <w:szCs w:val="17"/>
        </w:rPr>
        <w:t>Priority area 2: Inclusive communities and attitudes</w:t>
      </w:r>
    </w:p>
    <w:p w14:paraId="47902CDA" w14:textId="77777777" w:rsidR="008D19CD" w:rsidRPr="008D19CD" w:rsidRDefault="008D19CD" w:rsidP="008D19CD">
      <w:pPr>
        <w:rPr>
          <w:rFonts w:eastAsia="Times New Roman"/>
          <w:i/>
          <w:iCs/>
          <w:szCs w:val="17"/>
        </w:rPr>
      </w:pPr>
      <w:r w:rsidRPr="008D19CD">
        <w:rPr>
          <w:rFonts w:eastAsia="Times New Roman"/>
          <w:i/>
          <w:iCs/>
          <w:szCs w:val="17"/>
        </w:rPr>
        <w:t>Outcome 2</w:t>
      </w:r>
    </w:p>
    <w:p w14:paraId="011589E1" w14:textId="77777777" w:rsidR="008D19CD" w:rsidRPr="008D19CD" w:rsidRDefault="008D19CD" w:rsidP="008D19CD">
      <w:pPr>
        <w:rPr>
          <w:rFonts w:eastAsia="Times New Roman"/>
          <w:szCs w:val="17"/>
        </w:rPr>
      </w:pPr>
      <w:r w:rsidRPr="008D19CD">
        <w:rPr>
          <w:rFonts w:eastAsia="Times New Roman"/>
          <w:szCs w:val="17"/>
        </w:rPr>
        <w:t>People with disability are respected and included in their communities, where inclusive attitudes and behaviours are widely demonstrated.</w:t>
      </w:r>
    </w:p>
    <w:p w14:paraId="325738AF" w14:textId="77777777" w:rsidR="008D19CD" w:rsidRPr="008D19CD" w:rsidRDefault="008D19CD" w:rsidP="008D19CD">
      <w:pPr>
        <w:rPr>
          <w:rFonts w:eastAsia="Times New Roman"/>
          <w:i/>
          <w:iCs/>
          <w:szCs w:val="17"/>
        </w:rPr>
      </w:pPr>
      <w:r w:rsidRPr="008D19CD">
        <w:rPr>
          <w:rFonts w:eastAsia="Times New Roman"/>
          <w:i/>
          <w:iCs/>
          <w:szCs w:val="17"/>
        </w:rPr>
        <w:t>Measure 1.2.1</w:t>
      </w:r>
    </w:p>
    <w:p w14:paraId="5726510A" w14:textId="77777777" w:rsidR="008D19CD" w:rsidRPr="008D19CD" w:rsidRDefault="008D19CD" w:rsidP="008D19CD">
      <w:pPr>
        <w:rPr>
          <w:rFonts w:eastAsia="Times New Roman"/>
          <w:szCs w:val="17"/>
        </w:rPr>
      </w:pPr>
      <w:r w:rsidRPr="008D19CD">
        <w:rPr>
          <w:rFonts w:eastAsia="Times New Roman"/>
          <w:szCs w:val="17"/>
        </w:rPr>
        <w:t>Total number of initiatives undertaken to promote disability inclusion and improve community attitudes towards people with disability in the community.</w:t>
      </w:r>
    </w:p>
    <w:p w14:paraId="73FFCC33"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3749C7B3" w14:textId="77777777" w:rsidR="008D19CD" w:rsidRPr="008D19CD" w:rsidRDefault="008D19CD" w:rsidP="008D19CD">
      <w:pPr>
        <w:rPr>
          <w:rFonts w:eastAsia="Times New Roman"/>
          <w:i/>
          <w:iCs/>
          <w:szCs w:val="17"/>
        </w:rPr>
      </w:pPr>
      <w:r w:rsidRPr="008D19CD">
        <w:rPr>
          <w:rFonts w:eastAsia="Times New Roman"/>
          <w:i/>
          <w:iCs/>
          <w:szCs w:val="17"/>
        </w:rPr>
        <w:t>Measure 1.2.2</w:t>
      </w:r>
    </w:p>
    <w:p w14:paraId="247EEB95" w14:textId="77777777" w:rsidR="008D19CD" w:rsidRPr="008D19CD" w:rsidRDefault="008D19CD" w:rsidP="008D19CD">
      <w:pPr>
        <w:rPr>
          <w:rFonts w:eastAsia="Times New Roman"/>
          <w:szCs w:val="17"/>
        </w:rPr>
      </w:pPr>
      <w:r w:rsidRPr="008D19CD">
        <w:rPr>
          <w:rFonts w:eastAsia="Times New Roman"/>
          <w:szCs w:val="17"/>
        </w:rPr>
        <w:t>Proportion of people with disability who report feeling valued and respected in their community (source: ADS).</w:t>
      </w:r>
    </w:p>
    <w:p w14:paraId="34206688" w14:textId="77777777" w:rsidR="008D19CD" w:rsidRPr="008D19CD" w:rsidRDefault="008D19CD" w:rsidP="008D19CD">
      <w:pPr>
        <w:rPr>
          <w:rFonts w:eastAsia="Times New Roman"/>
          <w:i/>
          <w:iCs/>
          <w:szCs w:val="17"/>
        </w:rPr>
      </w:pPr>
      <w:r w:rsidRPr="008D19CD">
        <w:rPr>
          <w:rFonts w:eastAsia="Times New Roman"/>
          <w:i/>
          <w:iCs/>
          <w:szCs w:val="17"/>
        </w:rPr>
        <w:t>Measure 1.2.3</w:t>
      </w:r>
    </w:p>
    <w:p w14:paraId="5A0A3A1C" w14:textId="77777777" w:rsidR="008D19CD" w:rsidRPr="008D19CD" w:rsidRDefault="008D19CD" w:rsidP="008D19CD">
      <w:pPr>
        <w:rPr>
          <w:rFonts w:eastAsia="Times New Roman"/>
          <w:szCs w:val="17"/>
        </w:rPr>
      </w:pPr>
      <w:r w:rsidRPr="008D19CD">
        <w:rPr>
          <w:rFonts w:eastAsia="Times New Roman"/>
          <w:szCs w:val="17"/>
        </w:rPr>
        <w:t>Total number of actions embedded in state authorities’ DAIP working towards Closing the Gap targets.</w:t>
      </w:r>
    </w:p>
    <w:p w14:paraId="556421AE"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7D6D046C" w14:textId="77777777" w:rsidR="008D19CD" w:rsidRPr="008D19CD" w:rsidRDefault="008D19CD" w:rsidP="008D19CD">
      <w:pPr>
        <w:rPr>
          <w:rFonts w:eastAsia="Times New Roman"/>
          <w:szCs w:val="17"/>
        </w:rPr>
      </w:pPr>
      <w:r w:rsidRPr="008D19CD">
        <w:rPr>
          <w:rFonts w:eastAsia="Times New Roman"/>
          <w:szCs w:val="17"/>
        </w:rPr>
        <w:t xml:space="preserve">Priority area 3: Universal Design </w:t>
      </w:r>
      <w:r w:rsidRPr="008D19CD">
        <w:rPr>
          <w:rFonts w:eastAsia="Times New Roman"/>
          <w:szCs w:val="17"/>
          <w:vertAlign w:val="superscript"/>
        </w:rPr>
        <w:footnoteReference w:id="13"/>
      </w:r>
    </w:p>
    <w:p w14:paraId="5A4F98DF" w14:textId="77777777" w:rsidR="008D19CD" w:rsidRPr="008D19CD" w:rsidRDefault="008D19CD" w:rsidP="008D19CD">
      <w:pPr>
        <w:rPr>
          <w:rFonts w:eastAsia="Times New Roman"/>
          <w:i/>
          <w:iCs/>
          <w:szCs w:val="17"/>
        </w:rPr>
      </w:pPr>
      <w:r w:rsidRPr="008D19CD">
        <w:rPr>
          <w:rFonts w:eastAsia="Times New Roman"/>
          <w:i/>
          <w:iCs/>
          <w:szCs w:val="17"/>
        </w:rPr>
        <w:t>Outcome 3</w:t>
      </w:r>
    </w:p>
    <w:p w14:paraId="3AA883BF" w14:textId="77777777" w:rsidR="008D19CD" w:rsidRPr="008D19CD" w:rsidRDefault="008D19CD" w:rsidP="008D19CD">
      <w:pPr>
        <w:rPr>
          <w:rFonts w:eastAsia="Times New Roman"/>
          <w:i/>
          <w:iCs/>
          <w:szCs w:val="17"/>
        </w:rPr>
      </w:pPr>
      <w:r w:rsidRPr="008D19CD">
        <w:rPr>
          <w:rFonts w:eastAsia="Times New Roman"/>
          <w:i/>
          <w:iCs/>
          <w:szCs w:val="17"/>
        </w:rPr>
        <w:t>Everyone in South Australia can access and enjoy inclusive and accessible natural and built environments.</w:t>
      </w:r>
    </w:p>
    <w:p w14:paraId="6DD2FCF7" w14:textId="77777777" w:rsidR="008D19CD" w:rsidRPr="008D19CD" w:rsidRDefault="008D19CD" w:rsidP="008D19CD">
      <w:pPr>
        <w:rPr>
          <w:rFonts w:eastAsia="Times New Roman"/>
          <w:i/>
          <w:iCs/>
          <w:szCs w:val="17"/>
        </w:rPr>
      </w:pPr>
      <w:r w:rsidRPr="008D19CD">
        <w:rPr>
          <w:rFonts w:eastAsia="Times New Roman"/>
          <w:i/>
          <w:iCs/>
          <w:szCs w:val="17"/>
        </w:rPr>
        <w:t>Measure 1.3.1</w:t>
      </w:r>
    </w:p>
    <w:p w14:paraId="523F93FA" w14:textId="77777777" w:rsidR="008D19CD" w:rsidRPr="008D19CD" w:rsidRDefault="008D19CD" w:rsidP="008D19CD">
      <w:pPr>
        <w:rPr>
          <w:rFonts w:eastAsia="Times New Roman"/>
          <w:szCs w:val="17"/>
        </w:rPr>
      </w:pPr>
      <w:r w:rsidRPr="008D19CD">
        <w:rPr>
          <w:rFonts w:eastAsia="Times New Roman"/>
          <w:szCs w:val="17"/>
        </w:rPr>
        <w:t>Proportion of people with disability who have difficulty accessing government buildings (source: ADS).</w:t>
      </w:r>
    </w:p>
    <w:p w14:paraId="6C1CCE96" w14:textId="77777777" w:rsidR="008D19CD" w:rsidRPr="008D19CD" w:rsidRDefault="008D19CD" w:rsidP="008D19CD">
      <w:pPr>
        <w:rPr>
          <w:rFonts w:eastAsia="Times New Roman"/>
          <w:i/>
          <w:iCs/>
          <w:szCs w:val="17"/>
        </w:rPr>
      </w:pPr>
      <w:r w:rsidRPr="008D19CD">
        <w:rPr>
          <w:rFonts w:eastAsia="Times New Roman"/>
          <w:i/>
          <w:iCs/>
          <w:szCs w:val="17"/>
        </w:rPr>
        <w:t>Measure 1.3.2</w:t>
      </w:r>
    </w:p>
    <w:p w14:paraId="282E387F" w14:textId="77777777" w:rsidR="008D19CD" w:rsidRPr="008D19CD" w:rsidRDefault="008D19CD" w:rsidP="008D19CD">
      <w:pPr>
        <w:rPr>
          <w:rFonts w:eastAsia="Times New Roman"/>
          <w:szCs w:val="17"/>
        </w:rPr>
      </w:pPr>
      <w:r w:rsidRPr="008D19CD">
        <w:rPr>
          <w:rFonts w:eastAsia="Times New Roman"/>
          <w:szCs w:val="17"/>
        </w:rPr>
        <w:t>Total number of public-facing government buildings, spaces, play spaces and infrastructure that are modified to improve accessibility. For example, by adding signage or widening doors, and the total number of new developments that incorporate Universal Design.</w:t>
      </w:r>
    </w:p>
    <w:p w14:paraId="103A181D"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1FBBB7F3" w14:textId="77777777" w:rsidR="008D19CD" w:rsidRPr="008D19CD" w:rsidRDefault="008D19CD" w:rsidP="008D19CD">
      <w:pPr>
        <w:rPr>
          <w:rFonts w:eastAsia="Times New Roman"/>
          <w:i/>
          <w:iCs/>
          <w:szCs w:val="17"/>
        </w:rPr>
      </w:pPr>
      <w:r w:rsidRPr="008D19CD">
        <w:rPr>
          <w:rFonts w:eastAsia="Times New Roman"/>
          <w:i/>
          <w:iCs/>
          <w:szCs w:val="17"/>
        </w:rPr>
        <w:t>Measure 1.3.3</w:t>
      </w:r>
    </w:p>
    <w:p w14:paraId="7F8CAD94" w14:textId="77777777" w:rsidR="008D19CD" w:rsidRPr="008D19CD" w:rsidRDefault="008D19CD" w:rsidP="008D19CD">
      <w:pPr>
        <w:rPr>
          <w:rFonts w:eastAsia="Times New Roman"/>
          <w:szCs w:val="17"/>
        </w:rPr>
      </w:pPr>
      <w:r w:rsidRPr="008D19CD">
        <w:rPr>
          <w:rFonts w:eastAsia="Times New Roman"/>
          <w:szCs w:val="17"/>
        </w:rPr>
        <w:t>Proportion of national parks, conservation parks, recreation parks, beaches and playgrounds (within these areas) that are built or modified to improve accessibility.</w:t>
      </w:r>
    </w:p>
    <w:p w14:paraId="52EC11D5" w14:textId="77777777" w:rsidR="008D19CD" w:rsidRPr="008D19CD" w:rsidRDefault="008D19CD" w:rsidP="008D19CD">
      <w:pPr>
        <w:rPr>
          <w:rFonts w:eastAsia="Times New Roman"/>
          <w:szCs w:val="17"/>
        </w:rPr>
      </w:pPr>
      <w:r w:rsidRPr="008D19CD">
        <w:rPr>
          <w:rFonts w:eastAsia="Times New Roman"/>
          <w:szCs w:val="17"/>
        </w:rPr>
        <w:t>State authority: Department for Environment and Water and local councils</w:t>
      </w:r>
    </w:p>
    <w:p w14:paraId="4574F703" w14:textId="77777777" w:rsidR="008D19CD" w:rsidRPr="008D19CD" w:rsidRDefault="008D19CD" w:rsidP="008D19CD">
      <w:pPr>
        <w:rPr>
          <w:rFonts w:eastAsia="Times New Roman"/>
          <w:i/>
          <w:iCs/>
          <w:szCs w:val="17"/>
        </w:rPr>
      </w:pPr>
      <w:r w:rsidRPr="008D19CD">
        <w:rPr>
          <w:rFonts w:eastAsia="Times New Roman"/>
          <w:i/>
          <w:iCs/>
          <w:szCs w:val="17"/>
        </w:rPr>
        <w:t>Measure 1.3.4</w:t>
      </w:r>
    </w:p>
    <w:p w14:paraId="333517BD" w14:textId="77777777" w:rsidR="008D19CD" w:rsidRPr="008D19CD" w:rsidRDefault="008D19CD" w:rsidP="008D19CD">
      <w:pPr>
        <w:rPr>
          <w:rFonts w:eastAsia="Times New Roman"/>
          <w:szCs w:val="17"/>
        </w:rPr>
      </w:pPr>
      <w:r w:rsidRPr="008D19CD">
        <w:rPr>
          <w:rFonts w:eastAsia="Times New Roman"/>
          <w:szCs w:val="17"/>
        </w:rPr>
        <w:t>Proportion of public transport infrastructure built or modified to include enhanced accessibility features.</w:t>
      </w:r>
    </w:p>
    <w:p w14:paraId="16DC8BD9" w14:textId="77777777" w:rsidR="008D19CD" w:rsidRPr="008D19CD" w:rsidRDefault="008D19CD" w:rsidP="008D19CD">
      <w:pPr>
        <w:rPr>
          <w:rFonts w:eastAsia="Times New Roman"/>
          <w:szCs w:val="17"/>
        </w:rPr>
      </w:pPr>
      <w:r w:rsidRPr="008D19CD">
        <w:rPr>
          <w:rFonts w:eastAsia="Times New Roman"/>
          <w:szCs w:val="17"/>
        </w:rPr>
        <w:t>State authority: Department for Infrastructure and Transport</w:t>
      </w:r>
    </w:p>
    <w:p w14:paraId="25EDC3AC" w14:textId="77777777" w:rsidR="008D19CD" w:rsidRPr="008D19CD" w:rsidRDefault="008D19CD" w:rsidP="008D19CD">
      <w:pPr>
        <w:rPr>
          <w:rFonts w:eastAsia="Times New Roman"/>
          <w:szCs w:val="17"/>
        </w:rPr>
      </w:pPr>
      <w:r w:rsidRPr="008D19CD">
        <w:rPr>
          <w:rFonts w:eastAsia="Times New Roman"/>
          <w:szCs w:val="17"/>
        </w:rPr>
        <w:t>Priority area 4: Accessible facilities</w:t>
      </w:r>
    </w:p>
    <w:p w14:paraId="2D786E09" w14:textId="77777777" w:rsidR="008D19CD" w:rsidRPr="008D19CD" w:rsidRDefault="008D19CD" w:rsidP="008D19CD">
      <w:pPr>
        <w:rPr>
          <w:rFonts w:eastAsia="Times New Roman"/>
          <w:i/>
          <w:iCs/>
          <w:szCs w:val="17"/>
        </w:rPr>
      </w:pPr>
      <w:r w:rsidRPr="008D19CD">
        <w:rPr>
          <w:rFonts w:eastAsia="Times New Roman"/>
          <w:i/>
          <w:iCs/>
          <w:szCs w:val="17"/>
        </w:rPr>
        <w:t>Outcome 4</w:t>
      </w:r>
    </w:p>
    <w:p w14:paraId="00220CDD" w14:textId="77777777" w:rsidR="008D19CD" w:rsidRPr="008D19CD" w:rsidRDefault="008D19CD" w:rsidP="008D19CD">
      <w:pPr>
        <w:rPr>
          <w:rFonts w:eastAsia="Times New Roman"/>
          <w:szCs w:val="17"/>
        </w:rPr>
      </w:pPr>
      <w:r w:rsidRPr="008D19CD">
        <w:rPr>
          <w:rFonts w:eastAsia="Times New Roman"/>
          <w:szCs w:val="17"/>
        </w:rPr>
        <w:t>People with disability can access public toilet facilities that meet their needs when out in the community.</w:t>
      </w:r>
    </w:p>
    <w:p w14:paraId="3554399A" w14:textId="77777777" w:rsidR="008D19CD" w:rsidRPr="008D19CD" w:rsidRDefault="008D19CD" w:rsidP="008D19CD">
      <w:pPr>
        <w:rPr>
          <w:rFonts w:eastAsia="Times New Roman"/>
          <w:i/>
          <w:iCs/>
          <w:szCs w:val="17"/>
        </w:rPr>
      </w:pPr>
      <w:r w:rsidRPr="008D19CD">
        <w:rPr>
          <w:rFonts w:eastAsia="Times New Roman"/>
          <w:i/>
          <w:iCs/>
          <w:szCs w:val="17"/>
        </w:rPr>
        <w:lastRenderedPageBreak/>
        <w:t>Measure 1.4.1</w:t>
      </w:r>
    </w:p>
    <w:p w14:paraId="7B328F14" w14:textId="77777777" w:rsidR="008D19CD" w:rsidRPr="008D19CD" w:rsidRDefault="008D19CD" w:rsidP="008D19CD">
      <w:pPr>
        <w:rPr>
          <w:rFonts w:eastAsia="Times New Roman"/>
          <w:szCs w:val="17"/>
        </w:rPr>
      </w:pPr>
      <w:r w:rsidRPr="008D19CD">
        <w:rPr>
          <w:rFonts w:eastAsia="Times New Roman"/>
          <w:szCs w:val="17"/>
        </w:rPr>
        <w:t>Proportion of public toilet facilities across South Australia that meet accessibility standards and/or a designated Changing Places facility.</w:t>
      </w:r>
    </w:p>
    <w:p w14:paraId="5DA7DB17" w14:textId="77777777" w:rsidR="008D19CD" w:rsidRPr="008D19CD" w:rsidRDefault="008D19CD" w:rsidP="008D19CD">
      <w:pPr>
        <w:rPr>
          <w:rFonts w:eastAsia="Times New Roman"/>
          <w:szCs w:val="17"/>
        </w:rPr>
      </w:pPr>
      <w:r w:rsidRPr="008D19CD">
        <w:rPr>
          <w:rFonts w:eastAsia="Times New Roman"/>
          <w:szCs w:val="17"/>
        </w:rPr>
        <w:t>State authority: Department for Environment and Water and local councils</w:t>
      </w:r>
    </w:p>
    <w:p w14:paraId="0B8CDFB2" w14:textId="77777777" w:rsidR="008D19CD" w:rsidRPr="008D19CD" w:rsidRDefault="008D19CD" w:rsidP="008D19CD">
      <w:pPr>
        <w:rPr>
          <w:rFonts w:eastAsia="Times New Roman"/>
          <w:szCs w:val="17"/>
        </w:rPr>
      </w:pPr>
      <w:r w:rsidRPr="008D19CD">
        <w:rPr>
          <w:rFonts w:eastAsia="Times New Roman"/>
          <w:szCs w:val="17"/>
        </w:rPr>
        <w:t>Priority area 5: Communications and information</w:t>
      </w:r>
    </w:p>
    <w:p w14:paraId="366E5714" w14:textId="77777777" w:rsidR="008D19CD" w:rsidRPr="008D19CD" w:rsidRDefault="008D19CD" w:rsidP="008D19CD">
      <w:pPr>
        <w:rPr>
          <w:rFonts w:eastAsia="Times New Roman"/>
          <w:i/>
          <w:iCs/>
          <w:szCs w:val="17"/>
        </w:rPr>
      </w:pPr>
      <w:r w:rsidRPr="008D19CD">
        <w:rPr>
          <w:rFonts w:eastAsia="Times New Roman"/>
          <w:i/>
          <w:iCs/>
          <w:szCs w:val="17"/>
        </w:rPr>
        <w:t>Outcome 5</w:t>
      </w:r>
    </w:p>
    <w:p w14:paraId="420F6292" w14:textId="77777777" w:rsidR="008D19CD" w:rsidRPr="008D19CD" w:rsidRDefault="008D19CD" w:rsidP="008D19CD">
      <w:pPr>
        <w:rPr>
          <w:rFonts w:eastAsia="Times New Roman"/>
          <w:szCs w:val="17"/>
        </w:rPr>
      </w:pPr>
      <w:r w:rsidRPr="008D19CD">
        <w:rPr>
          <w:rFonts w:eastAsia="Times New Roman"/>
          <w:szCs w:val="17"/>
        </w:rPr>
        <w:t>People with disability can find information they need in the format they need.</w:t>
      </w:r>
    </w:p>
    <w:p w14:paraId="63455FBE" w14:textId="77777777" w:rsidR="008D19CD" w:rsidRPr="008D19CD" w:rsidRDefault="008D19CD" w:rsidP="008D19CD">
      <w:pPr>
        <w:rPr>
          <w:rFonts w:eastAsia="Times New Roman"/>
          <w:i/>
          <w:iCs/>
          <w:szCs w:val="17"/>
        </w:rPr>
      </w:pPr>
      <w:r w:rsidRPr="008D19CD">
        <w:rPr>
          <w:rFonts w:eastAsia="Times New Roman"/>
          <w:i/>
          <w:iCs/>
          <w:szCs w:val="17"/>
        </w:rPr>
        <w:t>Measure 1.5.1</w:t>
      </w:r>
    </w:p>
    <w:p w14:paraId="7776DAA8" w14:textId="77777777" w:rsidR="008D19CD" w:rsidRPr="008D19CD" w:rsidRDefault="008D19CD" w:rsidP="008D19CD">
      <w:pPr>
        <w:rPr>
          <w:rFonts w:eastAsia="Times New Roman"/>
          <w:szCs w:val="17"/>
        </w:rPr>
      </w:pPr>
      <w:r w:rsidRPr="008D19CD">
        <w:rPr>
          <w:rFonts w:eastAsia="Times New Roman"/>
          <w:szCs w:val="17"/>
        </w:rPr>
        <w:t>Total number of resources or materials that have been developed in accessible formats. For example, websites that meet Web Content Accessibility Guidelines (WCAG) 2.2 level AA accessibility standard or above, Auslan translations and Easy Read documents.</w:t>
      </w:r>
    </w:p>
    <w:p w14:paraId="25AF48AF"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5084198C" w14:textId="77777777" w:rsidR="008D19CD" w:rsidRPr="008D19CD" w:rsidRDefault="008D19CD" w:rsidP="008D19CD">
      <w:pPr>
        <w:rPr>
          <w:rFonts w:eastAsia="Times New Roman"/>
          <w:i/>
          <w:iCs/>
          <w:szCs w:val="17"/>
        </w:rPr>
      </w:pPr>
      <w:r w:rsidRPr="008D19CD">
        <w:rPr>
          <w:rFonts w:eastAsia="Times New Roman"/>
          <w:i/>
          <w:iCs/>
          <w:szCs w:val="17"/>
        </w:rPr>
        <w:t>Measure 1.5.2</w:t>
      </w:r>
    </w:p>
    <w:p w14:paraId="76D4DDA2" w14:textId="77777777" w:rsidR="008D19CD" w:rsidRPr="008D19CD" w:rsidRDefault="008D19CD" w:rsidP="008D19CD">
      <w:pPr>
        <w:rPr>
          <w:rFonts w:eastAsia="Times New Roman"/>
          <w:szCs w:val="17"/>
        </w:rPr>
      </w:pPr>
      <w:r w:rsidRPr="008D19CD">
        <w:rPr>
          <w:rFonts w:eastAsia="Times New Roman"/>
          <w:szCs w:val="17"/>
        </w:rPr>
        <w:t>Total number of Auslan, assistive listening devices, and augmentative and alternative communication services provided to meet support needs, including at emergency presentations. For example, during hospital emergencies, crisis services, bushfires or floods, where timely communication support is essential.</w:t>
      </w:r>
    </w:p>
    <w:p w14:paraId="5F477E85" w14:textId="77777777" w:rsidR="008D19CD" w:rsidRPr="008D19CD" w:rsidRDefault="008D19CD" w:rsidP="008D19CD">
      <w:pPr>
        <w:rPr>
          <w:rFonts w:eastAsia="Times New Roman"/>
          <w:szCs w:val="17"/>
        </w:rPr>
      </w:pPr>
      <w:r w:rsidRPr="008D19CD">
        <w:rPr>
          <w:rFonts w:eastAsia="Times New Roman"/>
          <w:szCs w:val="17"/>
        </w:rPr>
        <w:t>State authority: All state government agencies</w:t>
      </w:r>
    </w:p>
    <w:p w14:paraId="54CD9918" w14:textId="77777777" w:rsidR="008D19CD" w:rsidRPr="008D19CD" w:rsidRDefault="008D19CD" w:rsidP="008D19CD">
      <w:pPr>
        <w:rPr>
          <w:rFonts w:eastAsia="Times New Roman"/>
          <w:szCs w:val="17"/>
        </w:rPr>
      </w:pPr>
      <w:r w:rsidRPr="008D19CD">
        <w:rPr>
          <w:rFonts w:eastAsia="Times New Roman"/>
          <w:szCs w:val="17"/>
        </w:rPr>
        <w:t>Priority area 6: Transportation</w:t>
      </w:r>
    </w:p>
    <w:p w14:paraId="6E771352" w14:textId="77777777" w:rsidR="008D19CD" w:rsidRPr="008D19CD" w:rsidRDefault="008D19CD" w:rsidP="008D19CD">
      <w:pPr>
        <w:rPr>
          <w:rFonts w:eastAsia="Times New Roman"/>
          <w:i/>
          <w:iCs/>
          <w:szCs w:val="17"/>
        </w:rPr>
      </w:pPr>
      <w:r w:rsidRPr="008D19CD">
        <w:rPr>
          <w:rFonts w:eastAsia="Times New Roman"/>
          <w:i/>
          <w:iCs/>
          <w:szCs w:val="17"/>
        </w:rPr>
        <w:t>Outcome 6</w:t>
      </w:r>
    </w:p>
    <w:p w14:paraId="692D1651" w14:textId="77777777" w:rsidR="008D19CD" w:rsidRPr="008D19CD" w:rsidRDefault="008D19CD" w:rsidP="008D19CD">
      <w:pPr>
        <w:rPr>
          <w:rFonts w:eastAsia="Times New Roman"/>
          <w:szCs w:val="17"/>
        </w:rPr>
      </w:pPr>
      <w:r w:rsidRPr="008D19CD">
        <w:rPr>
          <w:rFonts w:eastAsia="Times New Roman"/>
          <w:szCs w:val="17"/>
        </w:rPr>
        <w:t>People with disability can get to where they need to go safely.</w:t>
      </w:r>
    </w:p>
    <w:p w14:paraId="01BE0010" w14:textId="77777777" w:rsidR="008D19CD" w:rsidRPr="008D19CD" w:rsidRDefault="008D19CD" w:rsidP="008D19CD">
      <w:pPr>
        <w:rPr>
          <w:rFonts w:eastAsia="Times New Roman"/>
          <w:i/>
          <w:iCs/>
          <w:szCs w:val="17"/>
        </w:rPr>
      </w:pPr>
      <w:r w:rsidRPr="008D19CD">
        <w:rPr>
          <w:rFonts w:eastAsia="Times New Roman"/>
          <w:i/>
          <w:iCs/>
          <w:szCs w:val="17"/>
        </w:rPr>
        <w:t>Measure 1.6.1</w:t>
      </w:r>
    </w:p>
    <w:p w14:paraId="71152918" w14:textId="77777777" w:rsidR="008D19CD" w:rsidRPr="008D19CD" w:rsidRDefault="008D19CD" w:rsidP="008D19CD">
      <w:pPr>
        <w:rPr>
          <w:rFonts w:eastAsia="Times New Roman"/>
          <w:szCs w:val="17"/>
        </w:rPr>
      </w:pPr>
      <w:r w:rsidRPr="008D19CD">
        <w:rPr>
          <w:rFonts w:eastAsia="Times New Roman"/>
          <w:szCs w:val="17"/>
        </w:rPr>
        <w:t>Proportion of people with disability who can use all forms of public transport with no difficulty (source: ADS).</w:t>
      </w:r>
    </w:p>
    <w:p w14:paraId="53D68245" w14:textId="77777777" w:rsidR="008D19CD" w:rsidRPr="008D19CD" w:rsidRDefault="008D19CD" w:rsidP="008D19CD">
      <w:pPr>
        <w:rPr>
          <w:rFonts w:eastAsia="Times New Roman"/>
          <w:i/>
          <w:iCs/>
          <w:szCs w:val="17"/>
        </w:rPr>
      </w:pPr>
      <w:r w:rsidRPr="008D19CD">
        <w:rPr>
          <w:rFonts w:eastAsia="Times New Roman"/>
          <w:i/>
          <w:iCs/>
          <w:szCs w:val="17"/>
        </w:rPr>
        <w:t>Measure 1.6.2</w:t>
      </w:r>
    </w:p>
    <w:p w14:paraId="675067E8" w14:textId="77777777" w:rsidR="008D19CD" w:rsidRPr="008D19CD" w:rsidRDefault="008D19CD" w:rsidP="008D19CD">
      <w:pPr>
        <w:rPr>
          <w:rFonts w:eastAsia="Times New Roman"/>
          <w:szCs w:val="17"/>
        </w:rPr>
      </w:pPr>
      <w:r w:rsidRPr="008D19CD">
        <w:rPr>
          <w:rFonts w:eastAsia="Times New Roman"/>
          <w:szCs w:val="17"/>
        </w:rPr>
        <w:t>Proportion of government-owned public transport fleet (buses, trains and trams) adhering to accessibility standards.</w:t>
      </w:r>
    </w:p>
    <w:p w14:paraId="12AF1D21" w14:textId="77777777" w:rsidR="008D19CD" w:rsidRPr="008D19CD" w:rsidRDefault="008D19CD" w:rsidP="008D19CD">
      <w:pPr>
        <w:rPr>
          <w:rFonts w:eastAsia="Times New Roman"/>
          <w:szCs w:val="17"/>
        </w:rPr>
      </w:pPr>
      <w:r w:rsidRPr="008D19CD">
        <w:rPr>
          <w:rFonts w:eastAsia="Times New Roman"/>
          <w:szCs w:val="17"/>
        </w:rPr>
        <w:t>State authority: Department for Infrastructure and Transport</w:t>
      </w:r>
    </w:p>
    <w:p w14:paraId="62FD3967" w14:textId="77777777" w:rsidR="008D19CD" w:rsidRPr="008D19CD" w:rsidRDefault="008D19CD" w:rsidP="008D19CD">
      <w:pPr>
        <w:rPr>
          <w:rFonts w:eastAsia="Times New Roman"/>
          <w:i/>
          <w:iCs/>
          <w:szCs w:val="17"/>
        </w:rPr>
      </w:pPr>
      <w:r w:rsidRPr="008D19CD">
        <w:rPr>
          <w:rFonts w:eastAsia="Times New Roman"/>
          <w:i/>
          <w:iCs/>
          <w:szCs w:val="17"/>
        </w:rPr>
        <w:t>Measure 1.6.3</w:t>
      </w:r>
    </w:p>
    <w:p w14:paraId="27900A06" w14:textId="77777777" w:rsidR="008D19CD" w:rsidRPr="008D19CD" w:rsidRDefault="008D19CD" w:rsidP="008D19CD">
      <w:pPr>
        <w:rPr>
          <w:rFonts w:eastAsia="Times New Roman"/>
          <w:szCs w:val="17"/>
        </w:rPr>
      </w:pPr>
      <w:r w:rsidRPr="008D19CD">
        <w:rPr>
          <w:rFonts w:eastAsia="Times New Roman"/>
          <w:szCs w:val="17"/>
        </w:rPr>
        <w:t>The number of Access Taxis available in South Australia adhering to accessibility standards.</w:t>
      </w:r>
    </w:p>
    <w:p w14:paraId="5BDD4758" w14:textId="77777777" w:rsidR="008D19CD" w:rsidRPr="008D19CD" w:rsidRDefault="008D19CD" w:rsidP="008D19CD">
      <w:pPr>
        <w:rPr>
          <w:rFonts w:eastAsia="Times New Roman"/>
          <w:szCs w:val="17"/>
        </w:rPr>
      </w:pPr>
      <w:r w:rsidRPr="008D19CD">
        <w:rPr>
          <w:rFonts w:eastAsia="Times New Roman"/>
          <w:szCs w:val="17"/>
        </w:rPr>
        <w:t>Note: Accessibility standards for Access Taxis in South Australia are defined and enforced through a combination of state and national regulations.</w:t>
      </w:r>
    </w:p>
    <w:p w14:paraId="5306D987" w14:textId="77777777" w:rsidR="008D19CD" w:rsidRPr="008D19CD" w:rsidRDefault="008D19CD" w:rsidP="008D19CD">
      <w:pPr>
        <w:rPr>
          <w:rFonts w:eastAsia="Times New Roman"/>
          <w:szCs w:val="17"/>
        </w:rPr>
      </w:pPr>
      <w:r w:rsidRPr="008D19CD">
        <w:rPr>
          <w:rFonts w:eastAsia="Times New Roman"/>
          <w:szCs w:val="17"/>
        </w:rPr>
        <w:t>State authority: Department for Infrastructure and Transport</w:t>
      </w:r>
    </w:p>
    <w:p w14:paraId="48D3F2B9" w14:textId="77777777" w:rsidR="008D19CD" w:rsidRPr="008D19CD" w:rsidRDefault="008D19CD" w:rsidP="008D19CD">
      <w:pPr>
        <w:rPr>
          <w:rFonts w:eastAsia="Times New Roman"/>
          <w:i/>
          <w:iCs/>
          <w:szCs w:val="17"/>
        </w:rPr>
      </w:pPr>
      <w:r w:rsidRPr="008D19CD">
        <w:rPr>
          <w:rFonts w:eastAsia="Times New Roman"/>
          <w:i/>
          <w:iCs/>
          <w:szCs w:val="17"/>
        </w:rPr>
        <w:t>Measure 1.6.4</w:t>
      </w:r>
    </w:p>
    <w:p w14:paraId="06138584" w14:textId="77777777" w:rsidR="008D19CD" w:rsidRPr="008D19CD" w:rsidRDefault="008D19CD" w:rsidP="008D19CD">
      <w:pPr>
        <w:rPr>
          <w:rFonts w:eastAsia="Times New Roman"/>
          <w:szCs w:val="17"/>
        </w:rPr>
      </w:pPr>
      <w:r w:rsidRPr="008D19CD">
        <w:rPr>
          <w:rFonts w:eastAsia="Times New Roman"/>
          <w:szCs w:val="17"/>
        </w:rPr>
        <w:t>Total number of initiatives undertaken to promote enhanced access and safety for people with disability while using public transport</w:t>
      </w:r>
    </w:p>
    <w:p w14:paraId="35F5D86B" w14:textId="77777777" w:rsidR="008D19CD" w:rsidRPr="008D19CD" w:rsidRDefault="008D19CD" w:rsidP="008D19CD">
      <w:pPr>
        <w:rPr>
          <w:rFonts w:eastAsia="Times New Roman"/>
          <w:szCs w:val="17"/>
        </w:rPr>
      </w:pPr>
      <w:r w:rsidRPr="008D19CD">
        <w:rPr>
          <w:rFonts w:eastAsia="Times New Roman"/>
          <w:szCs w:val="17"/>
        </w:rPr>
        <w:t>State authority: Department for Infrastructure and Transport</w:t>
      </w:r>
    </w:p>
    <w:p w14:paraId="337C54F1" w14:textId="77777777" w:rsidR="008D19CD" w:rsidRPr="008D19CD" w:rsidRDefault="008D19CD" w:rsidP="008D19CD">
      <w:pPr>
        <w:rPr>
          <w:rFonts w:eastAsia="Times New Roman"/>
          <w:szCs w:val="17"/>
        </w:rPr>
      </w:pPr>
      <w:r w:rsidRPr="008D19CD">
        <w:rPr>
          <w:rFonts w:eastAsia="Times New Roman"/>
          <w:szCs w:val="17"/>
        </w:rPr>
        <w:t>Priority area 7: Collaboration, consultation and innovation</w:t>
      </w:r>
    </w:p>
    <w:p w14:paraId="43D373BF" w14:textId="77777777" w:rsidR="008D19CD" w:rsidRPr="008D19CD" w:rsidRDefault="008D19CD" w:rsidP="008D19CD">
      <w:pPr>
        <w:rPr>
          <w:rFonts w:eastAsia="Times New Roman"/>
          <w:i/>
          <w:iCs/>
          <w:szCs w:val="17"/>
        </w:rPr>
      </w:pPr>
      <w:r w:rsidRPr="008D19CD">
        <w:rPr>
          <w:rFonts w:eastAsia="Times New Roman"/>
          <w:i/>
          <w:iCs/>
          <w:szCs w:val="17"/>
        </w:rPr>
        <w:t>Outcome 7</w:t>
      </w:r>
    </w:p>
    <w:p w14:paraId="220C4A31" w14:textId="77777777" w:rsidR="008D19CD" w:rsidRPr="008D19CD" w:rsidRDefault="008D19CD" w:rsidP="008D19CD">
      <w:pPr>
        <w:rPr>
          <w:rFonts w:eastAsia="Times New Roman"/>
          <w:szCs w:val="17"/>
        </w:rPr>
      </w:pPr>
      <w:r w:rsidRPr="008D19CD">
        <w:rPr>
          <w:rFonts w:eastAsia="Times New Roman"/>
          <w:szCs w:val="17"/>
        </w:rPr>
        <w:t>People with disability are actively involved in government decisions that affect their lives.</w:t>
      </w:r>
    </w:p>
    <w:p w14:paraId="4C87118B" w14:textId="77777777" w:rsidR="008D19CD" w:rsidRPr="008D19CD" w:rsidRDefault="008D19CD" w:rsidP="008D19CD">
      <w:pPr>
        <w:rPr>
          <w:rFonts w:eastAsia="Times New Roman"/>
          <w:i/>
          <w:iCs/>
          <w:szCs w:val="17"/>
        </w:rPr>
      </w:pPr>
      <w:r w:rsidRPr="008D19CD">
        <w:rPr>
          <w:rFonts w:eastAsia="Times New Roman"/>
          <w:i/>
          <w:iCs/>
          <w:szCs w:val="17"/>
        </w:rPr>
        <w:t>Measure 1.7.1</w:t>
      </w:r>
    </w:p>
    <w:p w14:paraId="74B8CFDE" w14:textId="77777777" w:rsidR="008D19CD" w:rsidRPr="008D19CD" w:rsidRDefault="008D19CD" w:rsidP="008D19CD">
      <w:pPr>
        <w:rPr>
          <w:rFonts w:eastAsia="Times New Roman"/>
          <w:szCs w:val="17"/>
        </w:rPr>
      </w:pPr>
      <w:r w:rsidRPr="008D19CD">
        <w:rPr>
          <w:rFonts w:eastAsia="Times New Roman"/>
          <w:szCs w:val="17"/>
        </w:rPr>
        <w:t>Total number of public consultations that included and sought input from people with disability, including engagement with Aboriginal Community Controlled Organisations (ACCOs).</w:t>
      </w:r>
    </w:p>
    <w:p w14:paraId="710B77B3"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5FFBF833" w14:textId="77777777" w:rsidR="008D19CD" w:rsidRPr="008D19CD" w:rsidRDefault="008D19CD" w:rsidP="008D19CD">
      <w:pPr>
        <w:rPr>
          <w:rFonts w:eastAsia="Times New Roman"/>
          <w:i/>
          <w:iCs/>
          <w:szCs w:val="17"/>
        </w:rPr>
      </w:pPr>
      <w:r w:rsidRPr="008D19CD">
        <w:rPr>
          <w:rFonts w:eastAsia="Times New Roman"/>
          <w:i/>
          <w:iCs/>
          <w:szCs w:val="17"/>
        </w:rPr>
        <w:t>Measure 1.7.2</w:t>
      </w:r>
    </w:p>
    <w:p w14:paraId="606DA533" w14:textId="77777777" w:rsidR="008D19CD" w:rsidRPr="008D19CD" w:rsidRDefault="008D19CD" w:rsidP="008D19CD">
      <w:pPr>
        <w:rPr>
          <w:rFonts w:eastAsia="Times New Roman"/>
          <w:szCs w:val="17"/>
        </w:rPr>
      </w:pPr>
      <w:r w:rsidRPr="008D19CD">
        <w:rPr>
          <w:rFonts w:eastAsia="Times New Roman"/>
          <w:szCs w:val="17"/>
        </w:rPr>
        <w:t>Total number of people with disability, including parents and carers, serving on committees and working groups.</w:t>
      </w:r>
    </w:p>
    <w:p w14:paraId="69678C36"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447AE908" w14:textId="77777777" w:rsidR="008D19CD" w:rsidRPr="008D19CD" w:rsidRDefault="008D19CD" w:rsidP="008D19CD">
      <w:pPr>
        <w:rPr>
          <w:rFonts w:eastAsia="Times New Roman"/>
          <w:szCs w:val="17"/>
        </w:rPr>
      </w:pPr>
      <w:r w:rsidRPr="008D19CD">
        <w:rPr>
          <w:rFonts w:eastAsia="Times New Roman"/>
          <w:szCs w:val="17"/>
        </w:rPr>
        <w:t>Priority area 8: Housing</w:t>
      </w:r>
    </w:p>
    <w:p w14:paraId="3A4AA396" w14:textId="77777777" w:rsidR="008D19CD" w:rsidRPr="008D19CD" w:rsidRDefault="008D19CD" w:rsidP="008D19CD">
      <w:pPr>
        <w:rPr>
          <w:rFonts w:eastAsia="Times New Roman"/>
          <w:i/>
          <w:iCs/>
          <w:szCs w:val="17"/>
        </w:rPr>
      </w:pPr>
      <w:r w:rsidRPr="008D19CD">
        <w:rPr>
          <w:rFonts w:eastAsia="Times New Roman"/>
          <w:i/>
          <w:iCs/>
          <w:szCs w:val="17"/>
        </w:rPr>
        <w:t>Outcome 8</w:t>
      </w:r>
    </w:p>
    <w:p w14:paraId="5C727680" w14:textId="77777777" w:rsidR="008D19CD" w:rsidRPr="008D19CD" w:rsidRDefault="008D19CD" w:rsidP="008D19CD">
      <w:pPr>
        <w:rPr>
          <w:rFonts w:eastAsia="Times New Roman"/>
          <w:szCs w:val="17"/>
        </w:rPr>
      </w:pPr>
      <w:r w:rsidRPr="008D19CD">
        <w:rPr>
          <w:rFonts w:eastAsia="Times New Roman"/>
          <w:szCs w:val="17"/>
        </w:rPr>
        <w:t>People with disability have access to appropriate housing.</w:t>
      </w:r>
    </w:p>
    <w:p w14:paraId="2E38F181" w14:textId="77777777" w:rsidR="008D19CD" w:rsidRPr="008D19CD" w:rsidRDefault="008D19CD" w:rsidP="008D19CD">
      <w:pPr>
        <w:rPr>
          <w:rFonts w:eastAsia="Times New Roman"/>
          <w:i/>
          <w:iCs/>
          <w:szCs w:val="17"/>
        </w:rPr>
      </w:pPr>
      <w:r w:rsidRPr="008D19CD">
        <w:rPr>
          <w:rFonts w:eastAsia="Times New Roman"/>
          <w:i/>
          <w:iCs/>
          <w:szCs w:val="17"/>
        </w:rPr>
        <w:t>Measure 1.8.1</w:t>
      </w:r>
    </w:p>
    <w:p w14:paraId="5995B602" w14:textId="77777777" w:rsidR="008D19CD" w:rsidRPr="008D19CD" w:rsidRDefault="008D19CD" w:rsidP="008D19CD">
      <w:pPr>
        <w:rPr>
          <w:rFonts w:eastAsia="Times New Roman"/>
          <w:szCs w:val="17"/>
        </w:rPr>
      </w:pPr>
      <w:r w:rsidRPr="008D19CD">
        <w:rPr>
          <w:rFonts w:eastAsia="Times New Roman"/>
          <w:szCs w:val="17"/>
        </w:rPr>
        <w:t>Proportion of public housing and all housing built to National Construction Code Livable Housing Design Standards.</w:t>
      </w:r>
    </w:p>
    <w:p w14:paraId="5F7443E4" w14:textId="77777777" w:rsidR="008D19CD" w:rsidRPr="008D19CD" w:rsidRDefault="008D19CD" w:rsidP="008D19CD">
      <w:pPr>
        <w:rPr>
          <w:rFonts w:eastAsia="Times New Roman"/>
          <w:szCs w:val="17"/>
        </w:rPr>
      </w:pPr>
      <w:r w:rsidRPr="008D19CD">
        <w:rPr>
          <w:rFonts w:eastAsia="Times New Roman"/>
          <w:szCs w:val="17"/>
        </w:rPr>
        <w:t>State authority: Department of Housing and Urban Development and SA Housing Trust</w:t>
      </w:r>
    </w:p>
    <w:p w14:paraId="0A5D6184" w14:textId="77777777" w:rsidR="008D19CD" w:rsidRPr="008D19CD" w:rsidRDefault="008D19CD" w:rsidP="008D19CD">
      <w:pPr>
        <w:rPr>
          <w:rFonts w:eastAsia="Times New Roman"/>
          <w:szCs w:val="17"/>
        </w:rPr>
      </w:pPr>
      <w:r w:rsidRPr="008D19CD">
        <w:rPr>
          <w:rFonts w:eastAsia="Times New Roman"/>
          <w:szCs w:val="17"/>
        </w:rPr>
        <w:t>Domain 2: Education and employment</w:t>
      </w:r>
    </w:p>
    <w:p w14:paraId="3B72B6B5" w14:textId="77777777" w:rsidR="008D19CD" w:rsidRPr="008D19CD" w:rsidRDefault="008D19CD" w:rsidP="008D19CD">
      <w:pPr>
        <w:rPr>
          <w:rFonts w:eastAsia="Times New Roman"/>
          <w:b/>
          <w:bCs/>
          <w:szCs w:val="17"/>
        </w:rPr>
      </w:pPr>
      <w:r w:rsidRPr="008D19CD">
        <w:rPr>
          <w:rFonts w:eastAsia="Times New Roman"/>
          <w:b/>
          <w:bCs/>
          <w:szCs w:val="17"/>
        </w:rPr>
        <w:t>What We Want: A South Australia Where All People with Disability Benefit from Inclusive Educational Experiences, Equitable Employment Opportunities and Financial Security</w:t>
      </w:r>
    </w:p>
    <w:p w14:paraId="3AD8089C" w14:textId="77777777" w:rsidR="008D19CD" w:rsidRPr="008D19CD" w:rsidRDefault="008D19CD" w:rsidP="008D19CD">
      <w:pPr>
        <w:rPr>
          <w:rFonts w:eastAsia="Times New Roman"/>
          <w:szCs w:val="17"/>
        </w:rPr>
      </w:pPr>
      <w:r w:rsidRPr="008D19CD">
        <w:rPr>
          <w:rFonts w:eastAsia="Times New Roman"/>
          <w:szCs w:val="17"/>
        </w:rPr>
        <w:t>Education determines more than just a child’s economic future. Education is also critical to a child’s social and emotional development, and to establishing a sense of identity and a sense of place in the world. For children and students with disability, the educational experience represents an important opportunity to imagine and create an alternative future. In turn, the opportunity for meaningful employment is essential to a person’s economic security as well as their physical and mental health, personal wellbeing and sense of identity.</w:t>
      </w:r>
    </w:p>
    <w:p w14:paraId="0CCF0DC2" w14:textId="77777777" w:rsidR="008D19CD" w:rsidRPr="008D19CD" w:rsidRDefault="008D19CD" w:rsidP="008D19CD">
      <w:pPr>
        <w:rPr>
          <w:rFonts w:eastAsia="Times New Roman"/>
          <w:szCs w:val="17"/>
        </w:rPr>
      </w:pPr>
      <w:r w:rsidRPr="008D19CD">
        <w:rPr>
          <w:rFonts w:eastAsia="Times New Roman"/>
          <w:szCs w:val="17"/>
        </w:rPr>
        <w:t>All people with disability have the right to access inclusive education and meaningful employment. However, too many continue to face barriers and are not yet experiencing the full benefits these opportunities can provide.</w:t>
      </w:r>
    </w:p>
    <w:p w14:paraId="7E4F9115" w14:textId="77777777" w:rsidR="008D19CD" w:rsidRPr="008D19CD" w:rsidRDefault="008D19CD" w:rsidP="008D19CD">
      <w:pPr>
        <w:rPr>
          <w:rFonts w:eastAsia="Times New Roman"/>
          <w:szCs w:val="17"/>
        </w:rPr>
      </w:pPr>
      <w:r w:rsidRPr="008D19CD">
        <w:rPr>
          <w:rFonts w:eastAsia="Times New Roman"/>
          <w:szCs w:val="17"/>
        </w:rPr>
        <w:t>We want to ensure equal opportunity to learning and earning is achieved by addressing the barriers and obstacles people with disability of all ages continue to face at all levels of the education and employment experience.</w:t>
      </w:r>
    </w:p>
    <w:p w14:paraId="4D7DC904" w14:textId="77777777" w:rsidR="008D19CD" w:rsidRPr="008D19CD" w:rsidRDefault="008D19CD" w:rsidP="008D19CD">
      <w:pPr>
        <w:rPr>
          <w:rFonts w:eastAsia="Times New Roman"/>
          <w:szCs w:val="17"/>
        </w:rPr>
      </w:pPr>
      <w:r w:rsidRPr="008D19CD">
        <w:rPr>
          <w:rFonts w:eastAsia="Times New Roman"/>
          <w:szCs w:val="17"/>
        </w:rPr>
        <w:lastRenderedPageBreak/>
        <w:t xml:space="preserve">The following outcomes are designed to drive education and employment and will guide state authorities’ actions within their Disability Access and Inclusion Plans (DAIP). Visit </w:t>
      </w:r>
      <w:hyperlink r:id="rId278" w:history="1">
        <w:r w:rsidRPr="008D19CD">
          <w:rPr>
            <w:rFonts w:eastAsia="Times New Roman"/>
            <w:color w:val="0000FF"/>
            <w:szCs w:val="17"/>
            <w:u w:val="single"/>
          </w:rPr>
          <w:t>inclusive.sa.gov.au</w:t>
        </w:r>
      </w:hyperlink>
      <w:r w:rsidRPr="008D19CD">
        <w:rPr>
          <w:rFonts w:eastAsia="Times New Roman"/>
          <w:szCs w:val="17"/>
        </w:rPr>
        <w:t xml:space="preserve"> to download each state authority’s DAIP.</w:t>
      </w:r>
    </w:p>
    <w:p w14:paraId="6D9577FD" w14:textId="77777777" w:rsidR="008D19CD" w:rsidRPr="008D19CD" w:rsidRDefault="008D19CD" w:rsidP="008D19CD">
      <w:pPr>
        <w:rPr>
          <w:rFonts w:eastAsia="Times New Roman"/>
          <w:szCs w:val="17"/>
        </w:rPr>
      </w:pPr>
      <w:r w:rsidRPr="008D19CD">
        <w:rPr>
          <w:rFonts w:eastAsia="Times New Roman"/>
          <w:szCs w:val="17"/>
        </w:rPr>
        <w:t>Priority area 1: Targeted knowledge, understanding and support</w:t>
      </w:r>
    </w:p>
    <w:p w14:paraId="1A292770" w14:textId="77777777" w:rsidR="008D19CD" w:rsidRPr="008D19CD" w:rsidRDefault="008D19CD" w:rsidP="008D19CD">
      <w:pPr>
        <w:rPr>
          <w:rFonts w:eastAsia="Times New Roman"/>
          <w:i/>
          <w:iCs/>
          <w:szCs w:val="17"/>
        </w:rPr>
      </w:pPr>
      <w:r w:rsidRPr="008D19CD">
        <w:rPr>
          <w:rFonts w:eastAsia="Times New Roman"/>
          <w:i/>
          <w:iCs/>
          <w:szCs w:val="17"/>
        </w:rPr>
        <w:t>Outcome 1</w:t>
      </w:r>
    </w:p>
    <w:p w14:paraId="37DAB759" w14:textId="77777777" w:rsidR="008D19CD" w:rsidRPr="008D19CD" w:rsidRDefault="008D19CD" w:rsidP="008D19CD">
      <w:pPr>
        <w:rPr>
          <w:rFonts w:eastAsia="Times New Roman"/>
          <w:szCs w:val="17"/>
        </w:rPr>
      </w:pPr>
      <w:r w:rsidRPr="008D19CD">
        <w:rPr>
          <w:rFonts w:eastAsia="Times New Roman"/>
          <w:szCs w:val="17"/>
        </w:rPr>
        <w:t>People with disability are supported by a South Australian education workforce that has the knowledge and skills to meet their needs and help them succeed.</w:t>
      </w:r>
    </w:p>
    <w:p w14:paraId="5CB8ABFE" w14:textId="77777777" w:rsidR="008D19CD" w:rsidRPr="008D19CD" w:rsidRDefault="008D19CD" w:rsidP="008D19CD">
      <w:pPr>
        <w:rPr>
          <w:rFonts w:eastAsia="Times New Roman"/>
          <w:i/>
          <w:iCs/>
          <w:szCs w:val="17"/>
        </w:rPr>
      </w:pPr>
      <w:r w:rsidRPr="008D19CD">
        <w:rPr>
          <w:rFonts w:eastAsia="Times New Roman"/>
          <w:i/>
          <w:iCs/>
          <w:szCs w:val="17"/>
        </w:rPr>
        <w:t>Measure 2.1.1</w:t>
      </w:r>
    </w:p>
    <w:p w14:paraId="33AB273C" w14:textId="77777777" w:rsidR="008D19CD" w:rsidRPr="008D19CD" w:rsidRDefault="008D19CD" w:rsidP="008D19CD">
      <w:pPr>
        <w:rPr>
          <w:rFonts w:eastAsia="Times New Roman"/>
          <w:szCs w:val="17"/>
        </w:rPr>
      </w:pPr>
      <w:r w:rsidRPr="008D19CD">
        <w:rPr>
          <w:rFonts w:eastAsia="Times New Roman"/>
          <w:szCs w:val="17"/>
        </w:rPr>
        <w:t>Proportion of teachers and educators that have completed training for supporting students with disability, including Disability Standards for Education training.</w:t>
      </w:r>
    </w:p>
    <w:p w14:paraId="480CFB38" w14:textId="77777777" w:rsidR="008D19CD" w:rsidRPr="008D19CD" w:rsidRDefault="008D19CD" w:rsidP="008D19CD">
      <w:pPr>
        <w:rPr>
          <w:rFonts w:eastAsia="Times New Roman"/>
          <w:szCs w:val="17"/>
        </w:rPr>
      </w:pPr>
      <w:r w:rsidRPr="008D19CD">
        <w:rPr>
          <w:rFonts w:eastAsia="Times New Roman"/>
          <w:szCs w:val="17"/>
        </w:rPr>
        <w:t>State authority: Department for Education, Department for State Development and TAFE SA</w:t>
      </w:r>
    </w:p>
    <w:p w14:paraId="350E65B1" w14:textId="77777777" w:rsidR="008D19CD" w:rsidRPr="008D19CD" w:rsidRDefault="008D19CD" w:rsidP="008D19CD">
      <w:pPr>
        <w:rPr>
          <w:rFonts w:eastAsia="Times New Roman"/>
          <w:szCs w:val="17"/>
        </w:rPr>
      </w:pPr>
      <w:r w:rsidRPr="008D19CD">
        <w:rPr>
          <w:rFonts w:eastAsia="Times New Roman"/>
          <w:szCs w:val="17"/>
        </w:rPr>
        <w:t>Priority area 2: Supports and resources for children and young people</w:t>
      </w:r>
    </w:p>
    <w:p w14:paraId="046002AF" w14:textId="77777777" w:rsidR="008D19CD" w:rsidRPr="008D19CD" w:rsidRDefault="008D19CD" w:rsidP="008D19CD">
      <w:pPr>
        <w:rPr>
          <w:rFonts w:eastAsia="Times New Roman"/>
          <w:i/>
          <w:iCs/>
          <w:szCs w:val="17"/>
        </w:rPr>
      </w:pPr>
      <w:r w:rsidRPr="008D19CD">
        <w:rPr>
          <w:rFonts w:eastAsia="Times New Roman"/>
          <w:i/>
          <w:iCs/>
          <w:szCs w:val="17"/>
        </w:rPr>
        <w:t>Outcome 2</w:t>
      </w:r>
    </w:p>
    <w:p w14:paraId="72539CB5" w14:textId="77777777" w:rsidR="008D19CD" w:rsidRPr="008D19CD" w:rsidRDefault="008D19CD" w:rsidP="008D19CD">
      <w:pPr>
        <w:rPr>
          <w:rFonts w:eastAsia="Times New Roman"/>
          <w:szCs w:val="17"/>
        </w:rPr>
      </w:pPr>
      <w:r w:rsidRPr="008D19CD">
        <w:rPr>
          <w:rFonts w:eastAsia="Times New Roman"/>
          <w:szCs w:val="17"/>
        </w:rPr>
        <w:t>Children with disability feel valued, welcomed and have access to inclusive education, starting in the early years.</w:t>
      </w:r>
      <w:r w:rsidRPr="008D19CD">
        <w:rPr>
          <w:rFonts w:eastAsia="Times New Roman"/>
          <w:szCs w:val="17"/>
        </w:rPr>
        <w:tab/>
      </w:r>
    </w:p>
    <w:p w14:paraId="0CAFC13F" w14:textId="77777777" w:rsidR="008D19CD" w:rsidRPr="008D19CD" w:rsidRDefault="008D19CD" w:rsidP="008D19CD">
      <w:pPr>
        <w:rPr>
          <w:rFonts w:eastAsia="Times New Roman"/>
          <w:i/>
          <w:iCs/>
          <w:szCs w:val="17"/>
        </w:rPr>
      </w:pPr>
      <w:r w:rsidRPr="008D19CD">
        <w:rPr>
          <w:rFonts w:eastAsia="Times New Roman"/>
          <w:i/>
          <w:iCs/>
          <w:szCs w:val="17"/>
        </w:rPr>
        <w:t>Measure 2.2.1</w:t>
      </w:r>
    </w:p>
    <w:p w14:paraId="4D953A2B" w14:textId="77777777" w:rsidR="008D19CD" w:rsidRPr="008D19CD" w:rsidRDefault="008D19CD" w:rsidP="008D19CD">
      <w:pPr>
        <w:rPr>
          <w:rFonts w:eastAsia="Times New Roman"/>
          <w:szCs w:val="17"/>
        </w:rPr>
      </w:pPr>
      <w:r w:rsidRPr="008D19CD">
        <w:rPr>
          <w:rFonts w:eastAsia="Times New Roman"/>
          <w:szCs w:val="17"/>
        </w:rPr>
        <w:t>Total number of children with disability accessing early intervention services, including children in out-of-home care.</w:t>
      </w:r>
    </w:p>
    <w:p w14:paraId="70E56ADF" w14:textId="77777777" w:rsidR="008D19CD" w:rsidRPr="008D19CD" w:rsidRDefault="008D19CD" w:rsidP="008D19CD">
      <w:pPr>
        <w:rPr>
          <w:rFonts w:eastAsia="Times New Roman"/>
          <w:szCs w:val="17"/>
        </w:rPr>
      </w:pPr>
      <w:r w:rsidRPr="008D19CD">
        <w:rPr>
          <w:rFonts w:eastAsia="Times New Roman"/>
          <w:szCs w:val="17"/>
        </w:rPr>
        <w:t>State authority: Local Health Networks</w:t>
      </w:r>
    </w:p>
    <w:p w14:paraId="2C41D264" w14:textId="77777777" w:rsidR="008D19CD" w:rsidRPr="008D19CD" w:rsidRDefault="008D19CD" w:rsidP="008D19CD">
      <w:pPr>
        <w:rPr>
          <w:rFonts w:eastAsia="Times New Roman"/>
          <w:i/>
          <w:iCs/>
          <w:szCs w:val="17"/>
        </w:rPr>
      </w:pPr>
      <w:r w:rsidRPr="008D19CD">
        <w:rPr>
          <w:rFonts w:eastAsia="Times New Roman"/>
          <w:i/>
          <w:iCs/>
          <w:szCs w:val="17"/>
        </w:rPr>
        <w:t>Measure 2.2.2</w:t>
      </w:r>
    </w:p>
    <w:p w14:paraId="74311706" w14:textId="77777777" w:rsidR="008D19CD" w:rsidRPr="008D19CD" w:rsidRDefault="008D19CD" w:rsidP="008D19CD">
      <w:pPr>
        <w:rPr>
          <w:rFonts w:eastAsia="Times New Roman"/>
          <w:szCs w:val="17"/>
        </w:rPr>
      </w:pPr>
      <w:r w:rsidRPr="008D19CD">
        <w:rPr>
          <w:rFonts w:eastAsia="Times New Roman"/>
          <w:szCs w:val="17"/>
        </w:rPr>
        <w:t>Proportion of government school students receiving an adjustment to access education.</w:t>
      </w:r>
    </w:p>
    <w:p w14:paraId="1A4D3313" w14:textId="77777777" w:rsidR="008D19CD" w:rsidRPr="008D19CD" w:rsidRDefault="008D19CD" w:rsidP="008D19CD">
      <w:pPr>
        <w:rPr>
          <w:rFonts w:eastAsia="Times New Roman"/>
          <w:szCs w:val="17"/>
        </w:rPr>
      </w:pPr>
      <w:r w:rsidRPr="008D19CD">
        <w:rPr>
          <w:rFonts w:eastAsia="Times New Roman"/>
          <w:szCs w:val="17"/>
        </w:rPr>
        <w:t>State authority: Department for Education</w:t>
      </w:r>
    </w:p>
    <w:p w14:paraId="1EAD16FA" w14:textId="77777777" w:rsidR="008D19CD" w:rsidRPr="008D19CD" w:rsidRDefault="008D19CD" w:rsidP="008D19CD">
      <w:pPr>
        <w:rPr>
          <w:rFonts w:eastAsia="Times New Roman"/>
          <w:szCs w:val="17"/>
        </w:rPr>
      </w:pPr>
      <w:r w:rsidRPr="008D19CD">
        <w:rPr>
          <w:rFonts w:eastAsia="Times New Roman"/>
          <w:szCs w:val="17"/>
        </w:rPr>
        <w:t>Priority area 3: Targeted transitional supports</w:t>
      </w:r>
    </w:p>
    <w:p w14:paraId="71573BB3" w14:textId="77777777" w:rsidR="008D19CD" w:rsidRPr="008D19CD" w:rsidRDefault="008D19CD" w:rsidP="008D19CD">
      <w:pPr>
        <w:rPr>
          <w:rFonts w:eastAsia="Times New Roman"/>
          <w:i/>
          <w:iCs/>
          <w:szCs w:val="17"/>
        </w:rPr>
      </w:pPr>
      <w:r w:rsidRPr="008D19CD">
        <w:rPr>
          <w:rFonts w:eastAsia="Times New Roman"/>
          <w:i/>
          <w:iCs/>
          <w:szCs w:val="17"/>
        </w:rPr>
        <w:t>Outcome 3</w:t>
      </w:r>
    </w:p>
    <w:p w14:paraId="3A9A3BC9" w14:textId="77777777" w:rsidR="008D19CD" w:rsidRPr="008D19CD" w:rsidRDefault="008D19CD" w:rsidP="008D19CD">
      <w:pPr>
        <w:rPr>
          <w:rFonts w:eastAsia="Times New Roman"/>
          <w:szCs w:val="17"/>
        </w:rPr>
      </w:pPr>
      <w:r w:rsidRPr="008D19CD">
        <w:rPr>
          <w:rFonts w:eastAsia="Times New Roman"/>
          <w:szCs w:val="17"/>
        </w:rPr>
        <w:t>People with disability have supportive environments to learn, grow, and transition throughout their life.</w:t>
      </w:r>
    </w:p>
    <w:p w14:paraId="49F46E4D" w14:textId="77777777" w:rsidR="008D19CD" w:rsidRPr="008D19CD" w:rsidRDefault="008D19CD" w:rsidP="008D19CD">
      <w:pPr>
        <w:rPr>
          <w:rFonts w:eastAsia="Times New Roman"/>
          <w:szCs w:val="17"/>
        </w:rPr>
      </w:pPr>
      <w:r w:rsidRPr="008D19CD">
        <w:rPr>
          <w:rFonts w:eastAsia="Times New Roman"/>
          <w:szCs w:val="17"/>
        </w:rPr>
        <w:t>Measure 2.3.1</w:t>
      </w:r>
    </w:p>
    <w:p w14:paraId="41386979" w14:textId="77777777" w:rsidR="008D19CD" w:rsidRPr="008D19CD" w:rsidRDefault="008D19CD" w:rsidP="008D19CD">
      <w:pPr>
        <w:rPr>
          <w:rFonts w:eastAsia="Times New Roman"/>
          <w:szCs w:val="17"/>
        </w:rPr>
      </w:pPr>
      <w:r w:rsidRPr="008D19CD">
        <w:rPr>
          <w:rFonts w:eastAsia="Times New Roman"/>
          <w:szCs w:val="17"/>
        </w:rPr>
        <w:t>Total number of initiatives taken to improve transition support from secondary school to tertiary education and/or employment for people with disability.</w:t>
      </w:r>
    </w:p>
    <w:p w14:paraId="2C331735" w14:textId="77777777" w:rsidR="008D19CD" w:rsidRPr="008D19CD" w:rsidRDefault="008D19CD" w:rsidP="008D19CD">
      <w:pPr>
        <w:rPr>
          <w:rFonts w:eastAsia="Times New Roman"/>
          <w:szCs w:val="17"/>
        </w:rPr>
      </w:pPr>
      <w:r w:rsidRPr="008D19CD">
        <w:rPr>
          <w:rFonts w:eastAsia="Times New Roman"/>
          <w:szCs w:val="17"/>
        </w:rPr>
        <w:t>State authority: Department for Education, Department for State Development and TAFE SA</w:t>
      </w:r>
    </w:p>
    <w:p w14:paraId="3F0E1456" w14:textId="77777777" w:rsidR="008D19CD" w:rsidRPr="008D19CD" w:rsidRDefault="008D19CD" w:rsidP="008D19CD">
      <w:pPr>
        <w:rPr>
          <w:rFonts w:eastAsia="Times New Roman"/>
          <w:i/>
          <w:iCs/>
          <w:szCs w:val="17"/>
        </w:rPr>
      </w:pPr>
      <w:r w:rsidRPr="008D19CD">
        <w:rPr>
          <w:rFonts w:eastAsia="Times New Roman"/>
          <w:i/>
          <w:iCs/>
          <w:szCs w:val="17"/>
        </w:rPr>
        <w:t>Measure 2.3.2</w:t>
      </w:r>
    </w:p>
    <w:p w14:paraId="1A2EF70B" w14:textId="77777777" w:rsidR="008D19CD" w:rsidRPr="008D19CD" w:rsidRDefault="008D19CD" w:rsidP="008D19CD">
      <w:pPr>
        <w:rPr>
          <w:rFonts w:eastAsia="Times New Roman"/>
          <w:szCs w:val="17"/>
        </w:rPr>
      </w:pPr>
      <w:r w:rsidRPr="008D19CD">
        <w:rPr>
          <w:rFonts w:eastAsia="Times New Roman"/>
          <w:szCs w:val="17"/>
        </w:rPr>
        <w:t>Proportion of students with disability who complete a higher education qualification (source: ADS).</w:t>
      </w:r>
    </w:p>
    <w:p w14:paraId="16C825A2" w14:textId="77777777" w:rsidR="008D19CD" w:rsidRPr="008D19CD" w:rsidRDefault="008D19CD" w:rsidP="008D19CD">
      <w:pPr>
        <w:rPr>
          <w:rFonts w:eastAsia="Times New Roman"/>
          <w:i/>
          <w:iCs/>
          <w:szCs w:val="17"/>
        </w:rPr>
      </w:pPr>
      <w:r w:rsidRPr="008D19CD">
        <w:rPr>
          <w:rFonts w:eastAsia="Times New Roman"/>
          <w:i/>
          <w:iCs/>
          <w:szCs w:val="17"/>
        </w:rPr>
        <w:t>Measure 2.3.3</w:t>
      </w:r>
    </w:p>
    <w:p w14:paraId="17587A04" w14:textId="77777777" w:rsidR="008D19CD" w:rsidRPr="008D19CD" w:rsidRDefault="008D19CD" w:rsidP="008D19CD">
      <w:pPr>
        <w:rPr>
          <w:rFonts w:eastAsia="Times New Roman"/>
          <w:szCs w:val="17"/>
        </w:rPr>
      </w:pPr>
      <w:r w:rsidRPr="008D19CD">
        <w:rPr>
          <w:rFonts w:eastAsia="Times New Roman"/>
          <w:szCs w:val="17"/>
        </w:rPr>
        <w:t>Proportion of people with disability undertaking apprenticeships (including school-based), vocational education and training (VET) and Adult Community Education (ACE).</w:t>
      </w:r>
    </w:p>
    <w:p w14:paraId="384DADD7" w14:textId="77777777" w:rsidR="008D19CD" w:rsidRPr="008D19CD" w:rsidRDefault="008D19CD" w:rsidP="008D19CD">
      <w:pPr>
        <w:rPr>
          <w:rFonts w:eastAsia="Times New Roman"/>
          <w:szCs w:val="17"/>
        </w:rPr>
      </w:pPr>
      <w:r w:rsidRPr="008D19CD">
        <w:rPr>
          <w:rFonts w:eastAsia="Times New Roman"/>
          <w:szCs w:val="17"/>
        </w:rPr>
        <w:t>State authority: Department for Education, Department of State Development and TAFE SA</w:t>
      </w:r>
    </w:p>
    <w:p w14:paraId="1712E866" w14:textId="77777777" w:rsidR="008D19CD" w:rsidRPr="008D19CD" w:rsidRDefault="008D19CD" w:rsidP="008D19CD">
      <w:pPr>
        <w:rPr>
          <w:rFonts w:eastAsia="Times New Roman"/>
          <w:i/>
          <w:iCs/>
          <w:szCs w:val="17"/>
        </w:rPr>
      </w:pPr>
      <w:r w:rsidRPr="008D19CD">
        <w:rPr>
          <w:rFonts w:eastAsia="Times New Roman"/>
          <w:i/>
          <w:iCs/>
          <w:szCs w:val="17"/>
        </w:rPr>
        <w:t>Measure 2.3.4</w:t>
      </w:r>
    </w:p>
    <w:p w14:paraId="4B6A5BFC" w14:textId="77777777" w:rsidR="008D19CD" w:rsidRPr="008D19CD" w:rsidRDefault="008D19CD" w:rsidP="008D19CD">
      <w:pPr>
        <w:rPr>
          <w:rFonts w:eastAsia="Times New Roman"/>
          <w:szCs w:val="17"/>
        </w:rPr>
      </w:pPr>
      <w:r w:rsidRPr="008D19CD">
        <w:rPr>
          <w:rFonts w:eastAsia="Times New Roman"/>
          <w:szCs w:val="17"/>
        </w:rPr>
        <w:t>Proportion of VET graduates with disability gaining employment post training (source: ADS).</w:t>
      </w:r>
    </w:p>
    <w:p w14:paraId="4A579E99" w14:textId="77777777" w:rsidR="008D19CD" w:rsidRPr="008D19CD" w:rsidRDefault="008D19CD" w:rsidP="008D19CD">
      <w:pPr>
        <w:rPr>
          <w:rFonts w:eastAsia="Times New Roman"/>
          <w:i/>
          <w:iCs/>
          <w:szCs w:val="17"/>
        </w:rPr>
      </w:pPr>
      <w:r w:rsidRPr="008D19CD">
        <w:rPr>
          <w:rFonts w:eastAsia="Times New Roman"/>
          <w:i/>
          <w:iCs/>
          <w:szCs w:val="17"/>
        </w:rPr>
        <w:t>Measure 2.3.5</w:t>
      </w:r>
    </w:p>
    <w:p w14:paraId="1E6C3B6F" w14:textId="77777777" w:rsidR="008D19CD" w:rsidRPr="008D19CD" w:rsidRDefault="008D19CD" w:rsidP="008D19CD">
      <w:pPr>
        <w:rPr>
          <w:rFonts w:eastAsia="Times New Roman"/>
          <w:szCs w:val="17"/>
        </w:rPr>
      </w:pPr>
      <w:r w:rsidRPr="008D19CD">
        <w:rPr>
          <w:rFonts w:eastAsia="Times New Roman"/>
          <w:szCs w:val="17"/>
        </w:rPr>
        <w:t>Total number of initiatives taken to encourage people with disability to volunteer.</w:t>
      </w:r>
    </w:p>
    <w:p w14:paraId="3930E1B9"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23504C3A" w14:textId="77777777" w:rsidR="008D19CD" w:rsidRPr="008D19CD" w:rsidRDefault="008D19CD" w:rsidP="008D19CD">
      <w:pPr>
        <w:rPr>
          <w:rFonts w:eastAsia="Times New Roman"/>
          <w:szCs w:val="17"/>
        </w:rPr>
      </w:pPr>
      <w:r w:rsidRPr="008D19CD">
        <w:rPr>
          <w:rFonts w:eastAsia="Times New Roman"/>
          <w:szCs w:val="17"/>
        </w:rPr>
        <w:t>Priority area 4: Access to employment opportunities</w:t>
      </w:r>
    </w:p>
    <w:p w14:paraId="5A8914A0" w14:textId="77777777" w:rsidR="008D19CD" w:rsidRPr="008D19CD" w:rsidRDefault="008D19CD" w:rsidP="008D19CD">
      <w:pPr>
        <w:rPr>
          <w:rFonts w:eastAsia="Times New Roman"/>
          <w:i/>
          <w:iCs/>
          <w:szCs w:val="17"/>
        </w:rPr>
      </w:pPr>
      <w:r w:rsidRPr="008D19CD">
        <w:rPr>
          <w:rFonts w:eastAsia="Times New Roman"/>
          <w:i/>
          <w:iCs/>
          <w:szCs w:val="17"/>
        </w:rPr>
        <w:t>Outcome 4</w:t>
      </w:r>
    </w:p>
    <w:p w14:paraId="57E929DF" w14:textId="77777777" w:rsidR="008D19CD" w:rsidRPr="008D19CD" w:rsidRDefault="008D19CD" w:rsidP="008D19CD">
      <w:pPr>
        <w:rPr>
          <w:rFonts w:eastAsia="Times New Roman"/>
          <w:szCs w:val="17"/>
        </w:rPr>
      </w:pPr>
      <w:r w:rsidRPr="008D19CD">
        <w:rPr>
          <w:rFonts w:eastAsia="Times New Roman"/>
          <w:szCs w:val="17"/>
        </w:rPr>
        <w:t>People with disability have opportunities to achieve, develop and succeed in their chosen fields.</w:t>
      </w:r>
    </w:p>
    <w:p w14:paraId="26F8317F" w14:textId="77777777" w:rsidR="008D19CD" w:rsidRPr="008D19CD" w:rsidRDefault="008D19CD" w:rsidP="008D19CD">
      <w:pPr>
        <w:rPr>
          <w:rFonts w:eastAsia="Times New Roman"/>
          <w:i/>
          <w:iCs/>
          <w:szCs w:val="17"/>
        </w:rPr>
      </w:pPr>
      <w:r w:rsidRPr="008D19CD">
        <w:rPr>
          <w:rFonts w:eastAsia="Times New Roman"/>
          <w:i/>
          <w:iCs/>
          <w:szCs w:val="17"/>
        </w:rPr>
        <w:t>Measure 2.4.1</w:t>
      </w:r>
    </w:p>
    <w:p w14:paraId="1A8F94AE" w14:textId="77777777" w:rsidR="008D19CD" w:rsidRPr="008D19CD" w:rsidRDefault="008D19CD" w:rsidP="008D19CD">
      <w:pPr>
        <w:rPr>
          <w:rFonts w:eastAsia="Times New Roman"/>
          <w:szCs w:val="17"/>
        </w:rPr>
      </w:pPr>
      <w:r w:rsidRPr="008D19CD">
        <w:rPr>
          <w:rFonts w:eastAsia="Times New Roman"/>
          <w:szCs w:val="17"/>
        </w:rPr>
        <w:t>Proportion of public sector staff with disability, including those in executive roles.</w:t>
      </w:r>
    </w:p>
    <w:p w14:paraId="11478BE4" w14:textId="77777777" w:rsidR="008D19CD" w:rsidRPr="008D19CD" w:rsidRDefault="008D19CD" w:rsidP="008D19CD">
      <w:pPr>
        <w:rPr>
          <w:rFonts w:eastAsia="Times New Roman"/>
          <w:szCs w:val="17"/>
        </w:rPr>
      </w:pPr>
      <w:r w:rsidRPr="008D19CD">
        <w:rPr>
          <w:rFonts w:eastAsia="Times New Roman"/>
          <w:szCs w:val="17"/>
        </w:rPr>
        <w:t>State authority: Office of the Commissioner for Public Sector Employment</w:t>
      </w:r>
    </w:p>
    <w:p w14:paraId="00CE518B" w14:textId="77777777" w:rsidR="008D19CD" w:rsidRPr="008D19CD" w:rsidRDefault="008D19CD" w:rsidP="008D19CD">
      <w:pPr>
        <w:rPr>
          <w:rFonts w:eastAsia="Times New Roman"/>
          <w:i/>
          <w:iCs/>
          <w:szCs w:val="17"/>
        </w:rPr>
      </w:pPr>
      <w:r w:rsidRPr="008D19CD">
        <w:rPr>
          <w:rFonts w:eastAsia="Times New Roman"/>
          <w:i/>
          <w:iCs/>
          <w:szCs w:val="17"/>
        </w:rPr>
        <w:t>Measure 2.4.2</w:t>
      </w:r>
    </w:p>
    <w:p w14:paraId="061AFF51" w14:textId="77777777" w:rsidR="008D19CD" w:rsidRPr="008D19CD" w:rsidRDefault="008D19CD" w:rsidP="008D19CD">
      <w:pPr>
        <w:rPr>
          <w:rFonts w:eastAsia="Times New Roman"/>
          <w:szCs w:val="17"/>
        </w:rPr>
      </w:pPr>
      <w:r w:rsidRPr="008D19CD">
        <w:rPr>
          <w:rFonts w:eastAsia="Times New Roman"/>
          <w:szCs w:val="17"/>
        </w:rPr>
        <w:t>Proportion of public sector staff who self-reported that they have caring responsibilities, including those in executive roles.</w:t>
      </w:r>
    </w:p>
    <w:p w14:paraId="54C17448" w14:textId="77777777" w:rsidR="008D19CD" w:rsidRPr="008D19CD" w:rsidRDefault="008D19CD" w:rsidP="008D19CD">
      <w:pPr>
        <w:rPr>
          <w:rFonts w:eastAsia="Times New Roman"/>
          <w:szCs w:val="17"/>
        </w:rPr>
      </w:pPr>
      <w:r w:rsidRPr="008D19CD">
        <w:rPr>
          <w:rFonts w:eastAsia="Times New Roman"/>
          <w:szCs w:val="17"/>
        </w:rPr>
        <w:t>State authority: Office of the Commissioner for Public Sector Employment</w:t>
      </w:r>
    </w:p>
    <w:p w14:paraId="1C96D9CA" w14:textId="77777777" w:rsidR="008D19CD" w:rsidRPr="008D19CD" w:rsidRDefault="008D19CD" w:rsidP="008D19CD">
      <w:pPr>
        <w:rPr>
          <w:rFonts w:eastAsia="Times New Roman"/>
          <w:i/>
          <w:iCs/>
          <w:szCs w:val="17"/>
        </w:rPr>
      </w:pPr>
      <w:r w:rsidRPr="008D19CD">
        <w:rPr>
          <w:rFonts w:eastAsia="Times New Roman"/>
          <w:i/>
          <w:iCs/>
          <w:szCs w:val="17"/>
        </w:rPr>
        <w:t>Measure 2.4.3</w:t>
      </w:r>
    </w:p>
    <w:p w14:paraId="622DD6A0" w14:textId="77777777" w:rsidR="008D19CD" w:rsidRPr="008D19CD" w:rsidRDefault="008D19CD" w:rsidP="008D19CD">
      <w:pPr>
        <w:rPr>
          <w:rFonts w:eastAsia="Times New Roman"/>
          <w:szCs w:val="17"/>
        </w:rPr>
      </w:pPr>
      <w:r w:rsidRPr="008D19CD">
        <w:rPr>
          <w:rFonts w:eastAsia="Times New Roman"/>
          <w:szCs w:val="17"/>
        </w:rPr>
        <w:t>Total number of organisational changes adopted to improve inclusive recruitment for people with disability. For example, tailoring roles to fit individuals and employer incentives.</w:t>
      </w:r>
    </w:p>
    <w:p w14:paraId="138F9377"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0618FFD2" w14:textId="77777777" w:rsidR="008D19CD" w:rsidRPr="008D19CD" w:rsidRDefault="008D19CD" w:rsidP="008D19CD">
      <w:pPr>
        <w:rPr>
          <w:rFonts w:eastAsia="Times New Roman"/>
          <w:szCs w:val="17"/>
        </w:rPr>
      </w:pPr>
      <w:r w:rsidRPr="008D19CD">
        <w:rPr>
          <w:rFonts w:eastAsia="Times New Roman"/>
          <w:szCs w:val="17"/>
        </w:rPr>
        <w:t>Priority area 5: Inclusive working environments</w:t>
      </w:r>
    </w:p>
    <w:p w14:paraId="081AC8A0" w14:textId="77777777" w:rsidR="008D19CD" w:rsidRPr="008D19CD" w:rsidRDefault="008D19CD" w:rsidP="008D19CD">
      <w:pPr>
        <w:rPr>
          <w:rFonts w:eastAsia="Times New Roman"/>
          <w:i/>
          <w:iCs/>
          <w:szCs w:val="17"/>
        </w:rPr>
      </w:pPr>
      <w:r w:rsidRPr="008D19CD">
        <w:rPr>
          <w:rFonts w:eastAsia="Times New Roman"/>
          <w:i/>
          <w:iCs/>
          <w:szCs w:val="17"/>
        </w:rPr>
        <w:t>Outcome 5</w:t>
      </w:r>
    </w:p>
    <w:p w14:paraId="068F517C" w14:textId="77777777" w:rsidR="008D19CD" w:rsidRPr="008D19CD" w:rsidRDefault="008D19CD" w:rsidP="008D19CD">
      <w:pPr>
        <w:rPr>
          <w:rFonts w:eastAsia="Times New Roman"/>
          <w:szCs w:val="17"/>
        </w:rPr>
      </w:pPr>
      <w:r w:rsidRPr="008D19CD">
        <w:rPr>
          <w:rFonts w:eastAsia="Times New Roman"/>
          <w:szCs w:val="17"/>
        </w:rPr>
        <w:t>People with disability have access to supportive places to earn.</w:t>
      </w:r>
    </w:p>
    <w:p w14:paraId="4335ADBB" w14:textId="77777777" w:rsidR="008D19CD" w:rsidRPr="008D19CD" w:rsidRDefault="008D19CD" w:rsidP="008D19CD">
      <w:pPr>
        <w:rPr>
          <w:rFonts w:eastAsia="Times New Roman"/>
          <w:i/>
          <w:iCs/>
          <w:szCs w:val="17"/>
        </w:rPr>
      </w:pPr>
      <w:r w:rsidRPr="008D19CD">
        <w:rPr>
          <w:rFonts w:eastAsia="Times New Roman"/>
          <w:i/>
          <w:iCs/>
          <w:szCs w:val="17"/>
        </w:rPr>
        <w:t>Measure 2.5.1</w:t>
      </w:r>
    </w:p>
    <w:p w14:paraId="7D56B4CC" w14:textId="77777777" w:rsidR="008D19CD" w:rsidRPr="008D19CD" w:rsidRDefault="008D19CD" w:rsidP="008D19CD">
      <w:pPr>
        <w:rPr>
          <w:rFonts w:eastAsia="Times New Roman"/>
          <w:szCs w:val="17"/>
        </w:rPr>
      </w:pPr>
      <w:r w:rsidRPr="008D19CD">
        <w:rPr>
          <w:rFonts w:eastAsia="Times New Roman"/>
          <w:szCs w:val="17"/>
        </w:rPr>
        <w:t>Total number of workplace practices implemented to support people with disability to have equal opportunities for growth and success, including support to remain in employment. For example, outcome-based employment, flexible work arrangements, workplace adjustments and mentoring programs.</w:t>
      </w:r>
    </w:p>
    <w:p w14:paraId="0262FC76" w14:textId="77777777" w:rsidR="008D19CD" w:rsidRPr="008D19CD" w:rsidRDefault="008D19CD" w:rsidP="008D19CD">
      <w:pPr>
        <w:rPr>
          <w:rFonts w:eastAsia="Times New Roman"/>
          <w:szCs w:val="17"/>
        </w:rPr>
      </w:pPr>
      <w:r w:rsidRPr="008D19CD">
        <w:rPr>
          <w:rFonts w:eastAsia="Times New Roman"/>
          <w:szCs w:val="17"/>
        </w:rPr>
        <w:lastRenderedPageBreak/>
        <w:t>State authority: All state authorities</w:t>
      </w:r>
    </w:p>
    <w:p w14:paraId="2A7BE235" w14:textId="77777777" w:rsidR="008D19CD" w:rsidRPr="008D19CD" w:rsidRDefault="008D19CD" w:rsidP="008D19CD">
      <w:pPr>
        <w:rPr>
          <w:rFonts w:eastAsia="Times New Roman"/>
          <w:szCs w:val="17"/>
        </w:rPr>
      </w:pPr>
      <w:r w:rsidRPr="008D19CD">
        <w:rPr>
          <w:rFonts w:eastAsia="Times New Roman"/>
          <w:szCs w:val="17"/>
        </w:rPr>
        <w:t>Priority area 6: Data and reporting</w:t>
      </w:r>
    </w:p>
    <w:p w14:paraId="6DA1CC97" w14:textId="77777777" w:rsidR="008D19CD" w:rsidRPr="008D19CD" w:rsidRDefault="008D19CD" w:rsidP="008D19CD">
      <w:pPr>
        <w:rPr>
          <w:rFonts w:eastAsia="Times New Roman"/>
          <w:i/>
          <w:iCs/>
          <w:szCs w:val="17"/>
        </w:rPr>
      </w:pPr>
      <w:r w:rsidRPr="008D19CD">
        <w:rPr>
          <w:rFonts w:eastAsia="Times New Roman"/>
          <w:i/>
          <w:iCs/>
          <w:szCs w:val="17"/>
        </w:rPr>
        <w:t>Outcome 6</w:t>
      </w:r>
    </w:p>
    <w:p w14:paraId="7332BCAE" w14:textId="77777777" w:rsidR="008D19CD" w:rsidRPr="008D19CD" w:rsidRDefault="008D19CD" w:rsidP="008D19CD">
      <w:pPr>
        <w:rPr>
          <w:rFonts w:eastAsia="Times New Roman"/>
          <w:szCs w:val="17"/>
        </w:rPr>
      </w:pPr>
      <w:r w:rsidRPr="008D19CD">
        <w:rPr>
          <w:rFonts w:eastAsia="Times New Roman"/>
          <w:szCs w:val="17"/>
        </w:rPr>
        <w:t>People with disability benefit from state authorities working to improve disability data at both state and national levels.</w:t>
      </w:r>
    </w:p>
    <w:p w14:paraId="7C7D5AEA" w14:textId="77777777" w:rsidR="008D19CD" w:rsidRPr="008D19CD" w:rsidRDefault="008D19CD" w:rsidP="008D19CD">
      <w:pPr>
        <w:rPr>
          <w:rFonts w:eastAsia="Times New Roman"/>
          <w:i/>
          <w:iCs/>
          <w:szCs w:val="17"/>
        </w:rPr>
      </w:pPr>
      <w:r w:rsidRPr="008D19CD">
        <w:rPr>
          <w:rFonts w:eastAsia="Times New Roman"/>
          <w:i/>
          <w:iCs/>
          <w:szCs w:val="17"/>
        </w:rPr>
        <w:t>Measure 2.6.1</w:t>
      </w:r>
    </w:p>
    <w:p w14:paraId="7015BF03" w14:textId="77777777" w:rsidR="008D19CD" w:rsidRPr="008D19CD" w:rsidRDefault="008D19CD" w:rsidP="008D19CD">
      <w:pPr>
        <w:rPr>
          <w:rFonts w:eastAsia="Times New Roman"/>
          <w:szCs w:val="17"/>
        </w:rPr>
      </w:pPr>
      <w:r w:rsidRPr="008D19CD">
        <w:rPr>
          <w:rFonts w:eastAsia="Times New Roman"/>
          <w:szCs w:val="17"/>
        </w:rPr>
        <w:t>Proportion of measures within the State Plan and state authorities’ DAIP that are collected and reported on to ensure accountability.</w:t>
      </w:r>
    </w:p>
    <w:p w14:paraId="0D4DC79C" w14:textId="77777777" w:rsidR="008D19CD" w:rsidRPr="008D19CD" w:rsidRDefault="008D19CD" w:rsidP="008D19CD">
      <w:pPr>
        <w:rPr>
          <w:rFonts w:eastAsia="Times New Roman"/>
          <w:szCs w:val="17"/>
        </w:rPr>
      </w:pPr>
      <w:r w:rsidRPr="008D19CD">
        <w:rPr>
          <w:rFonts w:eastAsia="Times New Roman"/>
          <w:szCs w:val="17"/>
        </w:rPr>
        <w:t>State authority: Department of Human Services</w:t>
      </w:r>
    </w:p>
    <w:p w14:paraId="7BEF6656" w14:textId="77777777" w:rsidR="008D19CD" w:rsidRPr="008D19CD" w:rsidRDefault="008D19CD" w:rsidP="008D19CD">
      <w:pPr>
        <w:rPr>
          <w:rFonts w:eastAsia="Times New Roman"/>
          <w:i/>
          <w:iCs/>
          <w:szCs w:val="17"/>
        </w:rPr>
      </w:pPr>
      <w:r w:rsidRPr="008D19CD">
        <w:rPr>
          <w:rFonts w:eastAsia="Times New Roman"/>
          <w:i/>
          <w:iCs/>
          <w:szCs w:val="17"/>
        </w:rPr>
        <w:t>Measure 2.6.2</w:t>
      </w:r>
    </w:p>
    <w:p w14:paraId="2A35FA10" w14:textId="77777777" w:rsidR="008D19CD" w:rsidRPr="008D19CD" w:rsidRDefault="008D19CD" w:rsidP="008D19CD">
      <w:pPr>
        <w:rPr>
          <w:rFonts w:eastAsia="Times New Roman"/>
          <w:szCs w:val="17"/>
        </w:rPr>
      </w:pPr>
      <w:r w:rsidRPr="008D19CD">
        <w:rPr>
          <w:rFonts w:eastAsia="Times New Roman"/>
          <w:szCs w:val="17"/>
        </w:rPr>
        <w:t>Proportion of state government agencies enhancing data collection and reporting systems.</w:t>
      </w:r>
    </w:p>
    <w:p w14:paraId="73C7055C"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35259A8D" w14:textId="77777777" w:rsidR="008D19CD" w:rsidRPr="008D19CD" w:rsidRDefault="008D19CD" w:rsidP="008D19CD">
      <w:pPr>
        <w:rPr>
          <w:rFonts w:eastAsia="Times New Roman"/>
          <w:szCs w:val="17"/>
        </w:rPr>
      </w:pPr>
      <w:r w:rsidRPr="008D19CD">
        <w:rPr>
          <w:rFonts w:eastAsia="Times New Roman"/>
          <w:szCs w:val="17"/>
        </w:rPr>
        <w:t>Domain 3: Personal and community support</w:t>
      </w:r>
    </w:p>
    <w:p w14:paraId="7EA6DE13" w14:textId="77777777" w:rsidR="008D19CD" w:rsidRPr="008D19CD" w:rsidRDefault="008D19CD" w:rsidP="008D19CD">
      <w:pPr>
        <w:rPr>
          <w:rFonts w:eastAsia="Times New Roman"/>
          <w:b/>
          <w:bCs/>
          <w:szCs w:val="17"/>
        </w:rPr>
      </w:pPr>
      <w:r w:rsidRPr="008D19CD">
        <w:rPr>
          <w:rFonts w:eastAsia="Times New Roman"/>
          <w:b/>
          <w:bCs/>
          <w:szCs w:val="17"/>
        </w:rPr>
        <w:t>What We Want: A South Australia Where People with Disability Can Access Quality, Tailored Personal and Community Supports Addressing Their Individual Needs</w:t>
      </w:r>
    </w:p>
    <w:p w14:paraId="62A26A59" w14:textId="77777777" w:rsidR="008D19CD" w:rsidRPr="008D19CD" w:rsidRDefault="008D19CD" w:rsidP="008D19CD">
      <w:pPr>
        <w:rPr>
          <w:rFonts w:eastAsia="Times New Roman"/>
          <w:szCs w:val="17"/>
        </w:rPr>
      </w:pPr>
      <w:r w:rsidRPr="008D19CD">
        <w:rPr>
          <w:rFonts w:eastAsia="Times New Roman"/>
          <w:szCs w:val="17"/>
        </w:rPr>
        <w:t>Services and supports play a vital role in enabling people with disability to participate fully in daily life and in their communities. While some individuals may require minimal support, others rely on more intensive and targeted assistance to manage daily living. Regardless of the level of support needed, all people with disability, whether they are NDIS participants or not, should be able to access and benefit from mainstream supports and services without facing unnecessary barriers.</w:t>
      </w:r>
    </w:p>
    <w:p w14:paraId="0BD6C475" w14:textId="77777777" w:rsidR="008D19CD" w:rsidRPr="008D19CD" w:rsidRDefault="008D19CD" w:rsidP="008D19CD">
      <w:pPr>
        <w:rPr>
          <w:rFonts w:eastAsia="Times New Roman"/>
          <w:szCs w:val="17"/>
        </w:rPr>
      </w:pPr>
      <w:r w:rsidRPr="008D19CD">
        <w:rPr>
          <w:rFonts w:eastAsia="Times New Roman"/>
          <w:szCs w:val="17"/>
        </w:rPr>
        <w:t>Many people with disability, along with their families and carers, often encounter barriers when trying to access support due to fragmented and overly complex systems. It is the responsibility of those systems to provide coordinated, inclusive and person-centred support where possible. This ensures people with disability can exercise genuine choice and control, and are empowered to live full, self-directed lives.</w:t>
      </w:r>
    </w:p>
    <w:p w14:paraId="493B741A" w14:textId="77777777" w:rsidR="008D19CD" w:rsidRPr="008D19CD" w:rsidRDefault="008D19CD" w:rsidP="008D19CD">
      <w:pPr>
        <w:rPr>
          <w:rFonts w:eastAsia="Times New Roman"/>
          <w:szCs w:val="17"/>
        </w:rPr>
      </w:pPr>
      <w:r w:rsidRPr="008D19CD">
        <w:rPr>
          <w:rFonts w:eastAsia="Times New Roman"/>
          <w:szCs w:val="17"/>
        </w:rPr>
        <w:t>Additionally, access and inclusion within our systems and services cannot be separated from cultural safety. Programs and services must be culturally safe, responsive and grounded in the lived experiences, strengths and aspirations of South Australia’s Aboriginal communities.</w:t>
      </w:r>
    </w:p>
    <w:p w14:paraId="08E1DABF" w14:textId="77777777" w:rsidR="008D19CD" w:rsidRPr="008D19CD" w:rsidRDefault="008D19CD" w:rsidP="008D19CD">
      <w:pPr>
        <w:rPr>
          <w:rFonts w:eastAsia="Times New Roman"/>
          <w:szCs w:val="17"/>
        </w:rPr>
      </w:pPr>
      <w:r w:rsidRPr="008D19CD">
        <w:rPr>
          <w:rFonts w:eastAsia="Times New Roman"/>
          <w:szCs w:val="17"/>
        </w:rPr>
        <w:t>We want to build a service system in South Australia that takes a person-centred approach and recognises the contributions and potential of all people with disability.</w:t>
      </w:r>
    </w:p>
    <w:p w14:paraId="5B9187EF" w14:textId="77777777" w:rsidR="008D19CD" w:rsidRPr="008D19CD" w:rsidRDefault="008D19CD" w:rsidP="008D19CD">
      <w:pPr>
        <w:rPr>
          <w:rFonts w:eastAsia="Times New Roman"/>
          <w:szCs w:val="17"/>
        </w:rPr>
      </w:pPr>
      <w:r w:rsidRPr="008D19CD">
        <w:rPr>
          <w:rFonts w:eastAsia="Times New Roman"/>
          <w:szCs w:val="17"/>
        </w:rPr>
        <w:t xml:space="preserve">The following outcomes are designed to drive personal and community support and will guide state authorities’ actions within their Disability Access and Inclusion Plans (DAIP). Visit </w:t>
      </w:r>
      <w:hyperlink r:id="rId279" w:history="1">
        <w:r w:rsidRPr="008D19CD">
          <w:rPr>
            <w:rFonts w:eastAsia="Times New Roman"/>
            <w:color w:val="0000FF"/>
            <w:szCs w:val="17"/>
            <w:u w:val="single"/>
          </w:rPr>
          <w:t>inclusive.sa.gov.au</w:t>
        </w:r>
      </w:hyperlink>
      <w:r w:rsidRPr="008D19CD">
        <w:rPr>
          <w:rFonts w:eastAsia="Times New Roman"/>
          <w:szCs w:val="17"/>
        </w:rPr>
        <w:t xml:space="preserve"> to download each state authority’s DAIP.</w:t>
      </w:r>
    </w:p>
    <w:p w14:paraId="7918BEA7" w14:textId="77777777" w:rsidR="008D19CD" w:rsidRPr="008D19CD" w:rsidRDefault="008D19CD" w:rsidP="008D19CD">
      <w:pPr>
        <w:rPr>
          <w:rFonts w:eastAsia="Times New Roman"/>
          <w:szCs w:val="17"/>
        </w:rPr>
      </w:pPr>
      <w:r w:rsidRPr="008D19CD">
        <w:rPr>
          <w:rFonts w:eastAsia="Times New Roman"/>
          <w:szCs w:val="17"/>
        </w:rPr>
        <w:t>Priority area 1: Accessibility</w:t>
      </w:r>
    </w:p>
    <w:p w14:paraId="4556FCE9" w14:textId="77777777" w:rsidR="008D19CD" w:rsidRPr="008D19CD" w:rsidRDefault="008D19CD" w:rsidP="008D19CD">
      <w:pPr>
        <w:rPr>
          <w:rFonts w:eastAsia="Times New Roman"/>
          <w:i/>
          <w:iCs/>
          <w:szCs w:val="17"/>
        </w:rPr>
      </w:pPr>
      <w:r w:rsidRPr="008D19CD">
        <w:rPr>
          <w:rFonts w:eastAsia="Times New Roman"/>
          <w:i/>
          <w:iCs/>
          <w:szCs w:val="17"/>
        </w:rPr>
        <w:t>Outcome 1</w:t>
      </w:r>
    </w:p>
    <w:p w14:paraId="35315461" w14:textId="77777777" w:rsidR="008D19CD" w:rsidRPr="008D19CD" w:rsidRDefault="008D19CD" w:rsidP="008D19CD">
      <w:pPr>
        <w:rPr>
          <w:rFonts w:eastAsia="Times New Roman"/>
          <w:szCs w:val="17"/>
        </w:rPr>
      </w:pPr>
      <w:r w:rsidRPr="008D19CD">
        <w:rPr>
          <w:rFonts w:eastAsia="Times New Roman"/>
          <w:szCs w:val="17"/>
        </w:rPr>
        <w:t>People with disability can easily access community supports and services.</w:t>
      </w:r>
    </w:p>
    <w:p w14:paraId="407EEFFE" w14:textId="77777777" w:rsidR="008D19CD" w:rsidRPr="008D19CD" w:rsidRDefault="008D19CD" w:rsidP="008D19CD">
      <w:pPr>
        <w:rPr>
          <w:rFonts w:eastAsia="Times New Roman"/>
          <w:i/>
          <w:iCs/>
          <w:szCs w:val="17"/>
        </w:rPr>
      </w:pPr>
      <w:r w:rsidRPr="008D19CD">
        <w:rPr>
          <w:rFonts w:eastAsia="Times New Roman"/>
          <w:i/>
          <w:iCs/>
          <w:szCs w:val="17"/>
        </w:rPr>
        <w:t>Measure 3.1.1</w:t>
      </w:r>
    </w:p>
    <w:p w14:paraId="60C9CC8C" w14:textId="77777777" w:rsidR="008D19CD" w:rsidRPr="008D19CD" w:rsidRDefault="008D19CD" w:rsidP="008D19CD">
      <w:pPr>
        <w:rPr>
          <w:rFonts w:eastAsia="Times New Roman"/>
          <w:szCs w:val="17"/>
        </w:rPr>
      </w:pPr>
      <w:r w:rsidRPr="008D19CD">
        <w:rPr>
          <w:rFonts w:eastAsia="Times New Roman"/>
          <w:szCs w:val="17"/>
        </w:rPr>
        <w:t>Total number of initiatives and improvements made to connect people with disability to community supports and services wherever they present. For example, referral hubs, mobile outreach, online information platforms, frontline worker training, and partnerships with community organisations.</w:t>
      </w:r>
    </w:p>
    <w:p w14:paraId="38B8F891"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2B24A71F" w14:textId="77777777" w:rsidR="008D19CD" w:rsidRPr="008D19CD" w:rsidRDefault="008D19CD" w:rsidP="008D19CD">
      <w:pPr>
        <w:rPr>
          <w:rFonts w:eastAsia="Times New Roman"/>
          <w:szCs w:val="17"/>
        </w:rPr>
      </w:pPr>
      <w:r w:rsidRPr="008D19CD">
        <w:rPr>
          <w:rFonts w:eastAsia="Times New Roman"/>
          <w:szCs w:val="17"/>
        </w:rPr>
        <w:t>Priority area 2: Advocacy and supports</w:t>
      </w:r>
    </w:p>
    <w:p w14:paraId="382C1EF0" w14:textId="77777777" w:rsidR="008D19CD" w:rsidRPr="008D19CD" w:rsidRDefault="008D19CD" w:rsidP="008D19CD">
      <w:pPr>
        <w:rPr>
          <w:rFonts w:eastAsia="Times New Roman"/>
          <w:i/>
          <w:iCs/>
          <w:szCs w:val="17"/>
        </w:rPr>
      </w:pPr>
      <w:r w:rsidRPr="008D19CD">
        <w:rPr>
          <w:rFonts w:eastAsia="Times New Roman"/>
          <w:i/>
          <w:iCs/>
          <w:szCs w:val="17"/>
        </w:rPr>
        <w:t>Outcome 2</w:t>
      </w:r>
    </w:p>
    <w:p w14:paraId="0FABAC64" w14:textId="77777777" w:rsidR="008D19CD" w:rsidRPr="008D19CD" w:rsidRDefault="008D19CD" w:rsidP="008D19CD">
      <w:pPr>
        <w:rPr>
          <w:rFonts w:eastAsia="Times New Roman"/>
          <w:szCs w:val="17"/>
        </w:rPr>
      </w:pPr>
      <w:r w:rsidRPr="008D19CD">
        <w:rPr>
          <w:rFonts w:eastAsia="Times New Roman"/>
          <w:szCs w:val="17"/>
        </w:rPr>
        <w:t>People with disability are supported to make their own choices and use advocacy when needed to protect and promote their rights.</w:t>
      </w:r>
    </w:p>
    <w:p w14:paraId="48012B94" w14:textId="77777777" w:rsidR="008D19CD" w:rsidRPr="008D19CD" w:rsidRDefault="008D19CD" w:rsidP="008D19CD">
      <w:pPr>
        <w:rPr>
          <w:rFonts w:eastAsia="Times New Roman"/>
          <w:i/>
          <w:iCs/>
          <w:szCs w:val="17"/>
        </w:rPr>
      </w:pPr>
      <w:r w:rsidRPr="008D19CD">
        <w:rPr>
          <w:rFonts w:eastAsia="Times New Roman"/>
          <w:i/>
          <w:iCs/>
          <w:szCs w:val="17"/>
        </w:rPr>
        <w:t>Measure 3.2.1</w:t>
      </w:r>
    </w:p>
    <w:p w14:paraId="6FF1AFE5" w14:textId="77777777" w:rsidR="008D19CD" w:rsidRPr="008D19CD" w:rsidRDefault="008D19CD" w:rsidP="008D19CD">
      <w:pPr>
        <w:rPr>
          <w:rFonts w:eastAsia="Times New Roman"/>
          <w:szCs w:val="17"/>
        </w:rPr>
      </w:pPr>
      <w:r w:rsidRPr="008D19CD">
        <w:rPr>
          <w:rFonts w:eastAsia="Times New Roman"/>
          <w:szCs w:val="17"/>
        </w:rPr>
        <w:t>Total number of people with disability accessing advocacy services and number of matters resolved.</w:t>
      </w:r>
    </w:p>
    <w:p w14:paraId="25F5C9F2" w14:textId="77777777" w:rsidR="008D19CD" w:rsidRPr="008D19CD" w:rsidRDefault="008D19CD" w:rsidP="008D19CD">
      <w:pPr>
        <w:rPr>
          <w:rFonts w:eastAsia="Times New Roman"/>
          <w:szCs w:val="17"/>
        </w:rPr>
      </w:pPr>
      <w:r w:rsidRPr="008D19CD">
        <w:rPr>
          <w:rFonts w:eastAsia="Times New Roman"/>
          <w:szCs w:val="17"/>
        </w:rPr>
        <w:t>State authority: Department of Human Services</w:t>
      </w:r>
    </w:p>
    <w:p w14:paraId="6151162A" w14:textId="77777777" w:rsidR="008D19CD" w:rsidRPr="008D19CD" w:rsidRDefault="008D19CD" w:rsidP="008D19CD">
      <w:pPr>
        <w:rPr>
          <w:rFonts w:eastAsia="Times New Roman"/>
          <w:i/>
          <w:iCs/>
          <w:szCs w:val="17"/>
        </w:rPr>
      </w:pPr>
      <w:r w:rsidRPr="008D19CD">
        <w:rPr>
          <w:rFonts w:eastAsia="Times New Roman"/>
          <w:i/>
          <w:iCs/>
          <w:szCs w:val="17"/>
        </w:rPr>
        <w:t>Measure 3.2.2</w:t>
      </w:r>
    </w:p>
    <w:p w14:paraId="7ECC2D82" w14:textId="77777777" w:rsidR="008D19CD" w:rsidRPr="008D19CD" w:rsidRDefault="008D19CD" w:rsidP="008D19CD">
      <w:pPr>
        <w:rPr>
          <w:rFonts w:eastAsia="Times New Roman"/>
          <w:szCs w:val="17"/>
        </w:rPr>
      </w:pPr>
      <w:r w:rsidRPr="008D19CD">
        <w:rPr>
          <w:rFonts w:eastAsia="Times New Roman"/>
          <w:szCs w:val="17"/>
        </w:rPr>
        <w:t>Total number of policies and practices to promote and encourage choice and control for people with disability.</w:t>
      </w:r>
    </w:p>
    <w:p w14:paraId="79FAD5C6" w14:textId="77777777" w:rsidR="008D19CD" w:rsidRPr="008D19CD" w:rsidRDefault="008D19CD" w:rsidP="008D19CD">
      <w:pPr>
        <w:rPr>
          <w:rFonts w:eastAsia="Times New Roman"/>
          <w:szCs w:val="17"/>
        </w:rPr>
      </w:pPr>
      <w:r w:rsidRPr="008D19CD">
        <w:rPr>
          <w:rFonts w:eastAsia="Times New Roman"/>
          <w:szCs w:val="17"/>
        </w:rPr>
        <w:t>State authority: Attorney-General’s Department</w:t>
      </w:r>
    </w:p>
    <w:p w14:paraId="26E80F62" w14:textId="77777777" w:rsidR="008D19CD" w:rsidRPr="008D19CD" w:rsidRDefault="008D19CD" w:rsidP="008D19CD">
      <w:pPr>
        <w:rPr>
          <w:rFonts w:eastAsia="Times New Roman"/>
          <w:szCs w:val="17"/>
        </w:rPr>
      </w:pPr>
      <w:r w:rsidRPr="008D19CD">
        <w:rPr>
          <w:rFonts w:eastAsia="Times New Roman"/>
          <w:szCs w:val="17"/>
        </w:rPr>
        <w:t>Priority area 3: Information sharing</w:t>
      </w:r>
    </w:p>
    <w:p w14:paraId="2FA2DF38" w14:textId="77777777" w:rsidR="008D19CD" w:rsidRPr="008D19CD" w:rsidRDefault="008D19CD" w:rsidP="008D19CD">
      <w:pPr>
        <w:rPr>
          <w:rFonts w:eastAsia="Times New Roman"/>
          <w:i/>
          <w:iCs/>
          <w:szCs w:val="17"/>
        </w:rPr>
      </w:pPr>
      <w:r w:rsidRPr="008D19CD">
        <w:rPr>
          <w:rFonts w:eastAsia="Times New Roman"/>
          <w:i/>
          <w:iCs/>
          <w:szCs w:val="17"/>
        </w:rPr>
        <w:t>Outcome 3</w:t>
      </w:r>
    </w:p>
    <w:p w14:paraId="165A3F2A" w14:textId="77777777" w:rsidR="008D19CD" w:rsidRPr="008D19CD" w:rsidRDefault="008D19CD" w:rsidP="008D19CD">
      <w:pPr>
        <w:rPr>
          <w:rFonts w:eastAsia="Times New Roman"/>
          <w:szCs w:val="17"/>
        </w:rPr>
      </w:pPr>
      <w:r w:rsidRPr="008D19CD">
        <w:rPr>
          <w:rFonts w:eastAsia="Times New Roman"/>
          <w:szCs w:val="17"/>
        </w:rPr>
        <w:t>People with disability receive more coordinated and effective support when services work together and share information.</w:t>
      </w:r>
    </w:p>
    <w:p w14:paraId="1F35DD3D" w14:textId="77777777" w:rsidR="008D19CD" w:rsidRPr="008D19CD" w:rsidRDefault="008D19CD" w:rsidP="008D19CD">
      <w:pPr>
        <w:rPr>
          <w:rFonts w:eastAsia="Times New Roman"/>
          <w:i/>
          <w:iCs/>
          <w:szCs w:val="17"/>
        </w:rPr>
      </w:pPr>
      <w:r w:rsidRPr="008D19CD">
        <w:rPr>
          <w:rFonts w:eastAsia="Times New Roman"/>
          <w:i/>
          <w:iCs/>
          <w:szCs w:val="17"/>
        </w:rPr>
        <w:t>Measure 3.3.1</w:t>
      </w:r>
    </w:p>
    <w:p w14:paraId="707542BA" w14:textId="77777777" w:rsidR="008D19CD" w:rsidRPr="008D19CD" w:rsidRDefault="008D19CD" w:rsidP="008D19CD">
      <w:pPr>
        <w:rPr>
          <w:rFonts w:eastAsia="Times New Roman"/>
          <w:szCs w:val="17"/>
        </w:rPr>
      </w:pPr>
      <w:r w:rsidRPr="008D19CD">
        <w:rPr>
          <w:rFonts w:eastAsia="Times New Roman"/>
          <w:szCs w:val="17"/>
        </w:rPr>
        <w:t>Total number of inter-agency meetings and initiatives to support the implementation of the State Plan and DAIP.</w:t>
      </w:r>
    </w:p>
    <w:p w14:paraId="5D8DC40B"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22A6B82F" w14:textId="77777777" w:rsidR="008D19CD" w:rsidRPr="008D19CD" w:rsidRDefault="008D19CD" w:rsidP="008D19CD">
      <w:pPr>
        <w:rPr>
          <w:rFonts w:eastAsia="Times New Roman"/>
          <w:szCs w:val="17"/>
        </w:rPr>
      </w:pPr>
      <w:r w:rsidRPr="008D19CD">
        <w:rPr>
          <w:rFonts w:eastAsia="Times New Roman"/>
          <w:szCs w:val="17"/>
        </w:rPr>
        <w:t>Priority area 4: Family and carer support</w:t>
      </w:r>
    </w:p>
    <w:p w14:paraId="70F4A2E9" w14:textId="77777777" w:rsidR="008D19CD" w:rsidRPr="008D19CD" w:rsidRDefault="008D19CD" w:rsidP="008D19CD">
      <w:pPr>
        <w:rPr>
          <w:rFonts w:eastAsia="Times New Roman"/>
          <w:i/>
          <w:iCs/>
          <w:szCs w:val="17"/>
        </w:rPr>
      </w:pPr>
      <w:r w:rsidRPr="008D19CD">
        <w:rPr>
          <w:rFonts w:eastAsia="Times New Roman"/>
          <w:i/>
          <w:iCs/>
          <w:szCs w:val="17"/>
        </w:rPr>
        <w:t>Outcome 4</w:t>
      </w:r>
    </w:p>
    <w:p w14:paraId="741ABB8E" w14:textId="77777777" w:rsidR="008D19CD" w:rsidRPr="008D19CD" w:rsidRDefault="008D19CD" w:rsidP="008D19CD">
      <w:pPr>
        <w:rPr>
          <w:rFonts w:eastAsia="Times New Roman"/>
          <w:szCs w:val="17"/>
        </w:rPr>
      </w:pPr>
      <w:r w:rsidRPr="008D19CD">
        <w:rPr>
          <w:rFonts w:eastAsia="Times New Roman"/>
          <w:szCs w:val="17"/>
        </w:rPr>
        <w:t>Carers and families, including siblings, of people with disability are provided with dedicated supports and services.</w:t>
      </w:r>
    </w:p>
    <w:p w14:paraId="409A1A9E" w14:textId="77777777" w:rsidR="008D19CD" w:rsidRPr="008D19CD" w:rsidRDefault="008D19CD" w:rsidP="008D19CD">
      <w:pPr>
        <w:rPr>
          <w:rFonts w:eastAsia="Times New Roman"/>
          <w:i/>
          <w:iCs/>
          <w:szCs w:val="17"/>
        </w:rPr>
      </w:pPr>
      <w:r w:rsidRPr="008D19CD">
        <w:rPr>
          <w:rFonts w:eastAsia="Times New Roman"/>
          <w:i/>
          <w:iCs/>
          <w:szCs w:val="17"/>
        </w:rPr>
        <w:t>Measure 3.4.1</w:t>
      </w:r>
    </w:p>
    <w:p w14:paraId="72FBE5C1" w14:textId="77777777" w:rsidR="008D19CD" w:rsidRPr="008D19CD" w:rsidRDefault="008D19CD" w:rsidP="008D19CD">
      <w:pPr>
        <w:rPr>
          <w:rFonts w:eastAsia="Times New Roman"/>
          <w:szCs w:val="17"/>
        </w:rPr>
      </w:pPr>
      <w:r w:rsidRPr="008D19CD">
        <w:rPr>
          <w:rFonts w:eastAsia="Times New Roman"/>
          <w:szCs w:val="17"/>
        </w:rPr>
        <w:t>Proportion of carers of people with disability who report no unmet need for respite care (source: ADS).</w:t>
      </w:r>
    </w:p>
    <w:p w14:paraId="44AA0C75" w14:textId="77777777" w:rsidR="008D19CD" w:rsidRPr="008D19CD" w:rsidRDefault="008D19CD" w:rsidP="008D19CD">
      <w:pPr>
        <w:rPr>
          <w:rFonts w:eastAsia="Times New Roman"/>
          <w:i/>
          <w:iCs/>
          <w:szCs w:val="17"/>
        </w:rPr>
      </w:pPr>
      <w:r w:rsidRPr="008D19CD">
        <w:rPr>
          <w:rFonts w:eastAsia="Times New Roman"/>
          <w:i/>
          <w:iCs/>
          <w:szCs w:val="17"/>
        </w:rPr>
        <w:t>Measure 3.4.2</w:t>
      </w:r>
    </w:p>
    <w:p w14:paraId="4AACBB58" w14:textId="77777777" w:rsidR="008D19CD" w:rsidRPr="008D19CD" w:rsidRDefault="008D19CD" w:rsidP="008D19CD">
      <w:pPr>
        <w:rPr>
          <w:rFonts w:eastAsia="Times New Roman"/>
          <w:szCs w:val="17"/>
        </w:rPr>
      </w:pPr>
      <w:r w:rsidRPr="008D19CD">
        <w:rPr>
          <w:rFonts w:eastAsia="Times New Roman"/>
          <w:szCs w:val="17"/>
        </w:rPr>
        <w:t>Total number of resources available to help carers to access support.</w:t>
      </w:r>
    </w:p>
    <w:p w14:paraId="5F9C0CD0" w14:textId="77777777" w:rsidR="008D19CD" w:rsidRPr="008D19CD" w:rsidRDefault="008D19CD" w:rsidP="008D19CD">
      <w:pPr>
        <w:rPr>
          <w:rFonts w:eastAsia="Times New Roman"/>
          <w:szCs w:val="17"/>
        </w:rPr>
      </w:pPr>
      <w:r w:rsidRPr="008D19CD">
        <w:rPr>
          <w:rFonts w:eastAsia="Times New Roman"/>
          <w:szCs w:val="17"/>
        </w:rPr>
        <w:t>State authority: Department of Human Services and Department for Child Protection</w:t>
      </w:r>
    </w:p>
    <w:p w14:paraId="33A2E6C0" w14:textId="77777777" w:rsidR="008D19CD" w:rsidRDefault="008D19CD">
      <w:pPr>
        <w:spacing w:after="0" w:line="240" w:lineRule="auto"/>
        <w:jc w:val="left"/>
        <w:rPr>
          <w:rFonts w:eastAsia="Times New Roman"/>
          <w:szCs w:val="17"/>
        </w:rPr>
      </w:pPr>
      <w:r>
        <w:rPr>
          <w:rFonts w:eastAsia="Times New Roman"/>
          <w:szCs w:val="17"/>
        </w:rPr>
        <w:br w:type="page"/>
      </w:r>
    </w:p>
    <w:p w14:paraId="00A46C58" w14:textId="122F1770" w:rsidR="008D19CD" w:rsidRPr="008D19CD" w:rsidRDefault="008D19CD" w:rsidP="008D19CD">
      <w:pPr>
        <w:rPr>
          <w:rFonts w:eastAsia="Times New Roman"/>
          <w:szCs w:val="17"/>
        </w:rPr>
      </w:pPr>
      <w:r w:rsidRPr="008D19CD">
        <w:rPr>
          <w:rFonts w:eastAsia="Times New Roman"/>
          <w:szCs w:val="17"/>
        </w:rPr>
        <w:lastRenderedPageBreak/>
        <w:t>Priority area 5: Programs</w:t>
      </w:r>
    </w:p>
    <w:p w14:paraId="3EDD2B35" w14:textId="77777777" w:rsidR="008D19CD" w:rsidRPr="008D19CD" w:rsidRDefault="008D19CD" w:rsidP="008D19CD">
      <w:pPr>
        <w:rPr>
          <w:rFonts w:eastAsia="Times New Roman"/>
          <w:i/>
          <w:iCs/>
          <w:szCs w:val="17"/>
        </w:rPr>
      </w:pPr>
      <w:r w:rsidRPr="008D19CD">
        <w:rPr>
          <w:rFonts w:eastAsia="Times New Roman"/>
          <w:i/>
          <w:iCs/>
          <w:szCs w:val="17"/>
        </w:rPr>
        <w:t>Outcome 5</w:t>
      </w:r>
    </w:p>
    <w:p w14:paraId="45CF75C8" w14:textId="77777777" w:rsidR="008D19CD" w:rsidRPr="008D19CD" w:rsidRDefault="008D19CD" w:rsidP="008D19CD">
      <w:pPr>
        <w:rPr>
          <w:rFonts w:eastAsia="Times New Roman"/>
          <w:szCs w:val="17"/>
        </w:rPr>
      </w:pPr>
      <w:r w:rsidRPr="008D19CD">
        <w:rPr>
          <w:rFonts w:eastAsia="Times New Roman"/>
          <w:szCs w:val="17"/>
        </w:rPr>
        <w:t>Government-funded programs and services include disability-specific provisions to enable full and equal participation.</w:t>
      </w:r>
    </w:p>
    <w:p w14:paraId="42E663AE" w14:textId="77777777" w:rsidR="008D19CD" w:rsidRPr="008D19CD" w:rsidRDefault="008D19CD" w:rsidP="008D19CD">
      <w:pPr>
        <w:rPr>
          <w:rFonts w:eastAsia="Times New Roman"/>
          <w:i/>
          <w:iCs/>
          <w:szCs w:val="17"/>
        </w:rPr>
      </w:pPr>
      <w:r w:rsidRPr="008D19CD">
        <w:rPr>
          <w:rFonts w:eastAsia="Times New Roman"/>
          <w:i/>
          <w:iCs/>
          <w:szCs w:val="17"/>
        </w:rPr>
        <w:t>Measure 3.5.1</w:t>
      </w:r>
    </w:p>
    <w:p w14:paraId="1B8AE4E0" w14:textId="77777777" w:rsidR="008D19CD" w:rsidRPr="008D19CD" w:rsidRDefault="008D19CD" w:rsidP="008D19CD">
      <w:pPr>
        <w:rPr>
          <w:rFonts w:eastAsia="Times New Roman"/>
          <w:szCs w:val="17"/>
        </w:rPr>
      </w:pPr>
      <w:r w:rsidRPr="008D19CD">
        <w:rPr>
          <w:rFonts w:eastAsia="Times New Roman"/>
          <w:szCs w:val="17"/>
        </w:rPr>
        <w:t>Total number of grants and funding amount distributed to enhance disability inclusion.</w:t>
      </w:r>
    </w:p>
    <w:p w14:paraId="3A7B36F9" w14:textId="77777777" w:rsidR="008D19CD" w:rsidRPr="008D19CD" w:rsidRDefault="008D19CD" w:rsidP="008D19CD">
      <w:pPr>
        <w:rPr>
          <w:rFonts w:eastAsia="Times New Roman"/>
          <w:szCs w:val="17"/>
        </w:rPr>
      </w:pPr>
      <w:r w:rsidRPr="008D19CD">
        <w:rPr>
          <w:rFonts w:eastAsia="Times New Roman"/>
          <w:szCs w:val="17"/>
        </w:rPr>
        <w:t>State authority: All state authorities</w:t>
      </w:r>
    </w:p>
    <w:p w14:paraId="23F8C0E1" w14:textId="77777777" w:rsidR="008D19CD" w:rsidRPr="008D19CD" w:rsidRDefault="008D19CD" w:rsidP="008D19CD">
      <w:pPr>
        <w:rPr>
          <w:rFonts w:eastAsia="Times New Roman"/>
          <w:szCs w:val="17"/>
        </w:rPr>
      </w:pPr>
      <w:r w:rsidRPr="008D19CD">
        <w:rPr>
          <w:rFonts w:eastAsia="Times New Roman"/>
          <w:szCs w:val="17"/>
        </w:rPr>
        <w:t>Domain 4: Health and Wellbeing</w:t>
      </w:r>
    </w:p>
    <w:p w14:paraId="190C4A16" w14:textId="77777777" w:rsidR="008D19CD" w:rsidRPr="008D19CD" w:rsidRDefault="008D19CD" w:rsidP="008D19CD">
      <w:pPr>
        <w:rPr>
          <w:rFonts w:eastAsia="Times New Roman"/>
          <w:b/>
          <w:bCs/>
          <w:szCs w:val="17"/>
        </w:rPr>
      </w:pPr>
      <w:r w:rsidRPr="008D19CD">
        <w:rPr>
          <w:rFonts w:eastAsia="Times New Roman"/>
          <w:b/>
          <w:bCs/>
          <w:szCs w:val="17"/>
        </w:rPr>
        <w:t>What We Want: A South Australia Where All People with Disability Can Attain the Highest Possible Health and Wellbeing Outcomes Throughout Their Lives</w:t>
      </w:r>
    </w:p>
    <w:p w14:paraId="0782F960" w14:textId="77777777" w:rsidR="008D19CD" w:rsidRPr="008D19CD" w:rsidRDefault="008D19CD" w:rsidP="008D19CD">
      <w:pPr>
        <w:rPr>
          <w:rFonts w:eastAsia="Times New Roman"/>
          <w:szCs w:val="17"/>
        </w:rPr>
      </w:pPr>
      <w:r w:rsidRPr="008D19CD">
        <w:rPr>
          <w:rFonts w:eastAsia="Times New Roman"/>
          <w:szCs w:val="17"/>
        </w:rPr>
        <w:t>Health and wellbeing are critical determinants of a person’s quality of life. People with disability require the same access to health care as all other South Australians yet experience considerable difficulties receiving appropriate care and supports. As a result, people with disability continue to experience poorer quality of life.</w:t>
      </w:r>
    </w:p>
    <w:p w14:paraId="46A58103" w14:textId="77777777" w:rsidR="008D19CD" w:rsidRPr="008D19CD" w:rsidRDefault="008D19CD" w:rsidP="008D19CD">
      <w:pPr>
        <w:rPr>
          <w:rFonts w:eastAsia="Times New Roman"/>
          <w:szCs w:val="17"/>
        </w:rPr>
      </w:pPr>
      <w:r w:rsidRPr="008D19CD">
        <w:rPr>
          <w:rFonts w:eastAsia="Times New Roman"/>
          <w:szCs w:val="17"/>
        </w:rPr>
        <w:t xml:space="preserve">Limited awareness or understanding of disability among some health professionals may contribute to challenges such as people with disability experiencing underdiagnosis, misdiagnosis, treatment delays or emergency mental health interventions. Access to appropriate </w:t>
      </w:r>
      <w:r w:rsidRPr="008D19CD">
        <w:rPr>
          <w:rFonts w:eastAsia="Times New Roman"/>
          <w:spacing w:val="-4"/>
          <w:szCs w:val="17"/>
        </w:rPr>
        <w:t>and timely health and mental health services is crucial to ensure people with disability of all ages and diversities receive the right supports for them.</w:t>
      </w:r>
    </w:p>
    <w:p w14:paraId="56531F37" w14:textId="77777777" w:rsidR="008D19CD" w:rsidRPr="008D19CD" w:rsidRDefault="008D19CD" w:rsidP="008D19CD">
      <w:pPr>
        <w:rPr>
          <w:rFonts w:eastAsia="Times New Roman"/>
          <w:szCs w:val="17"/>
        </w:rPr>
      </w:pPr>
      <w:r w:rsidRPr="008D19CD">
        <w:rPr>
          <w:rFonts w:eastAsia="Times New Roman"/>
          <w:szCs w:val="17"/>
        </w:rPr>
        <w:t>We want a well-connected health and mental health sector that is easy to access, navigate and interact with for all people with disability.</w:t>
      </w:r>
    </w:p>
    <w:p w14:paraId="4DE153A0" w14:textId="77777777" w:rsidR="008D19CD" w:rsidRPr="008D19CD" w:rsidRDefault="008D19CD" w:rsidP="008D19CD">
      <w:pPr>
        <w:rPr>
          <w:rFonts w:eastAsia="Times New Roman"/>
          <w:szCs w:val="17"/>
        </w:rPr>
      </w:pPr>
      <w:r w:rsidRPr="008D19CD">
        <w:rPr>
          <w:rFonts w:eastAsia="Times New Roman"/>
          <w:szCs w:val="17"/>
        </w:rPr>
        <w:t>The following outcomes are designed to drive health and wellbeing and will guide state authorities’ actions within their Disability Access and Inclusion Plans (DAIP). Visit inclusive.sa.gov.au to download each state authority’s DAIP.</w:t>
      </w:r>
    </w:p>
    <w:p w14:paraId="58520860" w14:textId="77777777" w:rsidR="008D19CD" w:rsidRPr="008D19CD" w:rsidRDefault="008D19CD" w:rsidP="008D19CD">
      <w:pPr>
        <w:rPr>
          <w:rFonts w:eastAsia="Times New Roman"/>
          <w:szCs w:val="17"/>
        </w:rPr>
      </w:pPr>
      <w:r w:rsidRPr="008D19CD">
        <w:rPr>
          <w:rFonts w:eastAsia="Times New Roman"/>
          <w:szCs w:val="17"/>
        </w:rPr>
        <w:t>Priority Area 1: Inclusive infrastructure</w:t>
      </w:r>
    </w:p>
    <w:p w14:paraId="5E183040" w14:textId="77777777" w:rsidR="008D19CD" w:rsidRPr="008D19CD" w:rsidRDefault="008D19CD" w:rsidP="008D19CD">
      <w:pPr>
        <w:rPr>
          <w:rFonts w:eastAsia="Times New Roman"/>
          <w:i/>
          <w:iCs/>
          <w:szCs w:val="17"/>
        </w:rPr>
      </w:pPr>
      <w:r w:rsidRPr="008D19CD">
        <w:rPr>
          <w:rFonts w:eastAsia="Times New Roman"/>
          <w:i/>
          <w:iCs/>
          <w:szCs w:val="17"/>
        </w:rPr>
        <w:t>Outcome 1</w:t>
      </w:r>
    </w:p>
    <w:p w14:paraId="60FFFE3C" w14:textId="77777777" w:rsidR="008D19CD" w:rsidRPr="008D19CD" w:rsidRDefault="008D19CD" w:rsidP="008D19CD">
      <w:pPr>
        <w:rPr>
          <w:rFonts w:eastAsia="Times New Roman"/>
          <w:szCs w:val="17"/>
        </w:rPr>
      </w:pPr>
      <w:r w:rsidRPr="008D19CD">
        <w:rPr>
          <w:rFonts w:eastAsia="Times New Roman"/>
          <w:szCs w:val="17"/>
        </w:rPr>
        <w:t>People with disability have full access to, and inclusion within health infrastructure.</w:t>
      </w:r>
    </w:p>
    <w:p w14:paraId="57C92EB8" w14:textId="77777777" w:rsidR="008D19CD" w:rsidRPr="008D19CD" w:rsidRDefault="008D19CD" w:rsidP="008D19CD">
      <w:pPr>
        <w:rPr>
          <w:rFonts w:eastAsia="Times New Roman"/>
          <w:i/>
          <w:iCs/>
          <w:szCs w:val="17"/>
        </w:rPr>
      </w:pPr>
      <w:r w:rsidRPr="008D19CD">
        <w:rPr>
          <w:rFonts w:eastAsia="Times New Roman"/>
          <w:i/>
          <w:iCs/>
          <w:szCs w:val="17"/>
        </w:rPr>
        <w:t>Measure 4.1.1</w:t>
      </w:r>
    </w:p>
    <w:p w14:paraId="5C122A66" w14:textId="77777777" w:rsidR="008D19CD" w:rsidRPr="008D19CD" w:rsidRDefault="008D19CD" w:rsidP="008D19CD">
      <w:pPr>
        <w:rPr>
          <w:rFonts w:eastAsia="Times New Roman"/>
          <w:szCs w:val="17"/>
        </w:rPr>
      </w:pPr>
      <w:r w:rsidRPr="008D19CD">
        <w:rPr>
          <w:rFonts w:eastAsia="Times New Roman"/>
          <w:szCs w:val="17"/>
        </w:rPr>
        <w:t>Total number of healthcare settings audited and the proportion that are compliant.</w:t>
      </w:r>
    </w:p>
    <w:p w14:paraId="3FF177ED" w14:textId="77777777" w:rsidR="008D19CD" w:rsidRPr="008D19CD" w:rsidRDefault="008D19CD" w:rsidP="008D19CD">
      <w:pPr>
        <w:rPr>
          <w:rFonts w:eastAsia="Times New Roman"/>
          <w:szCs w:val="17"/>
        </w:rPr>
      </w:pPr>
      <w:r w:rsidRPr="008D19CD">
        <w:rPr>
          <w:rFonts w:eastAsia="Times New Roman"/>
          <w:szCs w:val="17"/>
        </w:rPr>
        <w:t>State authority: Department for Health and Wellbeing and Local Health Networks</w:t>
      </w:r>
    </w:p>
    <w:p w14:paraId="2D929604" w14:textId="77777777" w:rsidR="008D19CD" w:rsidRPr="008D19CD" w:rsidRDefault="008D19CD" w:rsidP="008D19CD">
      <w:pPr>
        <w:rPr>
          <w:rFonts w:eastAsia="Times New Roman"/>
          <w:szCs w:val="17"/>
        </w:rPr>
      </w:pPr>
      <w:r w:rsidRPr="008D19CD">
        <w:rPr>
          <w:rFonts w:eastAsia="Times New Roman"/>
          <w:szCs w:val="17"/>
        </w:rPr>
        <w:t>Priority area 2: Targeted knowledge, understanding and support</w:t>
      </w:r>
    </w:p>
    <w:p w14:paraId="6B91E5E7" w14:textId="77777777" w:rsidR="008D19CD" w:rsidRPr="008D19CD" w:rsidRDefault="008D19CD" w:rsidP="008D19CD">
      <w:pPr>
        <w:rPr>
          <w:rFonts w:eastAsia="Times New Roman"/>
          <w:i/>
          <w:iCs/>
          <w:szCs w:val="17"/>
        </w:rPr>
      </w:pPr>
      <w:r w:rsidRPr="008D19CD">
        <w:rPr>
          <w:rFonts w:eastAsia="Times New Roman"/>
          <w:i/>
          <w:iCs/>
          <w:szCs w:val="17"/>
        </w:rPr>
        <w:t>Outcome 2</w:t>
      </w:r>
    </w:p>
    <w:p w14:paraId="572DAF93" w14:textId="77777777" w:rsidR="008D19CD" w:rsidRPr="008D19CD" w:rsidRDefault="008D19CD" w:rsidP="008D19CD">
      <w:pPr>
        <w:rPr>
          <w:rFonts w:eastAsia="Times New Roman"/>
          <w:szCs w:val="17"/>
        </w:rPr>
      </w:pPr>
      <w:r w:rsidRPr="008D19CD">
        <w:rPr>
          <w:rFonts w:eastAsia="Times New Roman"/>
          <w:szCs w:val="17"/>
        </w:rPr>
        <w:t>People with disability can access healthcare that is inclusive and responsive to the intersectionality and diversity of disability, recognising the important role of carers.</w:t>
      </w:r>
    </w:p>
    <w:p w14:paraId="0EB58088" w14:textId="77777777" w:rsidR="008D19CD" w:rsidRPr="008D19CD" w:rsidRDefault="008D19CD" w:rsidP="008D19CD">
      <w:pPr>
        <w:rPr>
          <w:rFonts w:eastAsia="Times New Roman"/>
          <w:i/>
          <w:iCs/>
          <w:szCs w:val="17"/>
        </w:rPr>
      </w:pPr>
      <w:r w:rsidRPr="008D19CD">
        <w:rPr>
          <w:rFonts w:eastAsia="Times New Roman"/>
          <w:i/>
          <w:iCs/>
          <w:szCs w:val="17"/>
        </w:rPr>
        <w:t>Measure 4.2.1</w:t>
      </w:r>
    </w:p>
    <w:p w14:paraId="6410AAFC" w14:textId="77777777" w:rsidR="008D19CD" w:rsidRPr="008D19CD" w:rsidRDefault="008D19CD" w:rsidP="008D19CD">
      <w:pPr>
        <w:rPr>
          <w:rFonts w:eastAsia="Times New Roman"/>
          <w:szCs w:val="17"/>
        </w:rPr>
      </w:pPr>
      <w:r w:rsidRPr="008D19CD">
        <w:rPr>
          <w:rFonts w:eastAsia="Times New Roman"/>
          <w:szCs w:val="17"/>
        </w:rPr>
        <w:t>Proportion of healthcare workers equipped with the knowledge, skills and trauma informed principles to confidently support people with diversity of disability within the healthcare setting, For example, training and self-reporting surveys.</w:t>
      </w:r>
    </w:p>
    <w:p w14:paraId="6E7C6D9F" w14:textId="77777777" w:rsidR="008D19CD" w:rsidRPr="008D19CD" w:rsidRDefault="008D19CD" w:rsidP="008D19CD">
      <w:pPr>
        <w:rPr>
          <w:rFonts w:eastAsia="Times New Roman"/>
          <w:szCs w:val="17"/>
        </w:rPr>
      </w:pPr>
      <w:r w:rsidRPr="008D19CD">
        <w:rPr>
          <w:rFonts w:eastAsia="Times New Roman"/>
          <w:szCs w:val="17"/>
        </w:rPr>
        <w:t>State authority: Local Health Networks</w:t>
      </w:r>
    </w:p>
    <w:p w14:paraId="36865211" w14:textId="77777777" w:rsidR="008D19CD" w:rsidRPr="008D19CD" w:rsidRDefault="008D19CD" w:rsidP="008D19CD">
      <w:pPr>
        <w:rPr>
          <w:rFonts w:eastAsia="Times New Roman"/>
          <w:i/>
          <w:iCs/>
          <w:szCs w:val="17"/>
        </w:rPr>
      </w:pPr>
      <w:r w:rsidRPr="008D19CD">
        <w:rPr>
          <w:rFonts w:eastAsia="Times New Roman"/>
          <w:i/>
          <w:iCs/>
          <w:szCs w:val="17"/>
        </w:rPr>
        <w:t>Measure 4.2.2</w:t>
      </w:r>
    </w:p>
    <w:p w14:paraId="5A071FD4" w14:textId="77777777" w:rsidR="008D19CD" w:rsidRPr="008D19CD" w:rsidRDefault="008D19CD" w:rsidP="008D19CD">
      <w:pPr>
        <w:rPr>
          <w:rFonts w:eastAsia="Times New Roman"/>
          <w:szCs w:val="17"/>
        </w:rPr>
      </w:pPr>
      <w:r w:rsidRPr="008D19CD">
        <w:rPr>
          <w:rFonts w:eastAsia="Times New Roman"/>
          <w:szCs w:val="17"/>
        </w:rPr>
        <w:t>Total number of culturally responsive support services and programs available for people with disability, including Aboriginal health workers and supports for regional communities.</w:t>
      </w:r>
    </w:p>
    <w:p w14:paraId="5E5CF70F" w14:textId="77777777" w:rsidR="008D19CD" w:rsidRPr="008D19CD" w:rsidRDefault="008D19CD" w:rsidP="008D19CD">
      <w:pPr>
        <w:rPr>
          <w:rFonts w:eastAsia="Times New Roman"/>
          <w:spacing w:val="-4"/>
          <w:szCs w:val="17"/>
        </w:rPr>
      </w:pPr>
      <w:r w:rsidRPr="008D19CD">
        <w:rPr>
          <w:rFonts w:eastAsia="Times New Roman"/>
          <w:spacing w:val="-4"/>
          <w:szCs w:val="17"/>
        </w:rPr>
        <w:t>Note: Culturally responsive services are defined by Aboriginal communities, guided by policies like Closing the Gap and include trained staff.</w:t>
      </w:r>
    </w:p>
    <w:p w14:paraId="2F7EDBA2" w14:textId="77777777" w:rsidR="008D19CD" w:rsidRPr="008D19CD" w:rsidRDefault="008D19CD" w:rsidP="008D19CD">
      <w:pPr>
        <w:rPr>
          <w:rFonts w:eastAsia="Times New Roman"/>
          <w:szCs w:val="17"/>
        </w:rPr>
      </w:pPr>
      <w:r w:rsidRPr="008D19CD">
        <w:rPr>
          <w:rFonts w:eastAsia="Times New Roman"/>
          <w:szCs w:val="17"/>
        </w:rPr>
        <w:t>State authority: Department for Health and Wellbeing and Local Health Networks</w:t>
      </w:r>
    </w:p>
    <w:p w14:paraId="30BC9FE2" w14:textId="77777777" w:rsidR="008D19CD" w:rsidRPr="008D19CD" w:rsidRDefault="008D19CD" w:rsidP="008D19CD">
      <w:pPr>
        <w:rPr>
          <w:rFonts w:eastAsia="Times New Roman"/>
          <w:szCs w:val="17"/>
        </w:rPr>
      </w:pPr>
      <w:r w:rsidRPr="008D19CD">
        <w:rPr>
          <w:rFonts w:eastAsia="Times New Roman"/>
          <w:szCs w:val="17"/>
        </w:rPr>
        <w:t>Priority area 3: Supports and interventions</w:t>
      </w:r>
    </w:p>
    <w:p w14:paraId="4F4E6643" w14:textId="77777777" w:rsidR="008D19CD" w:rsidRPr="008D19CD" w:rsidRDefault="008D19CD" w:rsidP="008D19CD">
      <w:pPr>
        <w:rPr>
          <w:rFonts w:eastAsia="Times New Roman"/>
          <w:i/>
          <w:iCs/>
          <w:szCs w:val="17"/>
        </w:rPr>
      </w:pPr>
      <w:r w:rsidRPr="008D19CD">
        <w:rPr>
          <w:rFonts w:eastAsia="Times New Roman"/>
          <w:i/>
          <w:iCs/>
          <w:szCs w:val="17"/>
        </w:rPr>
        <w:t>Outcome 3</w:t>
      </w:r>
    </w:p>
    <w:p w14:paraId="0DB5E4EC" w14:textId="77777777" w:rsidR="008D19CD" w:rsidRPr="008D19CD" w:rsidRDefault="008D19CD" w:rsidP="008D19CD">
      <w:pPr>
        <w:rPr>
          <w:rFonts w:eastAsia="Times New Roman"/>
          <w:szCs w:val="17"/>
        </w:rPr>
      </w:pPr>
      <w:r w:rsidRPr="008D19CD">
        <w:rPr>
          <w:rFonts w:eastAsia="Times New Roman"/>
          <w:szCs w:val="17"/>
        </w:rPr>
        <w:t>People with disability receive coordinated health supports that meet their needs, with stronger connections between mental health and disability services.</w:t>
      </w:r>
    </w:p>
    <w:p w14:paraId="161BD747" w14:textId="77777777" w:rsidR="008D19CD" w:rsidRPr="008D19CD" w:rsidRDefault="008D19CD" w:rsidP="008D19CD">
      <w:pPr>
        <w:rPr>
          <w:rFonts w:eastAsia="Times New Roman"/>
          <w:i/>
          <w:iCs/>
          <w:szCs w:val="17"/>
        </w:rPr>
      </w:pPr>
      <w:r w:rsidRPr="008D19CD">
        <w:rPr>
          <w:rFonts w:eastAsia="Times New Roman"/>
          <w:i/>
          <w:iCs/>
          <w:szCs w:val="17"/>
        </w:rPr>
        <w:t>Measure 4.3.1</w:t>
      </w:r>
    </w:p>
    <w:p w14:paraId="451E7258" w14:textId="77777777" w:rsidR="008D19CD" w:rsidRPr="008D19CD" w:rsidRDefault="008D19CD" w:rsidP="008D19CD">
      <w:pPr>
        <w:rPr>
          <w:rFonts w:eastAsia="Times New Roman"/>
          <w:spacing w:val="-4"/>
          <w:szCs w:val="17"/>
        </w:rPr>
      </w:pPr>
      <w:r w:rsidRPr="008D19CD">
        <w:rPr>
          <w:rFonts w:eastAsia="Times New Roman"/>
          <w:spacing w:val="-4"/>
          <w:szCs w:val="17"/>
        </w:rPr>
        <w:t>Total number of pathways in place for people with disability that provide an option of tailored coordination and navigation to meet their needs.</w:t>
      </w:r>
    </w:p>
    <w:p w14:paraId="3C15729C" w14:textId="77777777" w:rsidR="008D19CD" w:rsidRPr="008D19CD" w:rsidRDefault="008D19CD" w:rsidP="008D19CD">
      <w:pPr>
        <w:rPr>
          <w:rFonts w:eastAsia="Times New Roman"/>
          <w:szCs w:val="17"/>
        </w:rPr>
      </w:pPr>
      <w:r w:rsidRPr="008D19CD">
        <w:rPr>
          <w:rFonts w:eastAsia="Times New Roman"/>
          <w:szCs w:val="17"/>
        </w:rPr>
        <w:t>State authority: Department for Health and Wellbeing and Local Health Networks</w:t>
      </w:r>
    </w:p>
    <w:p w14:paraId="1DDA9FF1" w14:textId="77777777" w:rsidR="008D19CD" w:rsidRPr="008D19CD" w:rsidRDefault="008D19CD" w:rsidP="008D19CD">
      <w:pPr>
        <w:rPr>
          <w:rFonts w:eastAsia="Times New Roman"/>
          <w:i/>
          <w:iCs/>
          <w:szCs w:val="17"/>
        </w:rPr>
      </w:pPr>
      <w:r w:rsidRPr="008D19CD">
        <w:rPr>
          <w:rFonts w:eastAsia="Times New Roman"/>
          <w:i/>
          <w:iCs/>
          <w:szCs w:val="17"/>
        </w:rPr>
        <w:t>Measure 4.3.2</w:t>
      </w:r>
    </w:p>
    <w:p w14:paraId="6736AF26" w14:textId="77777777" w:rsidR="008D19CD" w:rsidRPr="008D19CD" w:rsidRDefault="008D19CD" w:rsidP="008D19CD">
      <w:pPr>
        <w:rPr>
          <w:rFonts w:eastAsia="Times New Roman"/>
          <w:szCs w:val="17"/>
        </w:rPr>
      </w:pPr>
      <w:r w:rsidRPr="008D19CD">
        <w:rPr>
          <w:rFonts w:eastAsia="Times New Roman"/>
          <w:szCs w:val="17"/>
        </w:rPr>
        <w:t>Total number of procedures and guidelines that uphold the rights of people with disability.</w:t>
      </w:r>
    </w:p>
    <w:p w14:paraId="37EA3366" w14:textId="77777777" w:rsidR="008D19CD" w:rsidRPr="008D19CD" w:rsidRDefault="008D19CD" w:rsidP="008D19CD">
      <w:pPr>
        <w:rPr>
          <w:rFonts w:eastAsia="Times New Roman"/>
          <w:szCs w:val="17"/>
        </w:rPr>
      </w:pPr>
      <w:r w:rsidRPr="008D19CD">
        <w:rPr>
          <w:rFonts w:eastAsia="Times New Roman"/>
          <w:szCs w:val="17"/>
        </w:rPr>
        <w:t>State authority: Department for Health and Wellbeing and Local Health Networks</w:t>
      </w:r>
    </w:p>
    <w:p w14:paraId="2EC2ADCB" w14:textId="77777777" w:rsidR="008D19CD" w:rsidRPr="008D19CD" w:rsidRDefault="008D19CD" w:rsidP="008D19CD">
      <w:pPr>
        <w:rPr>
          <w:rFonts w:eastAsia="Times New Roman"/>
          <w:i/>
          <w:iCs/>
          <w:szCs w:val="17"/>
        </w:rPr>
      </w:pPr>
      <w:r w:rsidRPr="008D19CD">
        <w:rPr>
          <w:rFonts w:eastAsia="Times New Roman"/>
          <w:i/>
          <w:iCs/>
          <w:szCs w:val="17"/>
        </w:rPr>
        <w:t>Measure 4.3.3</w:t>
      </w:r>
    </w:p>
    <w:p w14:paraId="7D920123" w14:textId="77777777" w:rsidR="008D19CD" w:rsidRPr="008D19CD" w:rsidRDefault="008D19CD" w:rsidP="008D19CD">
      <w:pPr>
        <w:rPr>
          <w:rFonts w:eastAsia="Times New Roman"/>
          <w:szCs w:val="17"/>
        </w:rPr>
      </w:pPr>
      <w:r w:rsidRPr="008D19CD">
        <w:rPr>
          <w:rFonts w:eastAsia="Times New Roman"/>
          <w:szCs w:val="17"/>
        </w:rPr>
        <w:t>Total number of information sharing agreements established between mental health and disability service providers, including any with Aboriginal Community Controlled Organisations (ACCOs).</w:t>
      </w:r>
    </w:p>
    <w:p w14:paraId="654284FD" w14:textId="77777777" w:rsidR="008D19CD" w:rsidRPr="008D19CD" w:rsidRDefault="008D19CD" w:rsidP="008D19CD">
      <w:pPr>
        <w:rPr>
          <w:rFonts w:eastAsia="Times New Roman"/>
          <w:szCs w:val="17"/>
        </w:rPr>
      </w:pPr>
      <w:r w:rsidRPr="008D19CD">
        <w:rPr>
          <w:rFonts w:eastAsia="Times New Roman"/>
          <w:szCs w:val="17"/>
        </w:rPr>
        <w:t>State authority: Department for Health and Wellbeing</w:t>
      </w:r>
    </w:p>
    <w:p w14:paraId="43F4BFB1" w14:textId="77777777" w:rsidR="008D19CD" w:rsidRPr="008D19CD" w:rsidRDefault="008D19CD" w:rsidP="008D19CD">
      <w:pPr>
        <w:rPr>
          <w:rFonts w:eastAsia="Times New Roman"/>
          <w:szCs w:val="17"/>
        </w:rPr>
      </w:pPr>
      <w:r w:rsidRPr="008D19CD">
        <w:rPr>
          <w:rFonts w:eastAsia="Times New Roman"/>
          <w:szCs w:val="17"/>
        </w:rPr>
        <w:t>Domain 5: Safety, rights and justice</w:t>
      </w:r>
    </w:p>
    <w:p w14:paraId="1F6AC4B7" w14:textId="77777777" w:rsidR="008D19CD" w:rsidRPr="008D19CD" w:rsidRDefault="008D19CD" w:rsidP="008D19CD">
      <w:pPr>
        <w:rPr>
          <w:rFonts w:eastAsia="Times New Roman"/>
          <w:b/>
          <w:bCs/>
          <w:szCs w:val="17"/>
        </w:rPr>
      </w:pPr>
      <w:r w:rsidRPr="008D19CD">
        <w:rPr>
          <w:rFonts w:eastAsia="Times New Roman"/>
          <w:b/>
          <w:bCs/>
          <w:szCs w:val="17"/>
        </w:rPr>
        <w:t>What we want: A South Australia where all people with disability feel safe, have their rights upheld and have full and equal protection before the law</w:t>
      </w:r>
    </w:p>
    <w:p w14:paraId="5E096B08" w14:textId="77777777" w:rsidR="008D19CD" w:rsidRPr="008D19CD" w:rsidRDefault="008D19CD" w:rsidP="008D19CD">
      <w:pPr>
        <w:rPr>
          <w:rFonts w:eastAsia="Times New Roman"/>
          <w:szCs w:val="17"/>
        </w:rPr>
      </w:pPr>
      <w:r w:rsidRPr="008D19CD">
        <w:rPr>
          <w:rFonts w:eastAsia="Times New Roman"/>
          <w:szCs w:val="17"/>
        </w:rPr>
        <w:t>People with disability are more likely to experience violence, abuse, neglect and exploitation. These risks may increase depending on a person’s gender, age or cultural background. Additional sentence following on after ‘background’: Women with disability in particular, face a heightened risk of violence, abuse, neglect and exploitation, particularly in domestic and family settings or in sexual contexts.</w:t>
      </w:r>
    </w:p>
    <w:p w14:paraId="2A5C07D8" w14:textId="77777777" w:rsidR="008D19CD" w:rsidRPr="008D19CD" w:rsidRDefault="008D19CD" w:rsidP="008D19CD">
      <w:pPr>
        <w:rPr>
          <w:rFonts w:eastAsia="Times New Roman"/>
          <w:szCs w:val="17"/>
        </w:rPr>
      </w:pPr>
      <w:r w:rsidRPr="008D19CD">
        <w:rPr>
          <w:rFonts w:eastAsia="Times New Roman"/>
          <w:szCs w:val="17"/>
        </w:rPr>
        <w:lastRenderedPageBreak/>
        <w:t>People with disability should receive the right supports and services when interacting with emergency services, criminal justice and civil law systems, whether they be victims, suspects, witnesses, defendants or offenders. These systems must be designed to ensure equality, safety and support for everyone.</w:t>
      </w:r>
    </w:p>
    <w:p w14:paraId="27A5BF90" w14:textId="77777777" w:rsidR="008D19CD" w:rsidRPr="008D19CD" w:rsidRDefault="008D19CD" w:rsidP="008D19CD">
      <w:pPr>
        <w:rPr>
          <w:rFonts w:eastAsia="Times New Roman"/>
          <w:szCs w:val="17"/>
        </w:rPr>
      </w:pPr>
      <w:r w:rsidRPr="008D19CD">
        <w:rPr>
          <w:rFonts w:eastAsia="Times New Roman"/>
          <w:szCs w:val="17"/>
        </w:rPr>
        <w:t>We want to improve the safety and overall experience of people with disability coming into contact with our emergency services, criminal justice and civil law systems.</w:t>
      </w:r>
    </w:p>
    <w:p w14:paraId="1CB2C5D7" w14:textId="77777777" w:rsidR="008D19CD" w:rsidRPr="008D19CD" w:rsidRDefault="008D19CD" w:rsidP="008D19CD">
      <w:pPr>
        <w:rPr>
          <w:rFonts w:eastAsia="Times New Roman"/>
          <w:szCs w:val="17"/>
        </w:rPr>
      </w:pPr>
      <w:r w:rsidRPr="008D19CD">
        <w:rPr>
          <w:rFonts w:eastAsia="Times New Roman"/>
          <w:szCs w:val="17"/>
        </w:rPr>
        <w:t xml:space="preserve">The following outcomes are designed to drive safety, rights and justice and will guide state authorities’ actions within their Disability Access and Inclusion Plans (DAIP). Visit </w:t>
      </w:r>
      <w:hyperlink r:id="rId280" w:history="1">
        <w:r w:rsidRPr="008D19CD">
          <w:rPr>
            <w:rFonts w:eastAsia="Times New Roman"/>
            <w:color w:val="0000FF"/>
            <w:szCs w:val="17"/>
            <w:u w:val="single"/>
          </w:rPr>
          <w:t>inclusive.sa.gov.au</w:t>
        </w:r>
      </w:hyperlink>
      <w:r w:rsidRPr="008D19CD">
        <w:rPr>
          <w:rFonts w:eastAsia="Times New Roman"/>
          <w:szCs w:val="17"/>
        </w:rPr>
        <w:t xml:space="preserve"> to download each state authority’s DAIP.</w:t>
      </w:r>
    </w:p>
    <w:p w14:paraId="115C8A5F" w14:textId="77777777" w:rsidR="008D19CD" w:rsidRPr="008D19CD" w:rsidRDefault="008D19CD" w:rsidP="009A4742">
      <w:pPr>
        <w:spacing w:after="70"/>
        <w:rPr>
          <w:rFonts w:eastAsia="Times New Roman"/>
          <w:szCs w:val="17"/>
        </w:rPr>
      </w:pPr>
      <w:r w:rsidRPr="008D19CD">
        <w:rPr>
          <w:rFonts w:eastAsia="Times New Roman"/>
          <w:szCs w:val="17"/>
        </w:rPr>
        <w:t>Priority Area 1: Targeted knowledge, understanding and support</w:t>
      </w:r>
    </w:p>
    <w:p w14:paraId="26351A02" w14:textId="77777777" w:rsidR="008D19CD" w:rsidRPr="008D19CD" w:rsidRDefault="008D19CD" w:rsidP="009A4742">
      <w:pPr>
        <w:spacing w:after="70"/>
        <w:rPr>
          <w:rFonts w:eastAsia="Times New Roman"/>
          <w:i/>
          <w:iCs/>
          <w:szCs w:val="17"/>
        </w:rPr>
      </w:pPr>
      <w:r w:rsidRPr="008D19CD">
        <w:rPr>
          <w:rFonts w:eastAsia="Times New Roman"/>
          <w:i/>
          <w:iCs/>
          <w:szCs w:val="17"/>
        </w:rPr>
        <w:t>Outcome 1</w:t>
      </w:r>
    </w:p>
    <w:p w14:paraId="5E337ABE" w14:textId="77777777" w:rsidR="008D19CD" w:rsidRPr="008D19CD" w:rsidRDefault="008D19CD" w:rsidP="009A4742">
      <w:pPr>
        <w:spacing w:after="70"/>
        <w:rPr>
          <w:rFonts w:eastAsia="Times New Roman"/>
          <w:szCs w:val="17"/>
        </w:rPr>
      </w:pPr>
      <w:r w:rsidRPr="008D19CD">
        <w:rPr>
          <w:rFonts w:eastAsia="Times New Roman"/>
          <w:szCs w:val="17"/>
        </w:rPr>
        <w:t>People with disability are understood, supported, and have their rights upheld, including within the justice system.</w:t>
      </w:r>
    </w:p>
    <w:p w14:paraId="77F8B7D1" w14:textId="77777777" w:rsidR="008D19CD" w:rsidRPr="008D19CD" w:rsidRDefault="008D19CD" w:rsidP="009A4742">
      <w:pPr>
        <w:spacing w:after="70"/>
        <w:rPr>
          <w:rFonts w:eastAsia="Times New Roman"/>
          <w:i/>
          <w:iCs/>
          <w:szCs w:val="17"/>
        </w:rPr>
      </w:pPr>
      <w:r w:rsidRPr="008D19CD">
        <w:rPr>
          <w:rFonts w:eastAsia="Times New Roman"/>
          <w:i/>
          <w:iCs/>
          <w:szCs w:val="17"/>
        </w:rPr>
        <w:t>Measure 5.1.1</w:t>
      </w:r>
    </w:p>
    <w:p w14:paraId="1BB0C33D" w14:textId="77777777" w:rsidR="008D19CD" w:rsidRPr="008D19CD" w:rsidRDefault="008D19CD" w:rsidP="009A4742">
      <w:pPr>
        <w:spacing w:after="70"/>
        <w:rPr>
          <w:rFonts w:eastAsia="Times New Roman"/>
          <w:szCs w:val="17"/>
        </w:rPr>
      </w:pPr>
      <w:r w:rsidRPr="008D19CD">
        <w:rPr>
          <w:rFonts w:eastAsia="Times New Roman"/>
          <w:szCs w:val="17"/>
        </w:rPr>
        <w:t xml:space="preserve">Proportion of emergency responders and staff in out-of-home care, youth detention and correctional settings equipped with the knowledge, </w:t>
      </w:r>
      <w:r w:rsidRPr="008D19CD">
        <w:rPr>
          <w:rFonts w:eastAsia="Times New Roman"/>
          <w:spacing w:val="-4"/>
          <w:szCs w:val="17"/>
        </w:rPr>
        <w:t>skills and trauma informed principles to confidently support people with all types of disability. For example, training and self-reporting surveys.</w:t>
      </w:r>
    </w:p>
    <w:p w14:paraId="673ECDCE" w14:textId="77777777" w:rsidR="008D19CD" w:rsidRPr="008D19CD" w:rsidRDefault="008D19CD" w:rsidP="009A4742">
      <w:pPr>
        <w:spacing w:after="70"/>
        <w:rPr>
          <w:rFonts w:eastAsia="Times New Roman"/>
          <w:szCs w:val="17"/>
        </w:rPr>
      </w:pPr>
      <w:r w:rsidRPr="008D19CD">
        <w:rPr>
          <w:rFonts w:eastAsia="Times New Roman"/>
          <w:szCs w:val="17"/>
        </w:rPr>
        <w:t>State authority: Department for Child Protection, Department for Correctional Services, Department for Health and Wellbeing, Department of Human Services and South Australia Police</w:t>
      </w:r>
    </w:p>
    <w:p w14:paraId="6F6A3F16" w14:textId="77777777" w:rsidR="008D19CD" w:rsidRPr="008D19CD" w:rsidRDefault="008D19CD" w:rsidP="009A4742">
      <w:pPr>
        <w:spacing w:after="70"/>
        <w:rPr>
          <w:rFonts w:eastAsia="Times New Roman"/>
          <w:i/>
          <w:iCs/>
          <w:szCs w:val="17"/>
        </w:rPr>
      </w:pPr>
      <w:r w:rsidRPr="008D19CD">
        <w:rPr>
          <w:rFonts w:eastAsia="Times New Roman"/>
          <w:i/>
          <w:iCs/>
          <w:szCs w:val="17"/>
        </w:rPr>
        <w:t>Measure 5.1.2</w:t>
      </w:r>
    </w:p>
    <w:p w14:paraId="5A03145E" w14:textId="77777777" w:rsidR="008D19CD" w:rsidRPr="008D19CD" w:rsidRDefault="008D19CD" w:rsidP="009A4742">
      <w:pPr>
        <w:spacing w:after="70"/>
        <w:rPr>
          <w:rFonts w:eastAsia="Times New Roman"/>
          <w:szCs w:val="17"/>
        </w:rPr>
      </w:pPr>
      <w:r w:rsidRPr="008D19CD">
        <w:rPr>
          <w:rFonts w:eastAsia="Times New Roman"/>
          <w:szCs w:val="17"/>
        </w:rPr>
        <w:t>Justice and legal workers are disability confident and respond positively to people with disability (source: ADS).</w:t>
      </w:r>
    </w:p>
    <w:p w14:paraId="43315136" w14:textId="77777777" w:rsidR="008D19CD" w:rsidRPr="008D19CD" w:rsidRDefault="008D19CD" w:rsidP="009A4742">
      <w:pPr>
        <w:spacing w:after="70"/>
        <w:rPr>
          <w:rFonts w:eastAsia="Times New Roman"/>
          <w:szCs w:val="17"/>
        </w:rPr>
      </w:pPr>
      <w:r w:rsidRPr="008D19CD">
        <w:rPr>
          <w:rFonts w:eastAsia="Times New Roman"/>
          <w:szCs w:val="17"/>
        </w:rPr>
        <w:t>State authority: Attorney-General’s Department and Courts Administration Authority</w:t>
      </w:r>
    </w:p>
    <w:p w14:paraId="56055025" w14:textId="77777777" w:rsidR="008D19CD" w:rsidRPr="008D19CD" w:rsidRDefault="008D19CD" w:rsidP="009A4742">
      <w:pPr>
        <w:spacing w:after="70"/>
        <w:rPr>
          <w:rFonts w:eastAsia="Times New Roman"/>
          <w:i/>
          <w:iCs/>
          <w:szCs w:val="17"/>
        </w:rPr>
      </w:pPr>
      <w:r w:rsidRPr="008D19CD">
        <w:rPr>
          <w:rFonts w:eastAsia="Times New Roman"/>
          <w:i/>
          <w:iCs/>
          <w:szCs w:val="17"/>
        </w:rPr>
        <w:t>Measure 5.1.3</w:t>
      </w:r>
    </w:p>
    <w:p w14:paraId="24E078E1" w14:textId="77777777" w:rsidR="008D19CD" w:rsidRPr="008D19CD" w:rsidRDefault="008D19CD" w:rsidP="009A4742">
      <w:pPr>
        <w:spacing w:after="70"/>
        <w:rPr>
          <w:rFonts w:eastAsia="Times New Roman"/>
          <w:szCs w:val="17"/>
        </w:rPr>
      </w:pPr>
      <w:r w:rsidRPr="008D19CD">
        <w:rPr>
          <w:rFonts w:eastAsia="Times New Roman"/>
          <w:szCs w:val="17"/>
        </w:rPr>
        <w:t>Proportion of people with disability who have not experienced discrimination due to disability (source: ADS).</w:t>
      </w:r>
    </w:p>
    <w:p w14:paraId="528A169F" w14:textId="77777777" w:rsidR="008D19CD" w:rsidRPr="008D19CD" w:rsidRDefault="008D19CD" w:rsidP="009A4742">
      <w:pPr>
        <w:spacing w:after="70"/>
        <w:rPr>
          <w:rFonts w:eastAsia="Times New Roman"/>
          <w:szCs w:val="17"/>
        </w:rPr>
      </w:pPr>
      <w:r w:rsidRPr="008D19CD">
        <w:rPr>
          <w:rFonts w:eastAsia="Times New Roman"/>
          <w:szCs w:val="17"/>
        </w:rPr>
        <w:t>Priority area 2: Responding to emergencies</w:t>
      </w:r>
    </w:p>
    <w:p w14:paraId="1692A529" w14:textId="77777777" w:rsidR="008D19CD" w:rsidRPr="008D19CD" w:rsidRDefault="008D19CD" w:rsidP="009A4742">
      <w:pPr>
        <w:spacing w:after="70"/>
        <w:rPr>
          <w:rFonts w:eastAsia="Times New Roman"/>
          <w:i/>
          <w:iCs/>
          <w:szCs w:val="17"/>
        </w:rPr>
      </w:pPr>
      <w:r w:rsidRPr="008D19CD">
        <w:rPr>
          <w:rFonts w:eastAsia="Times New Roman"/>
          <w:i/>
          <w:iCs/>
          <w:szCs w:val="17"/>
        </w:rPr>
        <w:t>Outcome 2</w:t>
      </w:r>
    </w:p>
    <w:p w14:paraId="12D6CFBE" w14:textId="77777777" w:rsidR="008D19CD" w:rsidRPr="008D19CD" w:rsidRDefault="008D19CD" w:rsidP="009A4742">
      <w:pPr>
        <w:spacing w:after="70"/>
        <w:rPr>
          <w:rFonts w:eastAsia="Times New Roman"/>
          <w:szCs w:val="17"/>
        </w:rPr>
      </w:pPr>
      <w:r w:rsidRPr="008D19CD">
        <w:rPr>
          <w:rFonts w:eastAsia="Times New Roman"/>
          <w:szCs w:val="17"/>
        </w:rPr>
        <w:t>People with disability are kept safe during emergencies, with their needs planned for and prioritised.</w:t>
      </w:r>
    </w:p>
    <w:p w14:paraId="55EC6831" w14:textId="77777777" w:rsidR="008D19CD" w:rsidRPr="008D19CD" w:rsidRDefault="008D19CD" w:rsidP="009A4742">
      <w:pPr>
        <w:spacing w:after="70"/>
        <w:rPr>
          <w:rFonts w:eastAsia="Times New Roman"/>
          <w:i/>
          <w:iCs/>
          <w:szCs w:val="17"/>
        </w:rPr>
      </w:pPr>
      <w:r w:rsidRPr="008D19CD">
        <w:rPr>
          <w:rFonts w:eastAsia="Times New Roman"/>
          <w:i/>
          <w:iCs/>
          <w:szCs w:val="17"/>
        </w:rPr>
        <w:t>Measure 5.2.1</w:t>
      </w:r>
    </w:p>
    <w:p w14:paraId="6965F42B" w14:textId="77777777" w:rsidR="008D19CD" w:rsidRPr="008D19CD" w:rsidRDefault="008D19CD" w:rsidP="009A4742">
      <w:pPr>
        <w:spacing w:after="70"/>
        <w:rPr>
          <w:rFonts w:eastAsia="Times New Roman"/>
          <w:szCs w:val="17"/>
        </w:rPr>
      </w:pPr>
      <w:r w:rsidRPr="008D19CD">
        <w:rPr>
          <w:rFonts w:eastAsia="Times New Roman"/>
          <w:szCs w:val="17"/>
        </w:rPr>
        <w:t>Total number of emergency response resources and systems developed for people with disability.</w:t>
      </w:r>
    </w:p>
    <w:p w14:paraId="075503B2" w14:textId="77777777" w:rsidR="008D19CD" w:rsidRPr="008D19CD" w:rsidRDefault="008D19CD" w:rsidP="009A4742">
      <w:pPr>
        <w:spacing w:after="70"/>
        <w:rPr>
          <w:rFonts w:eastAsia="Times New Roman"/>
          <w:szCs w:val="17"/>
        </w:rPr>
      </w:pPr>
      <w:r w:rsidRPr="008D19CD">
        <w:rPr>
          <w:rFonts w:eastAsia="Times New Roman"/>
          <w:szCs w:val="17"/>
        </w:rPr>
        <w:t>State authority: All state authorities</w:t>
      </w:r>
    </w:p>
    <w:p w14:paraId="637B709F" w14:textId="77777777" w:rsidR="008D19CD" w:rsidRPr="008D19CD" w:rsidRDefault="008D19CD" w:rsidP="009A4742">
      <w:pPr>
        <w:spacing w:after="70"/>
        <w:rPr>
          <w:rFonts w:eastAsia="Times New Roman"/>
          <w:szCs w:val="17"/>
        </w:rPr>
      </w:pPr>
      <w:r w:rsidRPr="008D19CD">
        <w:rPr>
          <w:rFonts w:eastAsia="Times New Roman"/>
          <w:szCs w:val="17"/>
        </w:rPr>
        <w:t>Priority area 3: Support and navigating the justice system</w:t>
      </w:r>
    </w:p>
    <w:p w14:paraId="119C5D01" w14:textId="77777777" w:rsidR="008D19CD" w:rsidRPr="008D19CD" w:rsidRDefault="008D19CD" w:rsidP="009A4742">
      <w:pPr>
        <w:spacing w:after="70"/>
        <w:rPr>
          <w:rFonts w:eastAsia="Times New Roman"/>
          <w:i/>
          <w:iCs/>
          <w:szCs w:val="17"/>
        </w:rPr>
      </w:pPr>
      <w:r w:rsidRPr="008D19CD">
        <w:rPr>
          <w:rFonts w:eastAsia="Times New Roman"/>
          <w:i/>
          <w:iCs/>
          <w:szCs w:val="17"/>
        </w:rPr>
        <w:t>Outcome 3</w:t>
      </w:r>
    </w:p>
    <w:p w14:paraId="36A8AFA7" w14:textId="77777777" w:rsidR="008D19CD" w:rsidRPr="008D19CD" w:rsidRDefault="008D19CD" w:rsidP="009A4742">
      <w:pPr>
        <w:spacing w:after="70"/>
        <w:rPr>
          <w:rFonts w:eastAsia="Times New Roman"/>
          <w:szCs w:val="17"/>
        </w:rPr>
      </w:pPr>
      <w:r w:rsidRPr="008D19CD">
        <w:rPr>
          <w:rFonts w:eastAsia="Times New Roman"/>
          <w:szCs w:val="17"/>
        </w:rPr>
        <w:t>People with disability receive the right supports for them when navigating the justice system.</w:t>
      </w:r>
    </w:p>
    <w:p w14:paraId="00676DAB" w14:textId="77777777" w:rsidR="008D19CD" w:rsidRPr="008D19CD" w:rsidRDefault="008D19CD" w:rsidP="009A4742">
      <w:pPr>
        <w:spacing w:after="70"/>
        <w:rPr>
          <w:rFonts w:eastAsia="Times New Roman"/>
          <w:i/>
          <w:iCs/>
          <w:szCs w:val="17"/>
        </w:rPr>
      </w:pPr>
      <w:r w:rsidRPr="008D19CD">
        <w:rPr>
          <w:rFonts w:eastAsia="Times New Roman"/>
          <w:i/>
          <w:iCs/>
          <w:szCs w:val="17"/>
        </w:rPr>
        <w:t>Measure 5.3.1</w:t>
      </w:r>
    </w:p>
    <w:p w14:paraId="1AE6DDFD" w14:textId="77777777" w:rsidR="008D19CD" w:rsidRPr="008D19CD" w:rsidRDefault="008D19CD" w:rsidP="009A4742">
      <w:pPr>
        <w:spacing w:after="70"/>
        <w:rPr>
          <w:rFonts w:eastAsia="Times New Roman"/>
          <w:szCs w:val="17"/>
        </w:rPr>
      </w:pPr>
      <w:r w:rsidRPr="008D19CD">
        <w:rPr>
          <w:rFonts w:eastAsia="Times New Roman"/>
          <w:szCs w:val="17"/>
        </w:rPr>
        <w:t>Total number of trauma informed services to identify and support people with disability in the justice system, including access to legal representation.</w:t>
      </w:r>
    </w:p>
    <w:p w14:paraId="25DEF47A" w14:textId="77777777" w:rsidR="008D19CD" w:rsidRPr="008D19CD" w:rsidRDefault="008D19CD" w:rsidP="009A4742">
      <w:pPr>
        <w:spacing w:after="70"/>
        <w:rPr>
          <w:rFonts w:eastAsia="Times New Roman"/>
          <w:szCs w:val="17"/>
        </w:rPr>
      </w:pPr>
      <w:r w:rsidRPr="008D19CD">
        <w:rPr>
          <w:rFonts w:eastAsia="Times New Roman"/>
          <w:szCs w:val="17"/>
        </w:rPr>
        <w:t>State authority: Attorney-General’s Department, Courts Administration Authority, Department for Correctional Services, Department of Human Services and South Australia Police</w:t>
      </w:r>
    </w:p>
    <w:p w14:paraId="7555ABB5" w14:textId="77777777" w:rsidR="008D19CD" w:rsidRPr="008D19CD" w:rsidRDefault="008D19CD" w:rsidP="009A4742">
      <w:pPr>
        <w:spacing w:after="70"/>
        <w:rPr>
          <w:rFonts w:eastAsia="Times New Roman"/>
          <w:szCs w:val="17"/>
        </w:rPr>
      </w:pPr>
      <w:r w:rsidRPr="008D19CD">
        <w:rPr>
          <w:rFonts w:eastAsia="Times New Roman"/>
          <w:szCs w:val="17"/>
        </w:rPr>
        <w:t>Priority area 4: Consultation and collaboration</w:t>
      </w:r>
    </w:p>
    <w:p w14:paraId="72A93237" w14:textId="77777777" w:rsidR="008D19CD" w:rsidRPr="008D19CD" w:rsidRDefault="008D19CD" w:rsidP="009A4742">
      <w:pPr>
        <w:spacing w:after="70"/>
        <w:rPr>
          <w:rFonts w:eastAsia="Times New Roman"/>
          <w:i/>
          <w:iCs/>
          <w:szCs w:val="17"/>
        </w:rPr>
      </w:pPr>
      <w:r w:rsidRPr="008D19CD">
        <w:rPr>
          <w:rFonts w:eastAsia="Times New Roman"/>
          <w:i/>
          <w:iCs/>
          <w:szCs w:val="17"/>
        </w:rPr>
        <w:t>Outcome 4</w:t>
      </w:r>
    </w:p>
    <w:p w14:paraId="5FF864BC" w14:textId="77777777" w:rsidR="008D19CD" w:rsidRPr="008D19CD" w:rsidRDefault="008D19CD" w:rsidP="009A4742">
      <w:pPr>
        <w:spacing w:after="70"/>
        <w:rPr>
          <w:rFonts w:eastAsia="Times New Roman"/>
          <w:szCs w:val="17"/>
        </w:rPr>
      </w:pPr>
      <w:r w:rsidRPr="008D19CD">
        <w:rPr>
          <w:rFonts w:eastAsia="Times New Roman"/>
          <w:szCs w:val="17"/>
        </w:rPr>
        <w:t>People with disability are involved in the design and delivery of policies, programs and laws.</w:t>
      </w:r>
    </w:p>
    <w:p w14:paraId="573D6AC5" w14:textId="77777777" w:rsidR="008D19CD" w:rsidRPr="008D19CD" w:rsidRDefault="008D19CD" w:rsidP="009A4742">
      <w:pPr>
        <w:spacing w:after="70"/>
        <w:rPr>
          <w:rFonts w:eastAsia="Times New Roman"/>
          <w:i/>
          <w:iCs/>
          <w:szCs w:val="17"/>
        </w:rPr>
      </w:pPr>
      <w:r w:rsidRPr="008D19CD">
        <w:rPr>
          <w:rFonts w:eastAsia="Times New Roman"/>
          <w:i/>
          <w:iCs/>
          <w:szCs w:val="17"/>
        </w:rPr>
        <w:t>Measure 5.4.1</w:t>
      </w:r>
    </w:p>
    <w:p w14:paraId="6A35E5AD" w14:textId="77777777" w:rsidR="008D19CD" w:rsidRPr="008D19CD" w:rsidRDefault="008D19CD" w:rsidP="009A4742">
      <w:pPr>
        <w:spacing w:after="70"/>
        <w:rPr>
          <w:rFonts w:eastAsia="Times New Roman"/>
          <w:szCs w:val="17"/>
        </w:rPr>
      </w:pPr>
      <w:r w:rsidRPr="008D19CD">
        <w:rPr>
          <w:rFonts w:eastAsia="Times New Roman"/>
          <w:szCs w:val="17"/>
        </w:rPr>
        <w:t>Total number of policies, programs and laws that have been informed by people with disability with lived experience of the justice system.</w:t>
      </w:r>
    </w:p>
    <w:p w14:paraId="30B8FD15" w14:textId="77777777" w:rsidR="008D19CD" w:rsidRPr="008D19CD" w:rsidRDefault="008D19CD" w:rsidP="009A4742">
      <w:pPr>
        <w:spacing w:after="70"/>
        <w:rPr>
          <w:rFonts w:eastAsia="Times New Roman"/>
          <w:szCs w:val="17"/>
        </w:rPr>
      </w:pPr>
      <w:r w:rsidRPr="008D19CD">
        <w:rPr>
          <w:rFonts w:eastAsia="Times New Roman"/>
          <w:szCs w:val="17"/>
        </w:rPr>
        <w:t>State authority: Attorney-General’s Department, Courts Administration Authority, Department for Correctional Services, Department of Human Services and South Australia Police</w:t>
      </w:r>
    </w:p>
    <w:p w14:paraId="43D1E34C" w14:textId="77777777" w:rsidR="008D19CD" w:rsidRPr="008D19CD" w:rsidRDefault="008D19CD" w:rsidP="009A4742">
      <w:pPr>
        <w:spacing w:after="70"/>
        <w:rPr>
          <w:rFonts w:eastAsia="Times New Roman"/>
          <w:szCs w:val="17"/>
        </w:rPr>
      </w:pPr>
      <w:r w:rsidRPr="008D19CD">
        <w:rPr>
          <w:rFonts w:eastAsia="Times New Roman"/>
          <w:szCs w:val="17"/>
        </w:rPr>
        <w:t>Priority area 5: Safeguarding</w:t>
      </w:r>
    </w:p>
    <w:p w14:paraId="6609BE30" w14:textId="77777777" w:rsidR="008D19CD" w:rsidRPr="008D19CD" w:rsidRDefault="008D19CD" w:rsidP="009A4742">
      <w:pPr>
        <w:spacing w:after="70"/>
        <w:rPr>
          <w:rFonts w:eastAsia="Times New Roman"/>
          <w:i/>
          <w:iCs/>
          <w:szCs w:val="17"/>
        </w:rPr>
      </w:pPr>
      <w:r w:rsidRPr="008D19CD">
        <w:rPr>
          <w:rFonts w:eastAsia="Times New Roman"/>
          <w:i/>
          <w:iCs/>
          <w:szCs w:val="17"/>
        </w:rPr>
        <w:t>Outcome 5</w:t>
      </w:r>
    </w:p>
    <w:p w14:paraId="1ED220A4" w14:textId="77777777" w:rsidR="008D19CD" w:rsidRPr="008D19CD" w:rsidRDefault="008D19CD" w:rsidP="009A4742">
      <w:pPr>
        <w:spacing w:after="70"/>
        <w:rPr>
          <w:rFonts w:eastAsia="Times New Roman"/>
          <w:szCs w:val="17"/>
        </w:rPr>
      </w:pPr>
      <w:r w:rsidRPr="008D19CD">
        <w:rPr>
          <w:rFonts w:eastAsia="Times New Roman"/>
          <w:szCs w:val="17"/>
        </w:rPr>
        <w:t>People with disability can access effective, inclusive and responsive safeguarding supports and services.</w:t>
      </w:r>
    </w:p>
    <w:p w14:paraId="7E3AE7F3" w14:textId="77777777" w:rsidR="008D19CD" w:rsidRPr="008D19CD" w:rsidRDefault="008D19CD" w:rsidP="009A4742">
      <w:pPr>
        <w:spacing w:after="70"/>
        <w:rPr>
          <w:rFonts w:eastAsia="Times New Roman"/>
          <w:i/>
          <w:iCs/>
          <w:szCs w:val="17"/>
        </w:rPr>
      </w:pPr>
      <w:r w:rsidRPr="008D19CD">
        <w:rPr>
          <w:rFonts w:eastAsia="Times New Roman"/>
          <w:i/>
          <w:iCs/>
          <w:szCs w:val="17"/>
        </w:rPr>
        <w:t>Measure 5.5.1</w:t>
      </w:r>
    </w:p>
    <w:p w14:paraId="34E15435" w14:textId="77777777" w:rsidR="008D19CD" w:rsidRPr="008D19CD" w:rsidRDefault="008D19CD" w:rsidP="009A4742">
      <w:pPr>
        <w:spacing w:after="70"/>
        <w:rPr>
          <w:rFonts w:eastAsia="Times New Roman"/>
          <w:szCs w:val="17"/>
        </w:rPr>
      </w:pPr>
      <w:r w:rsidRPr="008D19CD">
        <w:rPr>
          <w:rFonts w:eastAsia="Times New Roman"/>
          <w:szCs w:val="17"/>
        </w:rPr>
        <w:t>Proportion of recommendations being addressed within the Disability Royal Commission that are South Australia’s responsibility.</w:t>
      </w:r>
    </w:p>
    <w:p w14:paraId="436843B4" w14:textId="77777777" w:rsidR="008D19CD" w:rsidRPr="008D19CD" w:rsidRDefault="008D19CD" w:rsidP="009A4742">
      <w:pPr>
        <w:spacing w:after="70"/>
        <w:rPr>
          <w:rFonts w:eastAsia="Times New Roman"/>
          <w:szCs w:val="17"/>
        </w:rPr>
      </w:pPr>
      <w:r w:rsidRPr="008D19CD">
        <w:rPr>
          <w:rFonts w:eastAsia="Times New Roman"/>
          <w:szCs w:val="17"/>
        </w:rPr>
        <w:t>State authority: Department of Human Services</w:t>
      </w:r>
    </w:p>
    <w:p w14:paraId="11FA310D" w14:textId="77777777" w:rsidR="008D19CD" w:rsidRPr="008D19CD" w:rsidRDefault="008D19CD" w:rsidP="009A4742">
      <w:pPr>
        <w:spacing w:after="70"/>
        <w:rPr>
          <w:rFonts w:eastAsia="Times New Roman"/>
          <w:i/>
          <w:iCs/>
          <w:szCs w:val="17"/>
        </w:rPr>
      </w:pPr>
      <w:r w:rsidRPr="008D19CD">
        <w:rPr>
          <w:rFonts w:eastAsia="Times New Roman"/>
          <w:i/>
          <w:iCs/>
          <w:szCs w:val="17"/>
        </w:rPr>
        <w:t>Measure 5.5.2</w:t>
      </w:r>
    </w:p>
    <w:p w14:paraId="46387F56" w14:textId="77777777" w:rsidR="008D19CD" w:rsidRPr="008D19CD" w:rsidRDefault="008D19CD" w:rsidP="009A4742">
      <w:pPr>
        <w:spacing w:after="70"/>
        <w:rPr>
          <w:rFonts w:eastAsia="Times New Roman"/>
          <w:szCs w:val="17"/>
        </w:rPr>
      </w:pPr>
      <w:r w:rsidRPr="008D19CD">
        <w:rPr>
          <w:rFonts w:eastAsia="Times New Roman"/>
          <w:szCs w:val="17"/>
        </w:rPr>
        <w:t>Proportion of Closing the Gap Disability Sector Strengthening Plan implemented.</w:t>
      </w:r>
    </w:p>
    <w:p w14:paraId="0079E841" w14:textId="77777777" w:rsidR="008D19CD" w:rsidRPr="008D19CD" w:rsidRDefault="008D19CD" w:rsidP="009A4742">
      <w:pPr>
        <w:spacing w:after="70"/>
        <w:rPr>
          <w:rFonts w:eastAsia="Times New Roman"/>
          <w:szCs w:val="17"/>
        </w:rPr>
      </w:pPr>
      <w:r w:rsidRPr="008D19CD">
        <w:rPr>
          <w:rFonts w:eastAsia="Times New Roman"/>
          <w:szCs w:val="17"/>
        </w:rPr>
        <w:t>State authority: Department of Human Services</w:t>
      </w:r>
    </w:p>
    <w:p w14:paraId="5FCFA934" w14:textId="77777777" w:rsidR="008D19CD" w:rsidRPr="008D19CD" w:rsidRDefault="008D19CD" w:rsidP="009A4742">
      <w:pPr>
        <w:spacing w:after="70"/>
        <w:rPr>
          <w:rFonts w:eastAsia="Times New Roman"/>
          <w:i/>
          <w:iCs/>
          <w:szCs w:val="17"/>
        </w:rPr>
      </w:pPr>
      <w:r w:rsidRPr="008D19CD">
        <w:rPr>
          <w:rFonts w:eastAsia="Times New Roman"/>
          <w:i/>
          <w:iCs/>
          <w:szCs w:val="17"/>
        </w:rPr>
        <w:t>Measure 5.5.3</w:t>
      </w:r>
    </w:p>
    <w:p w14:paraId="3C9B1472" w14:textId="77777777" w:rsidR="008D19CD" w:rsidRPr="008D19CD" w:rsidRDefault="008D19CD" w:rsidP="009A4742">
      <w:pPr>
        <w:spacing w:after="70"/>
        <w:rPr>
          <w:rFonts w:eastAsia="Times New Roman"/>
          <w:szCs w:val="17"/>
        </w:rPr>
      </w:pPr>
      <w:r w:rsidRPr="008D19CD">
        <w:rPr>
          <w:rFonts w:eastAsia="Times New Roman"/>
          <w:szCs w:val="17"/>
        </w:rPr>
        <w:t>Total number and type of authorised restrictive practices.</w:t>
      </w:r>
    </w:p>
    <w:p w14:paraId="246C3594" w14:textId="77777777" w:rsidR="008D19CD" w:rsidRPr="008D19CD" w:rsidRDefault="008D19CD" w:rsidP="009A4742">
      <w:pPr>
        <w:spacing w:after="70"/>
        <w:rPr>
          <w:rFonts w:eastAsia="Times New Roman"/>
          <w:szCs w:val="17"/>
        </w:rPr>
      </w:pPr>
      <w:r w:rsidRPr="008D19CD">
        <w:rPr>
          <w:rFonts w:eastAsia="Times New Roman"/>
          <w:szCs w:val="17"/>
        </w:rPr>
        <w:t>State authority: Department for Child Protection, Department for Correctional Services, Department for Health and Wellbeing, Department of Human Services, Local Health Networks and South Australia Police</w:t>
      </w:r>
    </w:p>
    <w:p w14:paraId="66503246" w14:textId="77777777" w:rsidR="008D19CD" w:rsidRPr="008D19CD" w:rsidRDefault="008D19CD" w:rsidP="008D19CD">
      <w:pPr>
        <w:rPr>
          <w:rFonts w:eastAsia="Times New Roman"/>
          <w:b/>
          <w:bCs/>
          <w:szCs w:val="17"/>
        </w:rPr>
      </w:pPr>
      <w:r w:rsidRPr="008D19CD">
        <w:rPr>
          <w:rFonts w:eastAsia="Times New Roman"/>
          <w:b/>
          <w:bCs/>
          <w:szCs w:val="17"/>
        </w:rPr>
        <w:t>Keeping the Community Informed</w:t>
      </w:r>
    </w:p>
    <w:p w14:paraId="2DA59A85" w14:textId="77777777" w:rsidR="008D19CD" w:rsidRPr="008D19CD" w:rsidRDefault="008D19CD" w:rsidP="008D19CD">
      <w:pPr>
        <w:rPr>
          <w:rFonts w:eastAsia="Times New Roman"/>
          <w:szCs w:val="17"/>
        </w:rPr>
      </w:pPr>
      <w:r w:rsidRPr="008D19CD">
        <w:rPr>
          <w:rFonts w:eastAsia="Times New Roman"/>
          <w:szCs w:val="17"/>
        </w:rPr>
        <w:t>We are committed to ensuring the disability community stays updated on the progress we’re making towards our vision. We also want to highlight the positive work state authorities are undertaking to achieve the outcomes of the State Plan and their individual DAIP.</w:t>
      </w:r>
    </w:p>
    <w:p w14:paraId="4525BA28" w14:textId="77777777" w:rsidR="008D19CD" w:rsidRPr="008D19CD" w:rsidRDefault="008D19CD" w:rsidP="008D19CD">
      <w:pPr>
        <w:rPr>
          <w:rFonts w:eastAsia="Times New Roman"/>
          <w:szCs w:val="17"/>
        </w:rPr>
      </w:pPr>
      <w:r w:rsidRPr="008D19CD">
        <w:rPr>
          <w:rFonts w:eastAsia="Times New Roman"/>
          <w:szCs w:val="17"/>
        </w:rPr>
        <w:t xml:space="preserve">A copy of the State Plan is available at </w:t>
      </w:r>
      <w:hyperlink r:id="rId281" w:history="1">
        <w:r w:rsidRPr="008D19CD">
          <w:rPr>
            <w:rFonts w:eastAsia="Times New Roman"/>
            <w:color w:val="0000FF"/>
            <w:szCs w:val="17"/>
            <w:u w:val="single"/>
          </w:rPr>
          <w:t>inclusive.sa.gov.au</w:t>
        </w:r>
      </w:hyperlink>
      <w:r w:rsidRPr="008D19CD">
        <w:rPr>
          <w:rFonts w:eastAsia="Times New Roman"/>
          <w:szCs w:val="17"/>
        </w:rPr>
        <w:t xml:space="preserve"> in various accessible formats.</w:t>
      </w:r>
    </w:p>
    <w:p w14:paraId="53636234" w14:textId="77777777" w:rsidR="008D19CD" w:rsidRPr="008D19CD" w:rsidRDefault="008D19CD" w:rsidP="009A4742">
      <w:pPr>
        <w:spacing w:after="60"/>
        <w:rPr>
          <w:rFonts w:eastAsia="Times New Roman"/>
          <w:szCs w:val="17"/>
        </w:rPr>
      </w:pPr>
      <w:r w:rsidRPr="008D19CD">
        <w:rPr>
          <w:rFonts w:eastAsia="Times New Roman"/>
          <w:szCs w:val="17"/>
        </w:rPr>
        <w:t xml:space="preserve">All state authorities are required to publish their DAIP in accessible formats and in an accessible location on the authority’s website. A link to the DAIP will also be published on </w:t>
      </w:r>
      <w:hyperlink r:id="rId282" w:history="1">
        <w:r w:rsidRPr="008D19CD">
          <w:rPr>
            <w:rFonts w:eastAsia="Times New Roman"/>
            <w:color w:val="0000FF"/>
            <w:szCs w:val="17"/>
            <w:u w:val="single"/>
          </w:rPr>
          <w:t>inclusive.sa.gov.au.</w:t>
        </w:r>
      </w:hyperlink>
    </w:p>
    <w:p w14:paraId="26BB3E48" w14:textId="77777777" w:rsidR="008D19CD" w:rsidRPr="008D19CD" w:rsidRDefault="008D19CD" w:rsidP="009A4742">
      <w:pPr>
        <w:spacing w:after="60"/>
        <w:rPr>
          <w:rFonts w:eastAsia="Times New Roman"/>
          <w:szCs w:val="17"/>
        </w:rPr>
      </w:pPr>
      <w:r w:rsidRPr="008D19CD">
        <w:rPr>
          <w:rFonts w:eastAsia="Times New Roman"/>
          <w:szCs w:val="17"/>
        </w:rPr>
        <w:lastRenderedPageBreak/>
        <w:t>For each calendar year, DHS will produce an annual report on both the State Plan and DAIP. This report will be provided to the Minister for Human Services by June the following year for tabling in both Houses of Parliament and then made public. The annual report will be published on the website in accessible formats.</w:t>
      </w:r>
    </w:p>
    <w:p w14:paraId="78511E61" w14:textId="77777777" w:rsidR="008D19CD" w:rsidRPr="008D19CD" w:rsidRDefault="008D19CD" w:rsidP="009A4742">
      <w:pPr>
        <w:spacing w:after="60"/>
        <w:rPr>
          <w:rFonts w:eastAsia="Times New Roman"/>
          <w:szCs w:val="17"/>
        </w:rPr>
      </w:pPr>
      <w:r w:rsidRPr="008D19CD">
        <w:rPr>
          <w:rFonts w:eastAsia="Times New Roman"/>
          <w:szCs w:val="17"/>
        </w:rPr>
        <w:t>We will also highlight our activities on the website so the disability community can stay updated on work occurring, further consultation activities underway and other opportunities for engagement.</w:t>
      </w:r>
    </w:p>
    <w:p w14:paraId="5B07615A" w14:textId="77777777" w:rsidR="008D19CD" w:rsidRPr="008D19CD" w:rsidRDefault="008D19CD" w:rsidP="009A4742">
      <w:pPr>
        <w:spacing w:after="60"/>
        <w:rPr>
          <w:rFonts w:eastAsia="Times New Roman"/>
          <w:b/>
          <w:bCs/>
          <w:szCs w:val="17"/>
        </w:rPr>
      </w:pPr>
      <w:r w:rsidRPr="008D19CD">
        <w:rPr>
          <w:rFonts w:eastAsia="Times New Roman"/>
          <w:b/>
          <w:bCs/>
          <w:szCs w:val="17"/>
        </w:rPr>
        <w:t>Glossary</w:t>
      </w:r>
    </w:p>
    <w:p w14:paraId="452EAC1C" w14:textId="77777777" w:rsidR="008D19CD" w:rsidRPr="008D19CD" w:rsidRDefault="008D19CD" w:rsidP="009A4742">
      <w:pPr>
        <w:spacing w:after="60"/>
        <w:rPr>
          <w:rFonts w:eastAsia="Times New Roman"/>
          <w:i/>
          <w:iCs/>
          <w:szCs w:val="17"/>
        </w:rPr>
      </w:pPr>
      <w:r w:rsidRPr="008D19CD">
        <w:rPr>
          <w:rFonts w:eastAsia="Times New Roman"/>
          <w:i/>
          <w:iCs/>
          <w:szCs w:val="17"/>
        </w:rPr>
        <w:t>Advocacy</w:t>
      </w:r>
    </w:p>
    <w:p w14:paraId="2A8D9606" w14:textId="77777777" w:rsidR="008D19CD" w:rsidRPr="008D19CD" w:rsidRDefault="008D19CD" w:rsidP="009A4742">
      <w:pPr>
        <w:spacing w:after="60"/>
        <w:rPr>
          <w:rFonts w:eastAsia="Times New Roman"/>
          <w:szCs w:val="17"/>
        </w:rPr>
      </w:pPr>
      <w:r w:rsidRPr="008D19CD">
        <w:rPr>
          <w:rFonts w:eastAsia="Times New Roman"/>
          <w:szCs w:val="17"/>
        </w:rPr>
        <w:t xml:space="preserve">Support that helps people with disability speak up, understand their rights, and make decisions. This includes independent advocacy </w:t>
      </w:r>
      <w:r w:rsidRPr="008D19CD">
        <w:rPr>
          <w:rFonts w:eastAsia="Times New Roman"/>
          <w:spacing w:val="-2"/>
          <w:szCs w:val="17"/>
        </w:rPr>
        <w:t>(support from someone not connected to a service) and also microboards (a small group that supports one person to take control of their life).</w:t>
      </w:r>
    </w:p>
    <w:p w14:paraId="14C13495" w14:textId="77777777" w:rsidR="008D19CD" w:rsidRPr="008D19CD" w:rsidRDefault="008D19CD" w:rsidP="009A4742">
      <w:pPr>
        <w:spacing w:after="60"/>
        <w:rPr>
          <w:rFonts w:eastAsia="Times New Roman"/>
          <w:i/>
          <w:iCs/>
          <w:szCs w:val="17"/>
        </w:rPr>
      </w:pPr>
      <w:r w:rsidRPr="008D19CD">
        <w:rPr>
          <w:rFonts w:eastAsia="Times New Roman"/>
          <w:i/>
          <w:iCs/>
          <w:szCs w:val="17"/>
        </w:rPr>
        <w:t>Augmentative and Alternative Communication (AAC)</w:t>
      </w:r>
    </w:p>
    <w:p w14:paraId="530AE7C8" w14:textId="77777777" w:rsidR="008D19CD" w:rsidRPr="008D19CD" w:rsidRDefault="008D19CD" w:rsidP="009A4742">
      <w:pPr>
        <w:spacing w:after="60"/>
        <w:rPr>
          <w:rFonts w:eastAsia="Times New Roman"/>
          <w:szCs w:val="17"/>
        </w:rPr>
      </w:pPr>
      <w:r w:rsidRPr="008D19CD">
        <w:rPr>
          <w:rFonts w:eastAsia="Times New Roman"/>
          <w:szCs w:val="17"/>
        </w:rPr>
        <w:t>Ways to communicate other than speech. These might be body movements or gestures, sign language, technology such as computers or tablets, communication books or printed materials.</w:t>
      </w:r>
    </w:p>
    <w:p w14:paraId="646AD193" w14:textId="77777777" w:rsidR="008D19CD" w:rsidRPr="008D19CD" w:rsidRDefault="008D19CD" w:rsidP="009A4742">
      <w:pPr>
        <w:spacing w:after="60"/>
        <w:rPr>
          <w:rFonts w:eastAsia="Times New Roman"/>
          <w:i/>
          <w:iCs/>
          <w:szCs w:val="17"/>
        </w:rPr>
      </w:pPr>
      <w:r w:rsidRPr="008D19CD">
        <w:rPr>
          <w:rFonts w:eastAsia="Times New Roman"/>
          <w:i/>
          <w:iCs/>
          <w:szCs w:val="17"/>
        </w:rPr>
        <w:t>Best practice</w:t>
      </w:r>
    </w:p>
    <w:p w14:paraId="70F6E026" w14:textId="77777777" w:rsidR="008D19CD" w:rsidRPr="008D19CD" w:rsidRDefault="008D19CD" w:rsidP="009A4742">
      <w:pPr>
        <w:spacing w:after="60"/>
        <w:rPr>
          <w:rFonts w:eastAsia="Times New Roman"/>
          <w:szCs w:val="17"/>
        </w:rPr>
      </w:pPr>
      <w:r w:rsidRPr="008D19CD">
        <w:rPr>
          <w:rFonts w:eastAsia="Times New Roman"/>
          <w:szCs w:val="17"/>
        </w:rPr>
        <w:t>A method or technique that has been generally accepted as superior to any alternatives because it produces results that are better than those achieved by other means, or because it has become a standard way of doing things.</w:t>
      </w:r>
    </w:p>
    <w:p w14:paraId="4A01F349" w14:textId="77777777" w:rsidR="008D19CD" w:rsidRPr="008D19CD" w:rsidRDefault="008D19CD" w:rsidP="009A4742">
      <w:pPr>
        <w:spacing w:after="60"/>
        <w:rPr>
          <w:rFonts w:eastAsia="Times New Roman"/>
          <w:i/>
          <w:iCs/>
          <w:szCs w:val="17"/>
        </w:rPr>
      </w:pPr>
      <w:r w:rsidRPr="008D19CD">
        <w:rPr>
          <w:rFonts w:eastAsia="Times New Roman"/>
          <w:i/>
          <w:iCs/>
          <w:szCs w:val="17"/>
        </w:rPr>
        <w:t>Built environment</w:t>
      </w:r>
    </w:p>
    <w:p w14:paraId="47DF1D7F" w14:textId="77777777" w:rsidR="008D19CD" w:rsidRPr="008D19CD" w:rsidRDefault="008D19CD" w:rsidP="009A4742">
      <w:pPr>
        <w:spacing w:after="60"/>
        <w:rPr>
          <w:rFonts w:eastAsia="Times New Roman"/>
          <w:szCs w:val="17"/>
        </w:rPr>
      </w:pPr>
      <w:r w:rsidRPr="008D19CD">
        <w:rPr>
          <w:rFonts w:eastAsia="Times New Roman"/>
          <w:szCs w:val="17"/>
        </w:rPr>
        <w:t>Man-made structures, features and facilities viewed collectively as an environment in which people live and work.</w:t>
      </w:r>
    </w:p>
    <w:p w14:paraId="557B7324" w14:textId="77777777" w:rsidR="008D19CD" w:rsidRPr="008D19CD" w:rsidRDefault="008D19CD" w:rsidP="009A4742">
      <w:pPr>
        <w:spacing w:after="60"/>
        <w:rPr>
          <w:rFonts w:eastAsia="Times New Roman"/>
          <w:i/>
          <w:iCs/>
          <w:szCs w:val="17"/>
        </w:rPr>
      </w:pPr>
      <w:r w:rsidRPr="008D19CD">
        <w:rPr>
          <w:rFonts w:eastAsia="Times New Roman"/>
          <w:i/>
          <w:iCs/>
          <w:szCs w:val="17"/>
        </w:rPr>
        <w:t>Choice and control</w:t>
      </w:r>
    </w:p>
    <w:p w14:paraId="7BFD1C64" w14:textId="77777777" w:rsidR="008D19CD" w:rsidRPr="008D19CD" w:rsidRDefault="008D19CD" w:rsidP="009A4742">
      <w:pPr>
        <w:spacing w:after="60"/>
        <w:rPr>
          <w:rFonts w:eastAsia="Times New Roman"/>
          <w:szCs w:val="17"/>
        </w:rPr>
      </w:pPr>
      <w:r w:rsidRPr="008D19CD">
        <w:rPr>
          <w:rFonts w:eastAsia="Times New Roman"/>
          <w:szCs w:val="17"/>
        </w:rPr>
        <w:t>The ability of people with disability to make decisions about their own lives, including where and how they live, the supports they receive, and how those supports are delivered. This includes meaningful involvement in the design and governance of services and systems.</w:t>
      </w:r>
    </w:p>
    <w:p w14:paraId="3837333F" w14:textId="77777777" w:rsidR="008D19CD" w:rsidRPr="008D19CD" w:rsidRDefault="008D19CD" w:rsidP="009A4742">
      <w:pPr>
        <w:spacing w:after="60"/>
        <w:rPr>
          <w:rFonts w:eastAsia="Times New Roman"/>
          <w:i/>
          <w:iCs/>
          <w:szCs w:val="17"/>
        </w:rPr>
      </w:pPr>
      <w:r w:rsidRPr="008D19CD">
        <w:rPr>
          <w:rFonts w:eastAsia="Times New Roman"/>
          <w:i/>
          <w:iCs/>
          <w:szCs w:val="17"/>
        </w:rPr>
        <w:t>Civil law</w:t>
      </w:r>
    </w:p>
    <w:p w14:paraId="38B5C8BC" w14:textId="77777777" w:rsidR="008D19CD" w:rsidRPr="008D19CD" w:rsidRDefault="008D19CD" w:rsidP="009A4742">
      <w:pPr>
        <w:spacing w:after="60"/>
        <w:rPr>
          <w:rFonts w:eastAsia="Times New Roman"/>
          <w:szCs w:val="17"/>
        </w:rPr>
      </w:pPr>
      <w:r w:rsidRPr="008D19CD">
        <w:rPr>
          <w:rFonts w:eastAsia="Times New Roman"/>
          <w:szCs w:val="17"/>
        </w:rPr>
        <w:t>A branch of law that deals with disputes between individuals, groups, or organisations. It covers areas such as contracts, property, family matters and personal injury.</w:t>
      </w:r>
    </w:p>
    <w:p w14:paraId="30E2ADC3" w14:textId="77777777" w:rsidR="008D19CD" w:rsidRPr="008D19CD" w:rsidRDefault="008D19CD" w:rsidP="009A4742">
      <w:pPr>
        <w:spacing w:after="60"/>
        <w:rPr>
          <w:rFonts w:eastAsia="Times New Roman"/>
          <w:i/>
          <w:iCs/>
          <w:szCs w:val="17"/>
        </w:rPr>
      </w:pPr>
      <w:r w:rsidRPr="008D19CD">
        <w:rPr>
          <w:rFonts w:eastAsia="Times New Roman"/>
          <w:i/>
          <w:iCs/>
          <w:szCs w:val="17"/>
        </w:rPr>
        <w:t>Closing the Gap</w:t>
      </w:r>
    </w:p>
    <w:p w14:paraId="0330E70A" w14:textId="77777777" w:rsidR="008D19CD" w:rsidRPr="008D19CD" w:rsidRDefault="008D19CD" w:rsidP="009A4742">
      <w:pPr>
        <w:spacing w:after="60"/>
        <w:rPr>
          <w:rFonts w:eastAsia="Times New Roman"/>
          <w:szCs w:val="17"/>
        </w:rPr>
      </w:pPr>
      <w:r w:rsidRPr="008D19CD">
        <w:rPr>
          <w:rFonts w:eastAsia="Times New Roman"/>
          <w:szCs w:val="17"/>
        </w:rPr>
        <w:t>A government strategy and a national agreement focused on improving life outcomes for Aboriginal peoples.</w:t>
      </w:r>
    </w:p>
    <w:p w14:paraId="061C0BE8" w14:textId="77777777" w:rsidR="008D19CD" w:rsidRPr="008D19CD" w:rsidRDefault="008D19CD" w:rsidP="009A4742">
      <w:pPr>
        <w:spacing w:after="60"/>
        <w:rPr>
          <w:rFonts w:eastAsia="Times New Roman"/>
          <w:i/>
          <w:iCs/>
          <w:szCs w:val="17"/>
        </w:rPr>
      </w:pPr>
      <w:r w:rsidRPr="008D19CD">
        <w:rPr>
          <w:rFonts w:eastAsia="Times New Roman"/>
          <w:i/>
          <w:iCs/>
          <w:szCs w:val="17"/>
        </w:rPr>
        <w:t>Commonwealth</w:t>
      </w:r>
    </w:p>
    <w:p w14:paraId="7D016945" w14:textId="77777777" w:rsidR="008D19CD" w:rsidRPr="008D19CD" w:rsidRDefault="008D19CD" w:rsidP="009A4742">
      <w:pPr>
        <w:spacing w:after="60"/>
        <w:rPr>
          <w:rFonts w:eastAsia="Times New Roman"/>
          <w:szCs w:val="17"/>
        </w:rPr>
      </w:pPr>
      <w:r w:rsidRPr="008D19CD">
        <w:rPr>
          <w:rFonts w:eastAsia="Times New Roman"/>
          <w:szCs w:val="17"/>
        </w:rPr>
        <w:t>The Commonwealth of Australia – commonly referred to as the Australian Government or the Federal Government.</w:t>
      </w:r>
    </w:p>
    <w:p w14:paraId="3A30706C" w14:textId="77777777" w:rsidR="008D19CD" w:rsidRPr="008D19CD" w:rsidRDefault="008D19CD" w:rsidP="009A4742">
      <w:pPr>
        <w:spacing w:after="60"/>
        <w:rPr>
          <w:rFonts w:eastAsia="Times New Roman"/>
          <w:i/>
          <w:iCs/>
          <w:szCs w:val="17"/>
        </w:rPr>
      </w:pPr>
      <w:r w:rsidRPr="008D19CD">
        <w:rPr>
          <w:rFonts w:eastAsia="Times New Roman"/>
          <w:i/>
          <w:iCs/>
          <w:szCs w:val="17"/>
        </w:rPr>
        <w:t>Criminal justice system</w:t>
      </w:r>
    </w:p>
    <w:p w14:paraId="6F55AD3B" w14:textId="77777777" w:rsidR="008D19CD" w:rsidRPr="008D19CD" w:rsidRDefault="008D19CD" w:rsidP="009A4742">
      <w:pPr>
        <w:spacing w:after="60"/>
        <w:rPr>
          <w:rFonts w:eastAsia="Times New Roman"/>
          <w:szCs w:val="17"/>
        </w:rPr>
      </w:pPr>
      <w:r w:rsidRPr="008D19CD">
        <w:rPr>
          <w:rFonts w:eastAsia="Times New Roman"/>
          <w:szCs w:val="17"/>
        </w:rPr>
        <w:t>The set of government institutions and processes responsible for responding to crime. It includes the police, courts, legal representatives and correctional services.</w:t>
      </w:r>
    </w:p>
    <w:p w14:paraId="44E3B402" w14:textId="77777777" w:rsidR="008D19CD" w:rsidRPr="008D19CD" w:rsidRDefault="008D19CD" w:rsidP="009A4742">
      <w:pPr>
        <w:spacing w:after="60"/>
        <w:rPr>
          <w:rFonts w:eastAsia="Times New Roman"/>
          <w:i/>
          <w:iCs/>
          <w:szCs w:val="17"/>
        </w:rPr>
      </w:pPr>
      <w:r w:rsidRPr="008D19CD">
        <w:rPr>
          <w:rFonts w:eastAsia="Times New Roman"/>
          <w:i/>
          <w:iCs/>
          <w:szCs w:val="17"/>
        </w:rPr>
        <w:t>Cultural safety</w:t>
      </w:r>
    </w:p>
    <w:p w14:paraId="6E7D8911" w14:textId="77777777" w:rsidR="008D19CD" w:rsidRPr="008D19CD" w:rsidRDefault="008D19CD" w:rsidP="009A4742">
      <w:pPr>
        <w:spacing w:after="60"/>
        <w:rPr>
          <w:rFonts w:eastAsia="Times New Roman"/>
          <w:szCs w:val="17"/>
        </w:rPr>
      </w:pPr>
      <w:r w:rsidRPr="008D19CD">
        <w:rPr>
          <w:rFonts w:eastAsia="Times New Roman"/>
          <w:szCs w:val="17"/>
        </w:rPr>
        <w:t>Creating environments where Aboriginal peoples feel respected, valued and safe to be themselves. It involves recognising and addressing power imbalances, and making sure services and interactions support their identity and needs. Only the person receiving the service can say whether it feels culturally safe.</w:t>
      </w:r>
    </w:p>
    <w:p w14:paraId="610030EF" w14:textId="77777777" w:rsidR="008D19CD" w:rsidRPr="008D19CD" w:rsidRDefault="008D19CD" w:rsidP="009A4742">
      <w:pPr>
        <w:spacing w:after="60"/>
        <w:rPr>
          <w:rFonts w:eastAsia="Times New Roman"/>
          <w:i/>
          <w:iCs/>
          <w:szCs w:val="17"/>
        </w:rPr>
      </w:pPr>
      <w:r w:rsidRPr="008D19CD">
        <w:rPr>
          <w:rFonts w:eastAsia="Times New Roman"/>
          <w:i/>
          <w:iCs/>
          <w:szCs w:val="17"/>
        </w:rPr>
        <w:t>Data sovereignty</w:t>
      </w:r>
    </w:p>
    <w:p w14:paraId="5F62200E" w14:textId="77777777" w:rsidR="008D19CD" w:rsidRPr="008D19CD" w:rsidRDefault="008D19CD" w:rsidP="009A4742">
      <w:pPr>
        <w:spacing w:after="60"/>
        <w:rPr>
          <w:rFonts w:eastAsia="Times New Roman"/>
          <w:szCs w:val="17"/>
        </w:rPr>
      </w:pPr>
      <w:r w:rsidRPr="008D19CD">
        <w:rPr>
          <w:rFonts w:eastAsia="Times New Roman"/>
          <w:szCs w:val="17"/>
        </w:rPr>
        <w:t>The right of Aboriginal peoples to control the collection, ownership and use of data about their communities. It ensures data is managed in line with cultural values and supports self-determination.</w:t>
      </w:r>
    </w:p>
    <w:p w14:paraId="5274B41E" w14:textId="77777777" w:rsidR="008D19CD" w:rsidRPr="008D19CD" w:rsidRDefault="008D19CD" w:rsidP="009A4742">
      <w:pPr>
        <w:spacing w:after="60"/>
        <w:rPr>
          <w:rFonts w:eastAsia="Times New Roman"/>
          <w:i/>
          <w:iCs/>
          <w:szCs w:val="17"/>
        </w:rPr>
      </w:pPr>
      <w:r w:rsidRPr="008D19CD">
        <w:rPr>
          <w:rFonts w:eastAsia="Times New Roman"/>
          <w:i/>
          <w:iCs/>
          <w:szCs w:val="17"/>
        </w:rPr>
        <w:t>Disability Access and Inclusion Plan</w:t>
      </w:r>
    </w:p>
    <w:p w14:paraId="622EC67A" w14:textId="77777777" w:rsidR="008D19CD" w:rsidRPr="008D19CD" w:rsidRDefault="008D19CD" w:rsidP="009A4742">
      <w:pPr>
        <w:spacing w:after="60"/>
        <w:rPr>
          <w:rFonts w:eastAsia="Times New Roman"/>
          <w:szCs w:val="17"/>
        </w:rPr>
      </w:pPr>
      <w:r w:rsidRPr="008D19CD">
        <w:rPr>
          <w:rFonts w:eastAsia="Times New Roman"/>
          <w:szCs w:val="17"/>
        </w:rPr>
        <w:t>A Disability Access and Inclusion Plan (DAIP) is a plan developed by state government agencies and local councils to improve access and inclusion for people with disability. Each DAIP is tailored to the specific context of the organisation and their community, outlining practical actions to remove barriers, promote participation and support the goals of the State Plan.</w:t>
      </w:r>
    </w:p>
    <w:p w14:paraId="37811F85" w14:textId="77777777" w:rsidR="008D19CD" w:rsidRPr="008D19CD" w:rsidRDefault="008D19CD" w:rsidP="009A4742">
      <w:pPr>
        <w:spacing w:after="60"/>
        <w:rPr>
          <w:rFonts w:eastAsia="Times New Roman"/>
          <w:i/>
          <w:iCs/>
          <w:szCs w:val="17"/>
        </w:rPr>
      </w:pPr>
      <w:r w:rsidRPr="008D19CD">
        <w:rPr>
          <w:rFonts w:eastAsia="Times New Roman"/>
          <w:i/>
          <w:iCs/>
          <w:szCs w:val="17"/>
        </w:rPr>
        <w:t>Department of Human Services</w:t>
      </w:r>
    </w:p>
    <w:p w14:paraId="6FA30C0D" w14:textId="77777777" w:rsidR="008D19CD" w:rsidRPr="008D19CD" w:rsidRDefault="008D19CD" w:rsidP="009A4742">
      <w:pPr>
        <w:spacing w:after="60"/>
        <w:rPr>
          <w:rFonts w:eastAsia="Times New Roman"/>
          <w:szCs w:val="17"/>
        </w:rPr>
      </w:pPr>
      <w:r w:rsidRPr="008D19CD">
        <w:rPr>
          <w:rFonts w:eastAsia="Times New Roman"/>
          <w:szCs w:val="17"/>
        </w:rPr>
        <w:t>The Department of Human Services (DHS) is the South Australian Government agency responsible for delivering strategies, programs and services that improve the wellbeing, safety and inclusion of South Australians, particularly those who are vulnerable or disadvantaged.</w:t>
      </w:r>
    </w:p>
    <w:p w14:paraId="5D124DA6" w14:textId="77777777" w:rsidR="008D19CD" w:rsidRPr="008D19CD" w:rsidRDefault="008D19CD" w:rsidP="009A4742">
      <w:pPr>
        <w:spacing w:after="60"/>
        <w:rPr>
          <w:rFonts w:eastAsia="Times New Roman"/>
          <w:i/>
          <w:iCs/>
          <w:szCs w:val="17"/>
        </w:rPr>
      </w:pPr>
      <w:r w:rsidRPr="008D19CD">
        <w:rPr>
          <w:rFonts w:eastAsia="Times New Roman"/>
          <w:i/>
          <w:iCs/>
          <w:szCs w:val="17"/>
        </w:rPr>
        <w:t xml:space="preserve">Disability Inclusion Act 2018 </w:t>
      </w:r>
      <w:r w:rsidRPr="008D19CD">
        <w:rPr>
          <w:rFonts w:eastAsia="Times New Roman"/>
          <w:szCs w:val="17"/>
        </w:rPr>
        <w:t>(SA)</w:t>
      </w:r>
      <w:r w:rsidRPr="008D19CD">
        <w:rPr>
          <w:rFonts w:eastAsia="Times New Roman"/>
          <w:i/>
          <w:iCs/>
          <w:szCs w:val="17"/>
        </w:rPr>
        <w:t xml:space="preserve"> </w:t>
      </w:r>
      <w:r w:rsidRPr="008D19CD">
        <w:rPr>
          <w:rFonts w:eastAsia="Times New Roman"/>
          <w:szCs w:val="17"/>
        </w:rPr>
        <w:t>(The Act)</w:t>
      </w:r>
    </w:p>
    <w:p w14:paraId="2239CE1F" w14:textId="77777777" w:rsidR="008D19CD" w:rsidRPr="008D19CD" w:rsidRDefault="008D19CD" w:rsidP="009A4742">
      <w:pPr>
        <w:spacing w:after="60"/>
        <w:rPr>
          <w:rFonts w:eastAsia="Times New Roman"/>
          <w:spacing w:val="-4"/>
          <w:szCs w:val="17"/>
        </w:rPr>
      </w:pPr>
      <w:r w:rsidRPr="008D19CD">
        <w:rPr>
          <w:rFonts w:eastAsia="Times New Roman"/>
          <w:spacing w:val="-4"/>
          <w:szCs w:val="17"/>
        </w:rPr>
        <w:t>A South Australian law that guides efforts to improve access and inclusion for people with disability. It requires the development of the State Disability Inclusion Plan (State Plan) and local Disability Access and Inclusion Plans and promotes choice, control, and the removal of barriers.</w:t>
      </w:r>
    </w:p>
    <w:p w14:paraId="1EA5358F" w14:textId="77777777" w:rsidR="008D19CD" w:rsidRPr="008D19CD" w:rsidRDefault="008D19CD" w:rsidP="009A4742">
      <w:pPr>
        <w:spacing w:after="60"/>
        <w:rPr>
          <w:rFonts w:eastAsia="Times New Roman"/>
          <w:i/>
          <w:iCs/>
          <w:szCs w:val="17"/>
        </w:rPr>
      </w:pPr>
      <w:r w:rsidRPr="008D19CD">
        <w:rPr>
          <w:rFonts w:eastAsia="Times New Roman"/>
          <w:i/>
          <w:iCs/>
          <w:szCs w:val="17"/>
        </w:rPr>
        <w:t>Disaggregated data</w:t>
      </w:r>
    </w:p>
    <w:p w14:paraId="43046E90" w14:textId="77777777" w:rsidR="008D19CD" w:rsidRPr="008D19CD" w:rsidRDefault="008D19CD" w:rsidP="009A4742">
      <w:pPr>
        <w:spacing w:after="60"/>
        <w:rPr>
          <w:rFonts w:eastAsia="Times New Roman"/>
          <w:szCs w:val="17"/>
        </w:rPr>
      </w:pPr>
      <w:r w:rsidRPr="008D19CD">
        <w:rPr>
          <w:rFonts w:eastAsia="Times New Roman"/>
          <w:szCs w:val="17"/>
        </w:rPr>
        <w:t>Information that has been broken down into smaller groups to show differences between them. This can include categories like age, gender, cultural background or location.</w:t>
      </w:r>
    </w:p>
    <w:p w14:paraId="1C126C52" w14:textId="77777777" w:rsidR="008D19CD" w:rsidRPr="008D19CD" w:rsidRDefault="008D19CD" w:rsidP="009A4742">
      <w:pPr>
        <w:spacing w:after="60"/>
        <w:rPr>
          <w:rFonts w:eastAsia="Times New Roman"/>
          <w:i/>
          <w:iCs/>
          <w:szCs w:val="17"/>
        </w:rPr>
      </w:pPr>
      <w:r w:rsidRPr="008D19CD">
        <w:rPr>
          <w:rFonts w:eastAsia="Times New Roman"/>
          <w:i/>
          <w:iCs/>
          <w:szCs w:val="17"/>
        </w:rPr>
        <w:t>Diversity</w:t>
      </w:r>
    </w:p>
    <w:p w14:paraId="09D24FBF" w14:textId="77777777" w:rsidR="008D19CD" w:rsidRPr="008D19CD" w:rsidRDefault="008D19CD" w:rsidP="009A4742">
      <w:pPr>
        <w:spacing w:after="60"/>
        <w:rPr>
          <w:rFonts w:eastAsia="Times New Roman"/>
          <w:szCs w:val="17"/>
        </w:rPr>
      </w:pPr>
      <w:r w:rsidRPr="008D19CD">
        <w:rPr>
          <w:rFonts w:eastAsia="Times New Roman"/>
          <w:szCs w:val="17"/>
        </w:rPr>
        <w:t>Any dimension that can be used to differentiate groups and people from one another. It empowers people by respecting and appreciating what makes them different.</w:t>
      </w:r>
    </w:p>
    <w:p w14:paraId="644A1093" w14:textId="77777777" w:rsidR="008D19CD" w:rsidRPr="008D19CD" w:rsidRDefault="008D19CD" w:rsidP="009A4742">
      <w:pPr>
        <w:spacing w:after="60"/>
        <w:rPr>
          <w:rFonts w:eastAsia="Times New Roman"/>
          <w:i/>
          <w:iCs/>
          <w:szCs w:val="17"/>
        </w:rPr>
      </w:pPr>
      <w:r w:rsidRPr="008D19CD">
        <w:rPr>
          <w:rFonts w:eastAsia="Times New Roman"/>
          <w:i/>
          <w:iCs/>
          <w:szCs w:val="17"/>
        </w:rPr>
        <w:t>Domains</w:t>
      </w:r>
    </w:p>
    <w:p w14:paraId="086ACE78" w14:textId="77777777" w:rsidR="008D19CD" w:rsidRPr="008D19CD" w:rsidRDefault="008D19CD" w:rsidP="009A4742">
      <w:pPr>
        <w:spacing w:after="60"/>
        <w:rPr>
          <w:rFonts w:eastAsia="Times New Roman"/>
          <w:szCs w:val="17"/>
        </w:rPr>
      </w:pPr>
      <w:r w:rsidRPr="008D19CD">
        <w:rPr>
          <w:rFonts w:eastAsia="Times New Roman"/>
          <w:szCs w:val="17"/>
        </w:rPr>
        <w:t>The key priority areas of the State Plan, shaped by emerging themes identified during statewide consultation. Domains guide the focus of actions to improve access and inclusion for people with disability.</w:t>
      </w:r>
    </w:p>
    <w:p w14:paraId="047F76C3" w14:textId="77777777" w:rsidR="008D19CD" w:rsidRPr="008D19CD" w:rsidRDefault="008D19CD" w:rsidP="009A4742">
      <w:pPr>
        <w:spacing w:after="60"/>
        <w:rPr>
          <w:rFonts w:eastAsia="Times New Roman"/>
          <w:i/>
          <w:iCs/>
          <w:szCs w:val="17"/>
        </w:rPr>
      </w:pPr>
      <w:r w:rsidRPr="008D19CD">
        <w:rPr>
          <w:rFonts w:eastAsia="Times New Roman"/>
          <w:i/>
          <w:iCs/>
          <w:szCs w:val="17"/>
        </w:rPr>
        <w:t>Inclusion</w:t>
      </w:r>
    </w:p>
    <w:p w14:paraId="28FBCDEA" w14:textId="56047592" w:rsidR="008D19CD" w:rsidRDefault="008D19CD" w:rsidP="009A4742">
      <w:pPr>
        <w:spacing w:after="60"/>
        <w:rPr>
          <w:rFonts w:eastAsia="Times New Roman"/>
          <w:szCs w:val="17"/>
        </w:rPr>
      </w:pPr>
      <w:r w:rsidRPr="008D19CD">
        <w:rPr>
          <w:rFonts w:eastAsia="Times New Roman"/>
          <w:szCs w:val="17"/>
        </w:rPr>
        <w:t>The intentional, ongoing effort to ensure that all people can fully participate in all aspects of life.</w:t>
      </w:r>
    </w:p>
    <w:p w14:paraId="5F1750E3" w14:textId="19C6DABE" w:rsidR="008D19CD" w:rsidRPr="008D19CD" w:rsidRDefault="008D19CD" w:rsidP="009A4742">
      <w:pPr>
        <w:spacing w:after="60"/>
        <w:rPr>
          <w:rFonts w:eastAsia="Times New Roman"/>
          <w:i/>
          <w:iCs/>
          <w:szCs w:val="17"/>
        </w:rPr>
      </w:pPr>
      <w:r w:rsidRPr="008D19CD">
        <w:rPr>
          <w:rFonts w:eastAsia="Times New Roman"/>
          <w:i/>
          <w:iCs/>
          <w:szCs w:val="17"/>
        </w:rPr>
        <w:t>Initiatives</w:t>
      </w:r>
    </w:p>
    <w:p w14:paraId="71E8A576" w14:textId="1F460FA4" w:rsidR="009A4742" w:rsidRPr="009A4742" w:rsidRDefault="008D19CD" w:rsidP="009A4742">
      <w:pPr>
        <w:spacing w:after="60"/>
        <w:rPr>
          <w:rFonts w:eastAsia="Times New Roman"/>
          <w:szCs w:val="17"/>
        </w:rPr>
      </w:pPr>
      <w:r w:rsidRPr="008D19CD">
        <w:rPr>
          <w:rFonts w:eastAsia="Times New Roman"/>
          <w:szCs w:val="17"/>
        </w:rPr>
        <w:t>Activities or efforts aimed at creating change, improving outcomes, or meeting specific needs. This can include actions, responses, systems and services designed to support individuals or communities.</w:t>
      </w:r>
    </w:p>
    <w:p w14:paraId="043980EB" w14:textId="22DF7718" w:rsidR="008D19CD" w:rsidRPr="008D19CD" w:rsidRDefault="008D19CD" w:rsidP="009A4742">
      <w:pPr>
        <w:spacing w:after="60"/>
        <w:rPr>
          <w:rFonts w:eastAsia="Times New Roman"/>
          <w:i/>
          <w:iCs/>
          <w:szCs w:val="17"/>
        </w:rPr>
      </w:pPr>
      <w:r w:rsidRPr="008D19CD">
        <w:rPr>
          <w:rFonts w:eastAsia="Times New Roman"/>
          <w:i/>
          <w:iCs/>
          <w:szCs w:val="17"/>
        </w:rPr>
        <w:t>Intersectionality</w:t>
      </w:r>
    </w:p>
    <w:p w14:paraId="2D13738A" w14:textId="77777777" w:rsidR="008D19CD" w:rsidRPr="008D19CD" w:rsidRDefault="008D19CD" w:rsidP="009A4742">
      <w:pPr>
        <w:spacing w:after="60"/>
        <w:rPr>
          <w:rFonts w:eastAsia="Times New Roman"/>
          <w:szCs w:val="17"/>
        </w:rPr>
      </w:pPr>
      <w:r w:rsidRPr="008D19CD">
        <w:rPr>
          <w:rFonts w:eastAsia="Times New Roman"/>
          <w:szCs w:val="17"/>
        </w:rPr>
        <w:t>How different aspects of a person’s identity, such as their gender, race, class, sexuality and disability can interact to create experiences of discrimination and marginalisation. Intersectionality helps us to understand how these experiences can overlap and intersect, and how they can be challenged and addressed.</w:t>
      </w:r>
    </w:p>
    <w:p w14:paraId="5E444980" w14:textId="77777777" w:rsidR="008D19CD" w:rsidRPr="008D19CD" w:rsidRDefault="008D19CD" w:rsidP="009A4742">
      <w:pPr>
        <w:spacing w:after="70"/>
        <w:rPr>
          <w:rFonts w:eastAsia="Times New Roman"/>
          <w:i/>
          <w:iCs/>
          <w:szCs w:val="17"/>
        </w:rPr>
      </w:pPr>
      <w:r w:rsidRPr="008D19CD">
        <w:rPr>
          <w:rFonts w:eastAsia="Times New Roman"/>
          <w:i/>
          <w:iCs/>
          <w:szCs w:val="17"/>
        </w:rPr>
        <w:lastRenderedPageBreak/>
        <w:t>Justice system</w:t>
      </w:r>
    </w:p>
    <w:p w14:paraId="7CC4A191" w14:textId="77777777" w:rsidR="008D19CD" w:rsidRPr="008D19CD" w:rsidRDefault="008D19CD" w:rsidP="009A4742">
      <w:pPr>
        <w:spacing w:after="70"/>
        <w:rPr>
          <w:rFonts w:eastAsia="Times New Roman"/>
          <w:szCs w:val="17"/>
        </w:rPr>
      </w:pPr>
      <w:r w:rsidRPr="008D19CD">
        <w:rPr>
          <w:rFonts w:eastAsia="Times New Roman"/>
          <w:szCs w:val="17"/>
        </w:rPr>
        <w:t>The laws, services and processes that address legal issues and disputes. This includes the criminal justice system (for people accused of breaking the law), the civil justice system (for resolving problems like housing, family or discrimination), and the youth justice system, which responds to children and young people who come into contact with the law</w:t>
      </w:r>
    </w:p>
    <w:p w14:paraId="1E77315D" w14:textId="77777777" w:rsidR="008D19CD" w:rsidRPr="008D19CD" w:rsidRDefault="008D19CD" w:rsidP="009A4742">
      <w:pPr>
        <w:spacing w:after="70"/>
        <w:rPr>
          <w:rFonts w:eastAsia="Times New Roman"/>
          <w:i/>
          <w:iCs/>
          <w:szCs w:val="17"/>
        </w:rPr>
      </w:pPr>
      <w:r w:rsidRPr="008D19CD">
        <w:rPr>
          <w:rFonts w:eastAsia="Times New Roman"/>
          <w:i/>
          <w:iCs/>
          <w:szCs w:val="17"/>
        </w:rPr>
        <w:t>LGBTIQA+</w:t>
      </w:r>
    </w:p>
    <w:p w14:paraId="5DAD6FA9" w14:textId="77777777" w:rsidR="008D19CD" w:rsidRPr="008D19CD" w:rsidRDefault="008D19CD" w:rsidP="009A4742">
      <w:pPr>
        <w:spacing w:after="70"/>
        <w:rPr>
          <w:rFonts w:eastAsia="Times New Roman"/>
          <w:szCs w:val="17"/>
        </w:rPr>
      </w:pPr>
      <w:r w:rsidRPr="008D19CD">
        <w:rPr>
          <w:rFonts w:eastAsia="Times New Roman"/>
          <w:szCs w:val="17"/>
        </w:rPr>
        <w:t>An inclusive term for people whose sexual orientation, gender identity or sex characteristics differ from the majority. It stands for lesbian, gay, bisexual, transgender, intersex, queer/questioning, asexual and other diverse identities. The + acknowledges that there are many other ways people may describe their identity and experiences.</w:t>
      </w:r>
    </w:p>
    <w:p w14:paraId="61A18D0B" w14:textId="77777777" w:rsidR="008D19CD" w:rsidRPr="008D19CD" w:rsidRDefault="008D19CD" w:rsidP="009A4742">
      <w:pPr>
        <w:spacing w:after="70"/>
        <w:rPr>
          <w:rFonts w:eastAsia="Times New Roman"/>
          <w:i/>
          <w:iCs/>
          <w:szCs w:val="17"/>
        </w:rPr>
      </w:pPr>
      <w:r w:rsidRPr="008D19CD">
        <w:rPr>
          <w:rFonts w:eastAsia="Times New Roman"/>
          <w:i/>
          <w:iCs/>
          <w:szCs w:val="17"/>
        </w:rPr>
        <w:t>Lived experience</w:t>
      </w:r>
    </w:p>
    <w:p w14:paraId="0DACD95B" w14:textId="77777777" w:rsidR="008D19CD" w:rsidRPr="008D19CD" w:rsidRDefault="008D19CD" w:rsidP="009A4742">
      <w:pPr>
        <w:spacing w:after="70"/>
        <w:rPr>
          <w:rFonts w:eastAsia="Times New Roman"/>
          <w:szCs w:val="17"/>
        </w:rPr>
      </w:pPr>
      <w:r w:rsidRPr="008D19CD">
        <w:rPr>
          <w:rFonts w:eastAsia="Times New Roman"/>
          <w:szCs w:val="17"/>
        </w:rPr>
        <w:t>The personal knowledge and understanding a person gains through direct, first-hand experience of disability.</w:t>
      </w:r>
    </w:p>
    <w:p w14:paraId="3B1B434A" w14:textId="77777777" w:rsidR="008D19CD" w:rsidRPr="008D19CD" w:rsidRDefault="008D19CD" w:rsidP="009A4742">
      <w:pPr>
        <w:spacing w:after="70"/>
        <w:rPr>
          <w:rFonts w:eastAsia="Times New Roman"/>
          <w:i/>
          <w:iCs/>
          <w:szCs w:val="17"/>
        </w:rPr>
      </w:pPr>
      <w:r w:rsidRPr="008D19CD">
        <w:rPr>
          <w:rFonts w:eastAsia="Times New Roman"/>
          <w:i/>
          <w:iCs/>
          <w:szCs w:val="17"/>
        </w:rPr>
        <w:t>Local councils</w:t>
      </w:r>
    </w:p>
    <w:p w14:paraId="1FF12F73" w14:textId="77777777" w:rsidR="008D19CD" w:rsidRPr="008D19CD" w:rsidRDefault="008D19CD" w:rsidP="009A4742">
      <w:pPr>
        <w:spacing w:after="70"/>
        <w:rPr>
          <w:rFonts w:eastAsia="Times New Roman"/>
          <w:szCs w:val="17"/>
        </w:rPr>
      </w:pPr>
      <w:r w:rsidRPr="008D19CD">
        <w:rPr>
          <w:rFonts w:eastAsia="Times New Roman"/>
          <w:szCs w:val="17"/>
        </w:rPr>
        <w:t xml:space="preserve">A system of government in South Australia under which elected local government bodies (councils) are constituted under the </w:t>
      </w:r>
      <w:r w:rsidRPr="008D19CD">
        <w:rPr>
          <w:rFonts w:eastAsia="Times New Roman"/>
          <w:i/>
          <w:iCs/>
          <w:szCs w:val="17"/>
        </w:rPr>
        <w:t>Local Government Act 1999</w:t>
      </w:r>
      <w:r w:rsidRPr="008D19CD">
        <w:rPr>
          <w:rFonts w:eastAsia="Times New Roman"/>
          <w:szCs w:val="17"/>
        </w:rPr>
        <w:t xml:space="preserve"> (SA).</w:t>
      </w:r>
    </w:p>
    <w:p w14:paraId="02B5FFC9" w14:textId="77777777" w:rsidR="008D19CD" w:rsidRPr="008D19CD" w:rsidRDefault="008D19CD" w:rsidP="009A4742">
      <w:pPr>
        <w:spacing w:after="70"/>
        <w:rPr>
          <w:rFonts w:eastAsia="Times New Roman"/>
          <w:i/>
          <w:iCs/>
          <w:szCs w:val="17"/>
        </w:rPr>
      </w:pPr>
      <w:r w:rsidRPr="008D19CD">
        <w:rPr>
          <w:rFonts w:eastAsia="Times New Roman"/>
          <w:i/>
          <w:iCs/>
          <w:szCs w:val="17"/>
        </w:rPr>
        <w:t>Mainstream supports</w:t>
      </w:r>
    </w:p>
    <w:p w14:paraId="1B226D8E" w14:textId="77777777" w:rsidR="008D19CD" w:rsidRPr="008D19CD" w:rsidRDefault="008D19CD" w:rsidP="009A4742">
      <w:pPr>
        <w:spacing w:after="70"/>
        <w:rPr>
          <w:rFonts w:eastAsia="Times New Roman"/>
          <w:szCs w:val="17"/>
        </w:rPr>
      </w:pPr>
      <w:r w:rsidRPr="008D19CD">
        <w:rPr>
          <w:rFonts w:eastAsia="Times New Roman"/>
          <w:szCs w:val="17"/>
        </w:rPr>
        <w:t xml:space="preserve">Services provided by government or community organisations that are available to all Australians, regardless of disability status. </w:t>
      </w:r>
      <w:r w:rsidRPr="008D19CD">
        <w:rPr>
          <w:rFonts w:eastAsia="Times New Roman"/>
          <w:szCs w:val="17"/>
        </w:rPr>
        <w:br/>
        <w:t>These include essential services such as healthcare, education, transport, housing and employment.</w:t>
      </w:r>
    </w:p>
    <w:p w14:paraId="12D1A886" w14:textId="77777777" w:rsidR="008D19CD" w:rsidRPr="008D19CD" w:rsidRDefault="008D19CD" w:rsidP="009A4742">
      <w:pPr>
        <w:spacing w:after="70"/>
        <w:rPr>
          <w:rFonts w:eastAsia="Times New Roman"/>
          <w:i/>
          <w:iCs/>
          <w:szCs w:val="17"/>
        </w:rPr>
      </w:pPr>
      <w:r w:rsidRPr="008D19CD">
        <w:rPr>
          <w:rFonts w:eastAsia="Times New Roman"/>
          <w:i/>
          <w:iCs/>
          <w:szCs w:val="17"/>
        </w:rPr>
        <w:t>My Aged Care</w:t>
      </w:r>
    </w:p>
    <w:p w14:paraId="103ACF2F" w14:textId="77777777" w:rsidR="008D19CD" w:rsidRPr="008D19CD" w:rsidRDefault="008D19CD" w:rsidP="009A4742">
      <w:pPr>
        <w:spacing w:after="70"/>
        <w:rPr>
          <w:rFonts w:eastAsia="Times New Roman"/>
          <w:szCs w:val="17"/>
        </w:rPr>
      </w:pPr>
      <w:r w:rsidRPr="008D19CD">
        <w:rPr>
          <w:rFonts w:eastAsia="Times New Roman"/>
          <w:szCs w:val="17"/>
        </w:rPr>
        <w:t>My Aged Care is the Australian Government’s central access point for aged care services, providing information, assessment and referrals to support older people who need help at home, in the community or in residential care facilities.</w:t>
      </w:r>
    </w:p>
    <w:p w14:paraId="3B2B01E3" w14:textId="77777777" w:rsidR="008D19CD" w:rsidRPr="008D19CD" w:rsidRDefault="008D19CD" w:rsidP="009A4742">
      <w:pPr>
        <w:spacing w:after="70"/>
        <w:rPr>
          <w:rFonts w:eastAsia="Times New Roman"/>
          <w:i/>
          <w:iCs/>
          <w:szCs w:val="17"/>
        </w:rPr>
      </w:pPr>
      <w:r w:rsidRPr="008D19CD">
        <w:rPr>
          <w:rFonts w:eastAsia="Times New Roman"/>
          <w:i/>
          <w:iCs/>
          <w:szCs w:val="17"/>
        </w:rPr>
        <w:t>National Disability Insurance Scheme</w:t>
      </w:r>
    </w:p>
    <w:p w14:paraId="7BF423B3" w14:textId="77777777" w:rsidR="008D19CD" w:rsidRPr="008D19CD" w:rsidRDefault="008D19CD" w:rsidP="009A4742">
      <w:pPr>
        <w:spacing w:after="70"/>
        <w:rPr>
          <w:rFonts w:eastAsia="Times New Roman"/>
          <w:szCs w:val="17"/>
        </w:rPr>
      </w:pPr>
      <w:r w:rsidRPr="008D19CD">
        <w:rPr>
          <w:rFonts w:eastAsia="Times New Roman"/>
          <w:szCs w:val="17"/>
        </w:rPr>
        <w:t>The National Disability Insurance Scheme (NDIS) is an Australian Government initiative that provides funding for reasonable and necessary supports to people under 65 who have a significant and permanent disability.</w:t>
      </w:r>
    </w:p>
    <w:p w14:paraId="600A79BE" w14:textId="77777777" w:rsidR="008D19CD" w:rsidRPr="008D19CD" w:rsidRDefault="008D19CD" w:rsidP="009A4742">
      <w:pPr>
        <w:spacing w:after="70"/>
        <w:rPr>
          <w:rFonts w:eastAsia="Times New Roman"/>
          <w:i/>
          <w:iCs/>
          <w:szCs w:val="17"/>
        </w:rPr>
      </w:pPr>
      <w:r w:rsidRPr="008D19CD">
        <w:rPr>
          <w:rFonts w:eastAsia="Times New Roman"/>
          <w:i/>
          <w:iCs/>
          <w:szCs w:val="17"/>
        </w:rPr>
        <w:t>Neurodivergence and neurodivergent</w:t>
      </w:r>
    </w:p>
    <w:p w14:paraId="0CED67A3" w14:textId="77777777" w:rsidR="008D19CD" w:rsidRPr="008D19CD" w:rsidRDefault="008D19CD" w:rsidP="009A4742">
      <w:pPr>
        <w:spacing w:after="70"/>
        <w:rPr>
          <w:rFonts w:eastAsia="Times New Roman"/>
          <w:szCs w:val="17"/>
        </w:rPr>
      </w:pPr>
      <w:r w:rsidRPr="008D19CD">
        <w:rPr>
          <w:rFonts w:eastAsia="Times New Roman"/>
          <w:szCs w:val="17"/>
        </w:rPr>
        <w:t>A non-medical term describing various neurological variations from the dominant societal norm, and people with these variations in their neurological development. Neurodivergent, in contrast to neurotypical, is used to describe people who may have one or more ways in which their brain functions differently to the ‘typical’ way. Some Autistic people also refer to themselves as neurodivergent.</w:t>
      </w:r>
    </w:p>
    <w:p w14:paraId="0AAD8420" w14:textId="77777777" w:rsidR="008D19CD" w:rsidRPr="008D19CD" w:rsidRDefault="008D19CD" w:rsidP="009A4742">
      <w:pPr>
        <w:spacing w:after="70"/>
        <w:rPr>
          <w:rFonts w:eastAsia="Times New Roman"/>
          <w:i/>
          <w:iCs/>
          <w:szCs w:val="17"/>
        </w:rPr>
      </w:pPr>
      <w:r w:rsidRPr="008D19CD">
        <w:rPr>
          <w:rFonts w:eastAsia="Times New Roman"/>
          <w:i/>
          <w:iCs/>
          <w:szCs w:val="17"/>
        </w:rPr>
        <w:t>Out-of-home care</w:t>
      </w:r>
    </w:p>
    <w:p w14:paraId="3DB28409" w14:textId="77777777" w:rsidR="008D19CD" w:rsidRPr="008D19CD" w:rsidRDefault="008D19CD" w:rsidP="009A4742">
      <w:pPr>
        <w:spacing w:after="70"/>
        <w:rPr>
          <w:rFonts w:eastAsia="Times New Roman"/>
          <w:szCs w:val="17"/>
        </w:rPr>
      </w:pPr>
      <w:r w:rsidRPr="008D19CD">
        <w:rPr>
          <w:rFonts w:eastAsia="Times New Roman"/>
          <w:szCs w:val="17"/>
        </w:rPr>
        <w:t>Overnight care for children under 18 who cannot live with their families due to safety concerns. It includes placements arranged and supported by child protection services, such as foster care, kinship care and residential care. These placements may be voluntary or court-ordered and are designed to provide a safe and stable environment.</w:t>
      </w:r>
    </w:p>
    <w:p w14:paraId="048020E5" w14:textId="77777777" w:rsidR="008D19CD" w:rsidRPr="008D19CD" w:rsidRDefault="008D19CD" w:rsidP="009A4742">
      <w:pPr>
        <w:spacing w:after="70"/>
        <w:rPr>
          <w:rFonts w:eastAsia="Times New Roman"/>
          <w:i/>
          <w:iCs/>
          <w:szCs w:val="17"/>
        </w:rPr>
      </w:pPr>
      <w:r w:rsidRPr="008D19CD">
        <w:rPr>
          <w:rFonts w:eastAsia="Times New Roman"/>
          <w:i/>
          <w:iCs/>
          <w:szCs w:val="17"/>
        </w:rPr>
        <w:t>Measures</w:t>
      </w:r>
    </w:p>
    <w:p w14:paraId="427A9994" w14:textId="77777777" w:rsidR="008D19CD" w:rsidRPr="008D19CD" w:rsidRDefault="008D19CD" w:rsidP="009A4742">
      <w:pPr>
        <w:spacing w:after="70"/>
        <w:rPr>
          <w:rFonts w:eastAsia="Times New Roman"/>
          <w:szCs w:val="17"/>
        </w:rPr>
      </w:pPr>
      <w:r w:rsidRPr="008D19CD">
        <w:rPr>
          <w:rFonts w:eastAsia="Times New Roman"/>
          <w:szCs w:val="17"/>
        </w:rPr>
        <w:t>A way to track progress and understand if things are improving over time. Measures use numbers and data and are supported by stories or feedback (qualitative data) in reporting.</w:t>
      </w:r>
    </w:p>
    <w:p w14:paraId="746298EE" w14:textId="77777777" w:rsidR="008D19CD" w:rsidRPr="008D19CD" w:rsidRDefault="008D19CD" w:rsidP="009A4742">
      <w:pPr>
        <w:spacing w:after="70"/>
        <w:rPr>
          <w:rFonts w:eastAsia="Times New Roman"/>
          <w:i/>
          <w:iCs/>
          <w:szCs w:val="17"/>
        </w:rPr>
      </w:pPr>
      <w:r w:rsidRPr="008D19CD">
        <w:rPr>
          <w:rFonts w:eastAsia="Times New Roman"/>
          <w:i/>
          <w:iCs/>
          <w:szCs w:val="17"/>
        </w:rPr>
        <w:t>Priority areas</w:t>
      </w:r>
    </w:p>
    <w:p w14:paraId="0591DE52" w14:textId="77777777" w:rsidR="008D19CD" w:rsidRPr="008D19CD" w:rsidRDefault="008D19CD" w:rsidP="009A4742">
      <w:pPr>
        <w:spacing w:after="70"/>
        <w:rPr>
          <w:rFonts w:eastAsia="Times New Roman"/>
          <w:szCs w:val="17"/>
        </w:rPr>
      </w:pPr>
      <w:r w:rsidRPr="008D19CD">
        <w:rPr>
          <w:rFonts w:eastAsia="Times New Roman"/>
          <w:szCs w:val="17"/>
        </w:rPr>
        <w:t>Specific areas of focus within each domain that were identified as most important by people with disability during consultation.</w:t>
      </w:r>
    </w:p>
    <w:p w14:paraId="480AAD01" w14:textId="77777777" w:rsidR="008D19CD" w:rsidRPr="008D19CD" w:rsidRDefault="008D19CD" w:rsidP="009A4742">
      <w:pPr>
        <w:spacing w:after="70"/>
        <w:rPr>
          <w:rFonts w:eastAsia="Times New Roman"/>
          <w:i/>
          <w:iCs/>
          <w:szCs w:val="17"/>
        </w:rPr>
      </w:pPr>
      <w:r w:rsidRPr="008D19CD">
        <w:rPr>
          <w:rFonts w:eastAsia="Times New Roman"/>
          <w:i/>
          <w:iCs/>
          <w:szCs w:val="17"/>
        </w:rPr>
        <w:t>Priority groups</w:t>
      </w:r>
    </w:p>
    <w:p w14:paraId="5C9BE890" w14:textId="77777777" w:rsidR="008D19CD" w:rsidRPr="008D19CD" w:rsidRDefault="008D19CD" w:rsidP="009A4742">
      <w:pPr>
        <w:spacing w:after="70"/>
        <w:rPr>
          <w:rFonts w:eastAsia="Times New Roman"/>
          <w:szCs w:val="17"/>
        </w:rPr>
      </w:pPr>
      <w:r w:rsidRPr="008D19CD">
        <w:rPr>
          <w:rFonts w:eastAsia="Times New Roman"/>
          <w:szCs w:val="17"/>
        </w:rPr>
        <w:t>The Act highlights seven priority groups of people that may experience overlapping disadvantage. Their needs will be considered and embedded across all State Plan measures and within DAIPs. The seven priority groups are: Aboriginal peoples with disability, culturally and linguistically diverse (CALD) people with disability, women with disability, children with disability, LGBTIQA+ people with disability, people with significant intellectual disability or who have high levels of vulnerability due to disability and people with disability who live in regional communities.</w:t>
      </w:r>
    </w:p>
    <w:p w14:paraId="6435B70C" w14:textId="77777777" w:rsidR="008D19CD" w:rsidRPr="008D19CD" w:rsidRDefault="008D19CD" w:rsidP="009A4742">
      <w:pPr>
        <w:spacing w:after="70"/>
        <w:rPr>
          <w:rFonts w:eastAsia="Times New Roman"/>
          <w:i/>
          <w:iCs/>
          <w:szCs w:val="17"/>
        </w:rPr>
      </w:pPr>
      <w:r w:rsidRPr="008D19CD">
        <w:rPr>
          <w:rFonts w:eastAsia="Times New Roman"/>
          <w:i/>
          <w:iCs/>
          <w:szCs w:val="17"/>
        </w:rPr>
        <w:t>State authority</w:t>
      </w:r>
    </w:p>
    <w:p w14:paraId="7BBC4649" w14:textId="77777777" w:rsidR="008D19CD" w:rsidRPr="008D19CD" w:rsidRDefault="008D19CD" w:rsidP="009A4742">
      <w:pPr>
        <w:spacing w:after="70"/>
        <w:rPr>
          <w:rFonts w:eastAsia="Times New Roman"/>
          <w:szCs w:val="17"/>
        </w:rPr>
      </w:pPr>
      <w:r w:rsidRPr="008D19CD">
        <w:rPr>
          <w:rFonts w:eastAsia="Times New Roman"/>
          <w:szCs w:val="17"/>
        </w:rPr>
        <w:t xml:space="preserve">As defined in the </w:t>
      </w:r>
      <w:r w:rsidRPr="008D19CD">
        <w:rPr>
          <w:rFonts w:eastAsia="Times New Roman"/>
          <w:i/>
          <w:iCs/>
          <w:szCs w:val="17"/>
        </w:rPr>
        <w:t xml:space="preserve">Disability Inclusion Act 2018 </w:t>
      </w:r>
      <w:r w:rsidRPr="008D19CD">
        <w:rPr>
          <w:rFonts w:eastAsia="Times New Roman"/>
          <w:szCs w:val="17"/>
        </w:rPr>
        <w:t xml:space="preserve">(SA) to include a government department, an agency or instrumentality of the Crown, a local council constituted under the </w:t>
      </w:r>
      <w:r w:rsidRPr="008D19CD">
        <w:rPr>
          <w:rFonts w:eastAsia="Times New Roman"/>
          <w:i/>
          <w:iCs/>
          <w:szCs w:val="17"/>
        </w:rPr>
        <w:t xml:space="preserve">Local Government Act 1999 </w:t>
      </w:r>
      <w:r w:rsidRPr="008D19CD">
        <w:rPr>
          <w:rFonts w:eastAsia="Times New Roman"/>
          <w:szCs w:val="17"/>
        </w:rPr>
        <w:t>(SA) or any other person or body declared by regulations to be included.</w:t>
      </w:r>
    </w:p>
    <w:p w14:paraId="00E15330" w14:textId="77777777" w:rsidR="008D19CD" w:rsidRPr="008D19CD" w:rsidRDefault="008D19CD" w:rsidP="009A4742">
      <w:pPr>
        <w:spacing w:after="70"/>
        <w:rPr>
          <w:rFonts w:eastAsia="Times New Roman"/>
          <w:i/>
          <w:iCs/>
          <w:szCs w:val="17"/>
        </w:rPr>
      </w:pPr>
      <w:r w:rsidRPr="008D19CD">
        <w:rPr>
          <w:rFonts w:eastAsia="Times New Roman"/>
          <w:i/>
          <w:iCs/>
          <w:szCs w:val="17"/>
        </w:rPr>
        <w:t>United Nations Convention on the Rights of Persons with Disabilities</w:t>
      </w:r>
    </w:p>
    <w:p w14:paraId="5F4104DE" w14:textId="77777777" w:rsidR="008D19CD" w:rsidRPr="008D19CD" w:rsidRDefault="008D19CD" w:rsidP="009A4742">
      <w:pPr>
        <w:spacing w:after="70"/>
        <w:rPr>
          <w:rFonts w:eastAsia="Times New Roman"/>
          <w:szCs w:val="17"/>
        </w:rPr>
      </w:pPr>
      <w:r w:rsidRPr="008D19CD">
        <w:rPr>
          <w:rFonts w:eastAsia="Times New Roman"/>
          <w:szCs w:val="17"/>
        </w:rPr>
        <w:t>United Nations Convention on the Rights of Persons with Disabilities (UNCRPD) is a human rights treaty that aims to change attitudes and approaches to people with disability. It reaffirms that all people with disability must enjoy human rights and fundamental freedoms.</w:t>
      </w:r>
    </w:p>
    <w:p w14:paraId="5C64ADD6" w14:textId="77777777" w:rsidR="008D19CD" w:rsidRPr="008D19CD" w:rsidRDefault="008D19CD" w:rsidP="009A4742">
      <w:pPr>
        <w:spacing w:after="70"/>
        <w:rPr>
          <w:rFonts w:eastAsia="Times New Roman"/>
          <w:i/>
          <w:iCs/>
          <w:szCs w:val="17"/>
        </w:rPr>
      </w:pPr>
      <w:r w:rsidRPr="008D19CD">
        <w:rPr>
          <w:rFonts w:eastAsia="Times New Roman"/>
          <w:i/>
          <w:iCs/>
          <w:szCs w:val="17"/>
        </w:rPr>
        <w:t>Universal Design</w:t>
      </w:r>
    </w:p>
    <w:p w14:paraId="1D6DD358" w14:textId="77777777" w:rsidR="008D19CD" w:rsidRPr="008D19CD" w:rsidRDefault="008D19CD" w:rsidP="009A4742">
      <w:pPr>
        <w:spacing w:after="70"/>
        <w:rPr>
          <w:rFonts w:eastAsia="Times New Roman"/>
          <w:szCs w:val="17"/>
        </w:rPr>
      </w:pPr>
      <w:r w:rsidRPr="008D19CD">
        <w:rPr>
          <w:rFonts w:eastAsia="Times New Roman"/>
          <w:szCs w:val="17"/>
        </w:rPr>
        <w:t>Universal Design (UD) involves creating facilities, built environments, products and services that can be used by people of all abilities, to the greatest extent possible, without adaptations.</w:t>
      </w:r>
    </w:p>
    <w:p w14:paraId="1951A054" w14:textId="77777777" w:rsidR="008D19CD" w:rsidRPr="008D19CD" w:rsidRDefault="008D19CD" w:rsidP="009A4742">
      <w:pPr>
        <w:spacing w:after="70"/>
        <w:rPr>
          <w:rFonts w:eastAsia="Times New Roman"/>
          <w:i/>
          <w:iCs/>
          <w:szCs w:val="17"/>
        </w:rPr>
      </w:pPr>
      <w:r w:rsidRPr="008D19CD">
        <w:rPr>
          <w:rFonts w:eastAsia="Times New Roman"/>
          <w:i/>
          <w:iCs/>
          <w:szCs w:val="17"/>
        </w:rPr>
        <w:t>Youth detention</w:t>
      </w:r>
    </w:p>
    <w:p w14:paraId="6B806352" w14:textId="77777777" w:rsidR="008D19CD" w:rsidRPr="008D19CD" w:rsidRDefault="008D19CD" w:rsidP="009A4742">
      <w:pPr>
        <w:spacing w:after="70"/>
        <w:rPr>
          <w:rFonts w:eastAsia="Times New Roman"/>
          <w:szCs w:val="17"/>
        </w:rPr>
      </w:pPr>
      <w:r w:rsidRPr="008D19CD">
        <w:rPr>
          <w:rFonts w:eastAsia="Times New Roman"/>
          <w:szCs w:val="17"/>
        </w:rPr>
        <w:t>A form of secure care where young people (usually aged 10–17) are held when they are charged with, or found guilty of breaking the law. It is used as a last resort and is intended to be safe, rehabilitative and respectful of young people’s rights.</w:t>
      </w:r>
    </w:p>
    <w:p w14:paraId="376F3275" w14:textId="7B414C5B" w:rsidR="008D19CD" w:rsidRPr="008D19CD" w:rsidRDefault="008D19CD" w:rsidP="009A4742">
      <w:pPr>
        <w:spacing w:after="70"/>
        <w:rPr>
          <w:rFonts w:eastAsia="Times New Roman"/>
          <w:i/>
          <w:iCs/>
          <w:szCs w:val="17"/>
        </w:rPr>
      </w:pPr>
      <w:r w:rsidRPr="008D19CD">
        <w:rPr>
          <w:rFonts w:eastAsia="Times New Roman"/>
          <w:i/>
          <w:iCs/>
          <w:szCs w:val="17"/>
        </w:rPr>
        <w:t>Qualitative data</w:t>
      </w:r>
    </w:p>
    <w:p w14:paraId="3FEF7B1C" w14:textId="77777777" w:rsidR="008D19CD" w:rsidRPr="008D19CD" w:rsidRDefault="008D19CD" w:rsidP="009A4742">
      <w:pPr>
        <w:spacing w:after="70"/>
        <w:rPr>
          <w:rFonts w:eastAsia="Times New Roman"/>
          <w:szCs w:val="17"/>
        </w:rPr>
      </w:pPr>
      <w:r w:rsidRPr="008D19CD">
        <w:rPr>
          <w:rFonts w:eastAsia="Times New Roman"/>
          <w:szCs w:val="17"/>
        </w:rPr>
        <w:t>Information or data that describes qualities or experiences, often collected through words, stories or observations rather than numbers.</w:t>
      </w:r>
    </w:p>
    <w:p w14:paraId="6152BB62" w14:textId="77777777" w:rsidR="008D19CD" w:rsidRPr="008D19CD" w:rsidRDefault="008D19CD" w:rsidP="009A4742">
      <w:pPr>
        <w:spacing w:after="70"/>
        <w:rPr>
          <w:rFonts w:eastAsia="Times New Roman"/>
          <w:i/>
          <w:iCs/>
          <w:szCs w:val="17"/>
        </w:rPr>
      </w:pPr>
      <w:r w:rsidRPr="008D19CD">
        <w:rPr>
          <w:rFonts w:eastAsia="Times New Roman"/>
          <w:i/>
          <w:iCs/>
          <w:szCs w:val="17"/>
        </w:rPr>
        <w:t>Quantitative data</w:t>
      </w:r>
    </w:p>
    <w:p w14:paraId="3DEB931E" w14:textId="77777777" w:rsidR="008D19CD" w:rsidRPr="008D19CD" w:rsidRDefault="008D19CD" w:rsidP="009A4742">
      <w:pPr>
        <w:spacing w:after="70"/>
        <w:rPr>
          <w:rFonts w:eastAsia="Times New Roman"/>
          <w:szCs w:val="17"/>
        </w:rPr>
      </w:pPr>
      <w:r w:rsidRPr="008D19CD">
        <w:rPr>
          <w:rFonts w:eastAsia="Times New Roman"/>
          <w:szCs w:val="17"/>
        </w:rPr>
        <w:t>Information or data that can be counted or measured using numbers. Examples include statistics, percentages and totals.</w:t>
      </w:r>
    </w:p>
    <w:p w14:paraId="1177AAB0" w14:textId="7A040B57" w:rsidR="008D19CD" w:rsidRPr="008D19CD" w:rsidRDefault="008D19CD" w:rsidP="009A4742">
      <w:pPr>
        <w:spacing w:after="60"/>
        <w:rPr>
          <w:rFonts w:eastAsia="Times New Roman"/>
          <w:b/>
          <w:bCs/>
          <w:szCs w:val="17"/>
        </w:rPr>
      </w:pPr>
      <w:r w:rsidRPr="008D19CD">
        <w:rPr>
          <w:rFonts w:eastAsia="Times New Roman"/>
          <w:b/>
          <w:bCs/>
          <w:szCs w:val="17"/>
        </w:rPr>
        <w:t>Appendix A: Description of Figure 1</w:t>
      </w:r>
    </w:p>
    <w:p w14:paraId="36DBCBAC" w14:textId="77777777" w:rsidR="008D19CD" w:rsidRPr="008D19CD" w:rsidRDefault="008D19CD" w:rsidP="009A4742">
      <w:pPr>
        <w:spacing w:after="60"/>
        <w:rPr>
          <w:rFonts w:eastAsia="Times New Roman"/>
          <w:szCs w:val="17"/>
        </w:rPr>
      </w:pPr>
      <w:r w:rsidRPr="008D19CD">
        <w:rPr>
          <w:rFonts w:eastAsia="Times New Roman"/>
          <w:szCs w:val="17"/>
        </w:rPr>
        <w:t>The relationship between international, national and state disability legislation and policy instruments</w:t>
      </w:r>
    </w:p>
    <w:p w14:paraId="292165FE" w14:textId="77777777" w:rsidR="008D19CD" w:rsidRPr="008D19CD" w:rsidRDefault="008D19CD" w:rsidP="008D19CD">
      <w:pPr>
        <w:rPr>
          <w:rFonts w:eastAsia="Times New Roman"/>
          <w:szCs w:val="17"/>
        </w:rPr>
      </w:pPr>
      <w:r w:rsidRPr="008D19CD">
        <w:rPr>
          <w:rFonts w:eastAsia="Times New Roman"/>
          <w:szCs w:val="17"/>
        </w:rPr>
        <w:t>The diagram shows three circles titled state, national and international. There is an additional circle at the centre of the three circles titled People with disability. All circles overlap, indicating there is a relationship between every element and people with disability are at the centre of the relationship.</w:t>
      </w:r>
    </w:p>
    <w:p w14:paraId="5E5AE78E" w14:textId="77777777" w:rsidR="009A4742" w:rsidRDefault="009A4742">
      <w:pPr>
        <w:spacing w:after="0" w:line="240" w:lineRule="auto"/>
        <w:jc w:val="left"/>
        <w:rPr>
          <w:rFonts w:eastAsia="Times New Roman"/>
          <w:szCs w:val="17"/>
        </w:rPr>
      </w:pPr>
      <w:r>
        <w:rPr>
          <w:rFonts w:eastAsia="Times New Roman"/>
          <w:szCs w:val="17"/>
        </w:rPr>
        <w:br w:type="page"/>
      </w:r>
    </w:p>
    <w:p w14:paraId="01529951" w14:textId="5B4E1A7C" w:rsidR="008D19CD" w:rsidRPr="008D19CD" w:rsidRDefault="008D19CD" w:rsidP="008D19CD">
      <w:pPr>
        <w:rPr>
          <w:rFonts w:eastAsia="Times New Roman"/>
          <w:szCs w:val="17"/>
        </w:rPr>
      </w:pPr>
      <w:r w:rsidRPr="008D19CD">
        <w:rPr>
          <w:rFonts w:eastAsia="Times New Roman"/>
          <w:szCs w:val="17"/>
        </w:rPr>
        <w:lastRenderedPageBreak/>
        <w:t>The following documents are listed:</w:t>
      </w:r>
    </w:p>
    <w:p w14:paraId="58D07C4F" w14:textId="77777777" w:rsidR="008D19CD" w:rsidRPr="008D19CD" w:rsidRDefault="008D19CD" w:rsidP="008D19CD">
      <w:pPr>
        <w:rPr>
          <w:rFonts w:eastAsia="Times New Roman"/>
          <w:b/>
          <w:bCs/>
          <w:szCs w:val="17"/>
        </w:rPr>
      </w:pPr>
      <w:r w:rsidRPr="008D19CD">
        <w:rPr>
          <w:rFonts w:eastAsia="Times New Roman"/>
          <w:b/>
          <w:bCs/>
          <w:szCs w:val="17"/>
        </w:rPr>
        <w:t>State</w:t>
      </w:r>
    </w:p>
    <w:p w14:paraId="513DD245"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r>
      <w:r w:rsidRPr="008D19CD">
        <w:rPr>
          <w:rFonts w:eastAsia="Times New Roman"/>
          <w:i/>
          <w:iCs/>
          <w:szCs w:val="17"/>
        </w:rPr>
        <w:t xml:space="preserve">Disability Inclusion Act 2018 </w:t>
      </w:r>
      <w:r w:rsidRPr="008D19CD">
        <w:rPr>
          <w:rFonts w:eastAsia="Times New Roman"/>
          <w:szCs w:val="17"/>
        </w:rPr>
        <w:t>(SA)</w:t>
      </w:r>
    </w:p>
    <w:p w14:paraId="4BB871C4"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State Disability Inclusion Plan 2025–2029</w:t>
      </w:r>
    </w:p>
    <w:p w14:paraId="7DF137BA"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SA Autism Strategy 2024–2029</w:t>
      </w:r>
    </w:p>
    <w:p w14:paraId="29F3DE5F"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Disability Access and Inclusion Plans (DAIP)</w:t>
      </w:r>
    </w:p>
    <w:p w14:paraId="0BA6A979"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r>
      <w:r w:rsidRPr="008D19CD">
        <w:rPr>
          <w:rFonts w:eastAsia="Times New Roman"/>
          <w:i/>
          <w:iCs/>
          <w:szCs w:val="17"/>
        </w:rPr>
        <w:t>Equal Opportunity Act 1984</w:t>
      </w:r>
    </w:p>
    <w:p w14:paraId="13C03AF6" w14:textId="77777777" w:rsidR="008D19CD" w:rsidRPr="008D19CD" w:rsidRDefault="008D19CD" w:rsidP="008D19CD">
      <w:pPr>
        <w:rPr>
          <w:rFonts w:eastAsia="Times New Roman"/>
          <w:b/>
          <w:bCs/>
          <w:szCs w:val="17"/>
        </w:rPr>
      </w:pPr>
      <w:r w:rsidRPr="008D19CD">
        <w:rPr>
          <w:rFonts w:eastAsia="Times New Roman"/>
          <w:b/>
          <w:bCs/>
          <w:szCs w:val="17"/>
        </w:rPr>
        <w:t>National</w:t>
      </w:r>
    </w:p>
    <w:p w14:paraId="50A2A517"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Australia’s Disability Strategy 2021–2031</w:t>
      </w:r>
    </w:p>
    <w:p w14:paraId="0AA44644"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National Autism Strategy 2025–2031</w:t>
      </w:r>
    </w:p>
    <w:p w14:paraId="5B284930"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Disability Royal Commission (DRC)</w:t>
      </w:r>
    </w:p>
    <w:p w14:paraId="338C8FE7"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National Disability Insurance Scheme (NDIS)</w:t>
      </w:r>
    </w:p>
    <w:p w14:paraId="3279661D" w14:textId="77777777" w:rsidR="008D19CD" w:rsidRPr="008D19CD" w:rsidRDefault="008D19CD" w:rsidP="009A4742">
      <w:pPr>
        <w:spacing w:after="40"/>
        <w:ind w:left="284" w:hanging="142"/>
        <w:rPr>
          <w:rFonts w:eastAsia="Times New Roman"/>
          <w:szCs w:val="17"/>
        </w:rPr>
      </w:pPr>
      <w:r w:rsidRPr="008D19CD">
        <w:rPr>
          <w:rFonts w:eastAsia="Times New Roman"/>
          <w:szCs w:val="17"/>
        </w:rPr>
        <w:t>•</w:t>
      </w:r>
      <w:r w:rsidRPr="008D19CD">
        <w:rPr>
          <w:rFonts w:eastAsia="Times New Roman"/>
          <w:szCs w:val="17"/>
        </w:rPr>
        <w:tab/>
        <w:t>NDIS Review</w:t>
      </w:r>
    </w:p>
    <w:p w14:paraId="764F2E2A" w14:textId="77777777" w:rsidR="008D19CD" w:rsidRPr="008D19CD" w:rsidRDefault="008D19CD" w:rsidP="008D19CD">
      <w:pPr>
        <w:ind w:left="284" w:hanging="142"/>
        <w:rPr>
          <w:rFonts w:eastAsia="Times New Roman"/>
          <w:i/>
          <w:iCs/>
          <w:szCs w:val="17"/>
        </w:rPr>
      </w:pPr>
      <w:r w:rsidRPr="008D19CD">
        <w:rPr>
          <w:rFonts w:eastAsia="Times New Roman"/>
          <w:szCs w:val="17"/>
        </w:rPr>
        <w:t>•</w:t>
      </w:r>
      <w:r w:rsidRPr="008D19CD">
        <w:rPr>
          <w:rFonts w:eastAsia="Times New Roman"/>
          <w:szCs w:val="17"/>
        </w:rPr>
        <w:tab/>
      </w:r>
      <w:r w:rsidRPr="008D19CD">
        <w:rPr>
          <w:rFonts w:eastAsia="Times New Roman"/>
          <w:i/>
          <w:iCs/>
          <w:szCs w:val="17"/>
        </w:rPr>
        <w:t>Disability Discrimination Act 1992</w:t>
      </w:r>
    </w:p>
    <w:p w14:paraId="56AAF3F9" w14:textId="77777777" w:rsidR="008D19CD" w:rsidRPr="008D19CD" w:rsidRDefault="008D19CD" w:rsidP="008D19CD">
      <w:pPr>
        <w:rPr>
          <w:rFonts w:eastAsia="Times New Roman"/>
          <w:b/>
          <w:bCs/>
          <w:szCs w:val="17"/>
        </w:rPr>
      </w:pPr>
      <w:r w:rsidRPr="008D19CD">
        <w:rPr>
          <w:rFonts w:eastAsia="Times New Roman"/>
          <w:b/>
          <w:bCs/>
          <w:szCs w:val="17"/>
        </w:rPr>
        <w:t>International</w:t>
      </w:r>
    </w:p>
    <w:p w14:paraId="775E74E4" w14:textId="77777777" w:rsidR="008D19CD" w:rsidRPr="008D19CD" w:rsidRDefault="008D19CD" w:rsidP="008D19CD">
      <w:pPr>
        <w:ind w:left="284" w:hanging="142"/>
        <w:rPr>
          <w:rFonts w:eastAsia="Times New Roman"/>
          <w:szCs w:val="17"/>
        </w:rPr>
      </w:pPr>
      <w:r w:rsidRPr="008D19CD">
        <w:rPr>
          <w:rFonts w:eastAsia="Times New Roman"/>
          <w:szCs w:val="17"/>
        </w:rPr>
        <w:t>•</w:t>
      </w:r>
      <w:r w:rsidRPr="008D19CD">
        <w:rPr>
          <w:rFonts w:eastAsia="Times New Roman"/>
          <w:szCs w:val="17"/>
        </w:rPr>
        <w:tab/>
        <w:t>United Nations Convention on the Rights of Persons with Disabilities (UNCRPD).</w:t>
      </w:r>
    </w:p>
    <w:p w14:paraId="7DB73C12" w14:textId="77777777" w:rsidR="008D19CD" w:rsidRPr="008D19CD" w:rsidRDefault="008D19CD" w:rsidP="008D19CD">
      <w:pPr>
        <w:rPr>
          <w:rFonts w:eastAsia="Times New Roman"/>
          <w:szCs w:val="17"/>
        </w:rPr>
      </w:pPr>
      <w:r w:rsidRPr="008D19CD">
        <w:rPr>
          <w:rFonts w:eastAsia="Times New Roman"/>
          <w:szCs w:val="17"/>
        </w:rPr>
        <w:t>Dated: 14 August 2025</w:t>
      </w:r>
    </w:p>
    <w:p w14:paraId="79887872" w14:textId="77777777" w:rsidR="008D19CD" w:rsidRPr="008D19CD" w:rsidRDefault="008D19CD" w:rsidP="008D19CD">
      <w:pPr>
        <w:spacing w:after="0"/>
        <w:jc w:val="right"/>
        <w:rPr>
          <w:rFonts w:eastAsia="Times New Roman"/>
          <w:smallCaps/>
          <w:szCs w:val="17"/>
        </w:rPr>
      </w:pPr>
      <w:r w:rsidRPr="008D19CD">
        <w:rPr>
          <w:rFonts w:eastAsia="Times New Roman"/>
          <w:smallCaps/>
          <w:szCs w:val="17"/>
        </w:rPr>
        <w:t>Natalie Fleur Cook MP</w:t>
      </w:r>
    </w:p>
    <w:p w14:paraId="526E588E" w14:textId="1132C020" w:rsidR="009D1E2E" w:rsidRDefault="008D19CD" w:rsidP="00436AC6">
      <w:pPr>
        <w:spacing w:after="0"/>
        <w:jc w:val="right"/>
        <w:rPr>
          <w:rFonts w:eastAsia="Times New Roman"/>
          <w:szCs w:val="17"/>
        </w:rPr>
      </w:pPr>
      <w:r w:rsidRPr="008D19CD">
        <w:rPr>
          <w:rFonts w:eastAsia="Times New Roman"/>
          <w:szCs w:val="17"/>
        </w:rPr>
        <w:t>Minister for Human Services</w:t>
      </w:r>
    </w:p>
    <w:p w14:paraId="40E4855E" w14:textId="77777777" w:rsidR="00436AC6" w:rsidRDefault="00436AC6" w:rsidP="00436AC6">
      <w:pPr>
        <w:pBdr>
          <w:bottom w:val="single" w:sz="4" w:space="1" w:color="auto"/>
        </w:pBdr>
        <w:spacing w:after="0" w:line="52" w:lineRule="exact"/>
        <w:jc w:val="center"/>
        <w:rPr>
          <w:lang w:val="en-US"/>
        </w:rPr>
      </w:pPr>
    </w:p>
    <w:p w14:paraId="59FE8577" w14:textId="77777777" w:rsidR="00436AC6" w:rsidRDefault="00436AC6" w:rsidP="00436AC6">
      <w:pPr>
        <w:pBdr>
          <w:top w:val="single" w:sz="4" w:space="1" w:color="auto"/>
        </w:pBdr>
        <w:spacing w:before="34" w:after="0" w:line="14" w:lineRule="exact"/>
        <w:jc w:val="center"/>
        <w:rPr>
          <w:lang w:val="en-US"/>
        </w:rPr>
      </w:pPr>
    </w:p>
    <w:p w14:paraId="52C5BB37" w14:textId="77777777" w:rsidR="00436AC6" w:rsidRDefault="00436AC6" w:rsidP="00436AC6">
      <w:pPr>
        <w:pStyle w:val="NoSpacing"/>
        <w:rPr>
          <w:lang w:val="en-US"/>
        </w:rPr>
      </w:pPr>
    </w:p>
    <w:p w14:paraId="1494C57A" w14:textId="61A2FDD8" w:rsidR="00DC64A9" w:rsidRDefault="00DA4D46" w:rsidP="00E34B09">
      <w:pPr>
        <w:pStyle w:val="Heading2"/>
      </w:pPr>
      <w:bookmarkStart w:id="504" w:name="_Toc206061761"/>
      <w:r>
        <w:t>Fisheries Management Act 2007</w:t>
      </w:r>
      <w:bookmarkEnd w:id="504"/>
      <w:r>
        <w:t xml:space="preserve"> </w:t>
      </w:r>
    </w:p>
    <w:p w14:paraId="2A68A12E" w14:textId="77777777" w:rsidR="00DC64A9" w:rsidRDefault="00DC64A9" w:rsidP="00DC64A9">
      <w:pPr>
        <w:pStyle w:val="GG-Title2"/>
      </w:pPr>
      <w:r>
        <w:t>Section 115</w:t>
      </w:r>
    </w:p>
    <w:p w14:paraId="0AFC1C9C" w14:textId="77777777" w:rsidR="00DC64A9" w:rsidRDefault="00DC64A9" w:rsidP="00DC64A9">
      <w:pPr>
        <w:pStyle w:val="GG-Title3"/>
      </w:pPr>
      <w:r>
        <w:t>Ministerial Exemption: ME9903384</w:t>
      </w:r>
    </w:p>
    <w:p w14:paraId="04E2374F" w14:textId="77777777" w:rsidR="00DC64A9" w:rsidRDefault="00DC64A9" w:rsidP="00DC64A9">
      <w:pPr>
        <w:pStyle w:val="GG-body"/>
      </w:pPr>
      <w:r w:rsidRPr="007F4B0A">
        <w:rPr>
          <w:spacing w:val="-2"/>
        </w:rPr>
        <w:t xml:space="preserve">Take notice that pursuant to Section 115 of the </w:t>
      </w:r>
      <w:r w:rsidRPr="007F4B0A">
        <w:rPr>
          <w:i/>
          <w:iCs/>
          <w:spacing w:val="-2"/>
        </w:rPr>
        <w:t>Fisheries Management Act 2007</w:t>
      </w:r>
      <w:r w:rsidRPr="007F4B0A">
        <w:rPr>
          <w:spacing w:val="-2"/>
        </w:rPr>
        <w:t>, Port Lincoln Salmon Pty Ltd of PO Box 1635, Port Lincoln</w:t>
      </w:r>
      <w:r>
        <w:t xml:space="preserve">, </w:t>
      </w:r>
      <w:r w:rsidRPr="001520E0">
        <w:rPr>
          <w:spacing w:val="2"/>
        </w:rPr>
        <w:t>SA, 5606, holder of Marine Scalefish Fishery licence number M210 (the ‘exemption holder’), the registered master or replacement master,</w:t>
      </w:r>
      <w:r w:rsidRPr="000D1B73">
        <w:rPr>
          <w:spacing w:val="4"/>
        </w:rPr>
        <w:t xml:space="preserve"> is exempt from Section 70 of the </w:t>
      </w:r>
      <w:r w:rsidRPr="000D1B73">
        <w:rPr>
          <w:i/>
          <w:iCs/>
          <w:spacing w:val="4"/>
        </w:rPr>
        <w:t>Fisheries Management Act 2007</w:t>
      </w:r>
      <w:r w:rsidRPr="000D1B73">
        <w:rPr>
          <w:spacing w:val="4"/>
        </w:rPr>
        <w:t xml:space="preserve">, and Regulation 5(b)(i) and Part 1 of Schedule 7 of the </w:t>
      </w:r>
      <w:r w:rsidRPr="00CE653F">
        <w:rPr>
          <w:i/>
          <w:iCs/>
        </w:rPr>
        <w:t>Fisheries Management (General) Regulations 2017</w:t>
      </w:r>
      <w:r>
        <w:t xml:space="preserve"> but only insofar as the exemption holder may use a purse seine net for the purposes of taking Western Australian Salmon for trade or business in the waters described in Schedule 1 (the “exempted activity”), subject to the conditions set out in Schedule 2, from 18 August 2025 until 17 August 2026, unless this notice is varied or revoked earlier.</w:t>
      </w:r>
    </w:p>
    <w:p w14:paraId="757092BC" w14:textId="77777777" w:rsidR="00DC64A9" w:rsidRDefault="00DC64A9" w:rsidP="00DC64A9">
      <w:pPr>
        <w:pStyle w:val="GG-Title2"/>
      </w:pPr>
      <w:r>
        <w:t>Schedule 1</w:t>
      </w:r>
    </w:p>
    <w:p w14:paraId="7ABA299C" w14:textId="77777777" w:rsidR="00DC64A9" w:rsidRPr="00CE653F" w:rsidRDefault="00DC64A9" w:rsidP="00DC64A9">
      <w:pPr>
        <w:pStyle w:val="GG-body"/>
        <w:rPr>
          <w:spacing w:val="-2"/>
        </w:rPr>
      </w:pPr>
      <w:r w:rsidRPr="00CE653F">
        <w:rPr>
          <w:spacing w:val="-2"/>
        </w:rPr>
        <w:t xml:space="preserve">The waters of Spencer Gulf near Wedge Island as described in Schedule 7 of the </w:t>
      </w:r>
      <w:r w:rsidRPr="00374640">
        <w:rPr>
          <w:i/>
          <w:iCs/>
          <w:spacing w:val="-2"/>
        </w:rPr>
        <w:t>Fisheries Management (General) Regulations 2017</w:t>
      </w:r>
      <w:r w:rsidRPr="00CE653F">
        <w:rPr>
          <w:spacing w:val="-2"/>
        </w:rPr>
        <w:t xml:space="preserve"> as follows: </w:t>
      </w:r>
    </w:p>
    <w:p w14:paraId="52DB347D" w14:textId="77777777" w:rsidR="00DC64A9" w:rsidRPr="001A7F37" w:rsidRDefault="00DC64A9" w:rsidP="00DC64A9">
      <w:pPr>
        <w:pStyle w:val="GG-body"/>
        <w:ind w:left="142"/>
        <w:rPr>
          <w:spacing w:val="-2"/>
        </w:rPr>
      </w:pPr>
      <w:r w:rsidRPr="00277D98">
        <w:rPr>
          <w:spacing w:val="-4"/>
        </w:rPr>
        <w:t>The waters near Wedge Island contained within and bounded by a line commencing at Mean High Water Springs closest to 35°07</w:t>
      </w:r>
      <w:r w:rsidRPr="00277D98">
        <w:rPr>
          <w:spacing w:val="-4"/>
        </w:rPr>
        <w:sym w:font="Symbol" w:char="F0A2"/>
      </w:r>
      <w:r w:rsidRPr="00277D98">
        <w:rPr>
          <w:spacing w:val="-4"/>
        </w:rPr>
        <w:t>02.05</w:t>
      </w:r>
      <w:r w:rsidRPr="00277D98">
        <w:rPr>
          <w:spacing w:val="-4"/>
        </w:rPr>
        <w:sym w:font="Symbol" w:char="F0B2"/>
      </w:r>
      <w:r w:rsidRPr="00277D98">
        <w:rPr>
          <w:spacing w:val="-4"/>
        </w:rPr>
        <w:t xml:space="preserve"> South,</w:t>
      </w:r>
      <w:r w:rsidRPr="001A7F37">
        <w:rPr>
          <w:spacing w:val="-2"/>
        </w:rPr>
        <w:t xml:space="preserve"> 136°27</w:t>
      </w:r>
      <w:r w:rsidRPr="001A7F37">
        <w:rPr>
          <w:spacing w:val="-2"/>
        </w:rPr>
        <w:sym w:font="Symbol" w:char="F0A2"/>
      </w:r>
      <w:r w:rsidRPr="001A7F37">
        <w:rPr>
          <w:spacing w:val="-2"/>
        </w:rPr>
        <w:t>49.94</w:t>
      </w:r>
      <w:r w:rsidRPr="001A7F37">
        <w:rPr>
          <w:spacing w:val="-2"/>
        </w:rPr>
        <w:sym w:font="Symbol" w:char="F0B2"/>
      </w:r>
      <w:r w:rsidRPr="001A7F37">
        <w:rPr>
          <w:spacing w:val="-2"/>
        </w:rPr>
        <w:t xml:space="preserve"> East (North Island), then beginning southerly following the line of Mean High Water Springs (North Island) to the location closest to 35°07</w:t>
      </w:r>
      <w:r w:rsidRPr="001A7F37">
        <w:rPr>
          <w:spacing w:val="-2"/>
        </w:rPr>
        <w:sym w:font="Symbol" w:char="F0A2"/>
      </w:r>
      <w:r w:rsidRPr="001A7F37">
        <w:rPr>
          <w:spacing w:val="-2"/>
        </w:rPr>
        <w:t>15.64</w:t>
      </w:r>
      <w:r w:rsidRPr="001A7F37">
        <w:rPr>
          <w:spacing w:val="-2"/>
        </w:rPr>
        <w:sym w:font="Symbol" w:char="F0B2"/>
      </w:r>
      <w:r w:rsidRPr="001A7F37">
        <w:rPr>
          <w:spacing w:val="-2"/>
        </w:rPr>
        <w:t xml:space="preserve"> South, 136°28</w:t>
      </w:r>
      <w:r w:rsidRPr="001A7F37">
        <w:rPr>
          <w:spacing w:val="-2"/>
        </w:rPr>
        <w:sym w:font="Symbol" w:char="F0A2"/>
      </w:r>
      <w:r w:rsidRPr="001A7F37">
        <w:rPr>
          <w:spacing w:val="-2"/>
        </w:rPr>
        <w:t>43.72</w:t>
      </w:r>
      <w:r w:rsidRPr="001A7F37">
        <w:rPr>
          <w:spacing w:val="-2"/>
        </w:rPr>
        <w:sym w:font="Symbol" w:char="F0B2"/>
      </w:r>
      <w:r w:rsidRPr="001A7F37">
        <w:rPr>
          <w:spacing w:val="-2"/>
        </w:rPr>
        <w:t xml:space="preserve"> East, then south-easterly to the location on Mean High Water Springs (Wedge Island) closest to 35°09</w:t>
      </w:r>
      <w:r w:rsidRPr="001A7F37">
        <w:rPr>
          <w:spacing w:val="-2"/>
        </w:rPr>
        <w:sym w:font="Symbol" w:char="F0A2"/>
      </w:r>
      <w:r w:rsidRPr="001A7F37">
        <w:rPr>
          <w:spacing w:val="-2"/>
        </w:rPr>
        <w:t>40.22</w:t>
      </w:r>
      <w:r w:rsidRPr="001A7F37">
        <w:rPr>
          <w:spacing w:val="-2"/>
        </w:rPr>
        <w:sym w:font="Symbol" w:char="F0B2"/>
      </w:r>
      <w:r w:rsidRPr="001A7F37">
        <w:rPr>
          <w:spacing w:val="-2"/>
        </w:rPr>
        <w:t xml:space="preserve"> South, 136°29</w:t>
      </w:r>
      <w:r w:rsidRPr="001A7F37">
        <w:rPr>
          <w:spacing w:val="-2"/>
        </w:rPr>
        <w:sym w:font="Symbol" w:char="F0A2"/>
      </w:r>
      <w:r w:rsidRPr="001A7F37">
        <w:rPr>
          <w:spacing w:val="-2"/>
        </w:rPr>
        <w:t>38.71</w:t>
      </w:r>
      <w:r w:rsidRPr="001A7F37">
        <w:rPr>
          <w:spacing w:val="-2"/>
        </w:rPr>
        <w:sym w:font="Symbol" w:char="F0B2"/>
      </w:r>
      <w:r w:rsidRPr="001A7F37">
        <w:rPr>
          <w:spacing w:val="-2"/>
        </w:rPr>
        <w:t xml:space="preserve"> East, then beginning north-westerly following the line of Mean High Water Springs (Wedge Island) to the location closest to 35°08</w:t>
      </w:r>
      <w:r w:rsidRPr="001A7F37">
        <w:rPr>
          <w:spacing w:val="-2"/>
        </w:rPr>
        <w:sym w:font="Symbol" w:char="F0A2"/>
      </w:r>
      <w:r w:rsidRPr="001A7F37">
        <w:rPr>
          <w:spacing w:val="-2"/>
        </w:rPr>
        <w:t>04.19</w:t>
      </w:r>
      <w:r w:rsidRPr="001A7F37">
        <w:rPr>
          <w:spacing w:val="-2"/>
        </w:rPr>
        <w:sym w:font="Symbol" w:char="F0B2"/>
      </w:r>
      <w:r w:rsidRPr="001A7F37">
        <w:rPr>
          <w:spacing w:val="-2"/>
        </w:rPr>
        <w:t xml:space="preserve"> South, 136°27</w:t>
      </w:r>
      <w:r w:rsidRPr="001A7F37">
        <w:rPr>
          <w:spacing w:val="-2"/>
        </w:rPr>
        <w:sym w:font="Symbol" w:char="F0A2"/>
      </w:r>
      <w:r w:rsidRPr="001A7F37">
        <w:rPr>
          <w:spacing w:val="-2"/>
        </w:rPr>
        <w:t>05.22</w:t>
      </w:r>
      <w:r w:rsidRPr="001A7F37">
        <w:rPr>
          <w:spacing w:val="-2"/>
        </w:rPr>
        <w:sym w:font="Symbol" w:char="F0B2"/>
      </w:r>
      <w:r w:rsidRPr="001A7F37">
        <w:rPr>
          <w:spacing w:val="-2"/>
        </w:rPr>
        <w:t xml:space="preserve"> East, then north-easterly to the point of commencement (GDA2020). </w:t>
      </w:r>
    </w:p>
    <w:p w14:paraId="3E799220" w14:textId="77777777" w:rsidR="00DC64A9" w:rsidRDefault="00DC64A9" w:rsidP="00DC64A9">
      <w:pPr>
        <w:pStyle w:val="GG-Title2"/>
      </w:pPr>
      <w:r>
        <w:t>Schedule 2</w:t>
      </w:r>
    </w:p>
    <w:p w14:paraId="58E7B2FC" w14:textId="77777777" w:rsidR="00DC64A9" w:rsidRDefault="00DC64A9" w:rsidP="00DC64A9">
      <w:pPr>
        <w:pStyle w:val="GG-body"/>
        <w:ind w:left="284" w:hanging="284"/>
      </w:pPr>
      <w:r>
        <w:t>1.</w:t>
      </w:r>
      <w:r>
        <w:tab/>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 </w:t>
      </w:r>
    </w:p>
    <w:p w14:paraId="4BCA53D3" w14:textId="77777777" w:rsidR="00DC64A9" w:rsidRDefault="00DC64A9" w:rsidP="00DC64A9">
      <w:pPr>
        <w:pStyle w:val="GG-body"/>
        <w:ind w:left="284" w:hanging="284"/>
      </w:pPr>
      <w:r>
        <w:t>2.</w:t>
      </w:r>
      <w:r>
        <w:tab/>
        <w:t xml:space="preserve">The exemption holder may only undertake the activity pursuant to this exemption when fishing from a boat that is registered on Marine Scalefish Fishery licence M210. </w:t>
      </w:r>
    </w:p>
    <w:p w14:paraId="2BFE9D2C" w14:textId="77777777" w:rsidR="00DC64A9" w:rsidRDefault="00DC64A9" w:rsidP="00DC64A9">
      <w:pPr>
        <w:pStyle w:val="GG-body"/>
        <w:ind w:left="284" w:hanging="284"/>
      </w:pPr>
      <w:r>
        <w:t>3.</w:t>
      </w:r>
      <w:r>
        <w:tab/>
        <w:t>The exempted activity may only be undertaken using a purse seine net, registered on Marine Scalefish Fishery licence M210 and with dimensions of not more than 900 metres in length, not more than a 13 metres net depth and mesh size not less than 50 millimetres.</w:t>
      </w:r>
    </w:p>
    <w:p w14:paraId="61E05A74" w14:textId="77777777" w:rsidR="00DC64A9" w:rsidRDefault="00DC64A9" w:rsidP="00DC64A9">
      <w:pPr>
        <w:pStyle w:val="GG-body"/>
        <w:ind w:left="284" w:hanging="284"/>
      </w:pPr>
      <w:r>
        <w:t>4.</w:t>
      </w:r>
      <w:r>
        <w:tab/>
        <w:t>The exemption holder may fish pursuant to this exemption for a maximum of twenty (20) days during the term of this notice.</w:t>
      </w:r>
    </w:p>
    <w:p w14:paraId="76FAFA31" w14:textId="77777777" w:rsidR="00DC64A9" w:rsidRDefault="00DC64A9" w:rsidP="00DC64A9">
      <w:pPr>
        <w:pStyle w:val="GG-body"/>
        <w:ind w:left="284" w:hanging="284"/>
      </w:pPr>
      <w:r>
        <w:t>5.</w:t>
      </w:r>
      <w:r>
        <w:tab/>
      </w:r>
      <w:r w:rsidRPr="00A0225A">
        <w:rPr>
          <w:spacing w:val="-4"/>
        </w:rPr>
        <w:t>Any aquatic resources other than Western Australian Salmon captured during the exempted activity must be returned to the water immediately.</w:t>
      </w:r>
    </w:p>
    <w:p w14:paraId="155D12C7" w14:textId="77777777" w:rsidR="00DC64A9" w:rsidRDefault="00DC64A9" w:rsidP="00DC64A9">
      <w:pPr>
        <w:pStyle w:val="GG-body"/>
        <w:ind w:left="284" w:hanging="284"/>
      </w:pPr>
      <w:r>
        <w:t>6.</w:t>
      </w:r>
      <w:r>
        <w:tab/>
        <w:t>The exemption holder must notify the Department of Primary Industries and Regions (PIRSA) Fishwatch on 1800 065 522 prior to conducting the exempted activity and provide the following information:</w:t>
      </w:r>
    </w:p>
    <w:p w14:paraId="2EA62234" w14:textId="77777777" w:rsidR="00DC64A9" w:rsidRDefault="00DC64A9" w:rsidP="00DC64A9">
      <w:pPr>
        <w:pStyle w:val="GG-body"/>
        <w:spacing w:after="40"/>
        <w:ind w:left="426" w:hanging="142"/>
      </w:pPr>
      <w:r>
        <w:t>•</w:t>
      </w:r>
      <w:r>
        <w:tab/>
        <w:t>The place and time of departure;</w:t>
      </w:r>
    </w:p>
    <w:p w14:paraId="367AEA6D" w14:textId="77777777" w:rsidR="00DC64A9" w:rsidRDefault="00DC64A9" w:rsidP="00DC64A9">
      <w:pPr>
        <w:pStyle w:val="GG-body"/>
        <w:spacing w:after="40"/>
        <w:ind w:left="426" w:hanging="142"/>
      </w:pPr>
      <w:r>
        <w:t>•</w:t>
      </w:r>
      <w:r>
        <w:tab/>
        <w:t>The place and time of landing; and</w:t>
      </w:r>
    </w:p>
    <w:p w14:paraId="248020A8" w14:textId="77777777" w:rsidR="00DC64A9" w:rsidRDefault="00DC64A9" w:rsidP="00DC64A9">
      <w:pPr>
        <w:pStyle w:val="GG-body"/>
        <w:ind w:left="426" w:hanging="142"/>
      </w:pPr>
      <w:r>
        <w:t>•</w:t>
      </w:r>
      <w:r>
        <w:tab/>
        <w:t>Exemption number.</w:t>
      </w:r>
    </w:p>
    <w:p w14:paraId="62718454" w14:textId="77777777" w:rsidR="00DC64A9" w:rsidRDefault="00DC64A9" w:rsidP="00DC64A9">
      <w:pPr>
        <w:pStyle w:val="GG-body"/>
        <w:ind w:left="284" w:hanging="284"/>
      </w:pPr>
      <w:r>
        <w:t>7.</w:t>
      </w:r>
      <w:r>
        <w:tab/>
        <w:t>Whilst engaged in the exempted activity, the exemption holder must be in possession of a copy of this notice and this notice must be produced to a Fisheries Officer if requested.</w:t>
      </w:r>
    </w:p>
    <w:p w14:paraId="37EE664E" w14:textId="77777777" w:rsidR="00DC64A9" w:rsidRDefault="00DC64A9" w:rsidP="00DC64A9">
      <w:pPr>
        <w:pStyle w:val="GG-body"/>
      </w:pPr>
      <w:r>
        <w:t xml:space="preserve">The exemption holder must not contravene or fail to comply with the </w:t>
      </w:r>
      <w:r w:rsidRPr="00307B3F">
        <w:rPr>
          <w:i/>
          <w:iCs/>
        </w:rPr>
        <w:t>Fisheries Management Act 2007</w:t>
      </w:r>
      <w:r>
        <w:t xml:space="preserve"> or any regulations made under that Act, except where specifically exempted by this notice. </w:t>
      </w:r>
    </w:p>
    <w:p w14:paraId="4FD7855E" w14:textId="77777777" w:rsidR="00DC64A9" w:rsidRDefault="00DC64A9" w:rsidP="00DC64A9">
      <w:pPr>
        <w:pStyle w:val="GG-body"/>
      </w:pPr>
      <w:r w:rsidRPr="00307B3F">
        <w:rPr>
          <w:spacing w:val="-2"/>
        </w:rPr>
        <w:t xml:space="preserve">This notice does not purport to override the provisions or operation of any other Act including, but not limited to, the </w:t>
      </w:r>
      <w:r w:rsidRPr="00307B3F">
        <w:rPr>
          <w:i/>
          <w:iCs/>
          <w:spacing w:val="-2"/>
        </w:rPr>
        <w:t>Marine Parks Act 2007</w:t>
      </w:r>
      <w:r>
        <w:t>. The exemption holder and his agents must comply with any relevant regulations, permits, requirements and directions from the Department for Environment and Water when undertaking activities within a marine park.</w:t>
      </w:r>
    </w:p>
    <w:p w14:paraId="1A24487C" w14:textId="77777777" w:rsidR="00DC64A9" w:rsidRDefault="00DC64A9" w:rsidP="00DC64A9">
      <w:pPr>
        <w:pStyle w:val="GG-SDated"/>
      </w:pPr>
      <w:r>
        <w:t>Dated: 11 August 2025</w:t>
      </w:r>
    </w:p>
    <w:p w14:paraId="7CFD6EA5" w14:textId="77777777" w:rsidR="00DC64A9" w:rsidRDefault="00DC64A9" w:rsidP="00DC64A9">
      <w:pPr>
        <w:pStyle w:val="GG-SName"/>
      </w:pPr>
      <w:r>
        <w:t>Professor Gavin Begg</w:t>
      </w:r>
    </w:p>
    <w:p w14:paraId="218AB996" w14:textId="77777777" w:rsidR="00DC64A9" w:rsidRDefault="00DC64A9" w:rsidP="00DC64A9">
      <w:pPr>
        <w:pStyle w:val="GG-Signature"/>
      </w:pPr>
      <w:r>
        <w:t>Executive Director</w:t>
      </w:r>
    </w:p>
    <w:p w14:paraId="61FE7CE4" w14:textId="77777777" w:rsidR="00DC64A9" w:rsidRDefault="00DC64A9" w:rsidP="00DC64A9">
      <w:pPr>
        <w:pStyle w:val="GG-Signature"/>
      </w:pPr>
      <w:r>
        <w:t xml:space="preserve">Fisheries and Aquaculture </w:t>
      </w:r>
    </w:p>
    <w:p w14:paraId="7B0A2904" w14:textId="77777777" w:rsidR="00DC64A9" w:rsidRDefault="00DC64A9" w:rsidP="00DC64A9">
      <w:pPr>
        <w:pStyle w:val="GG-Signature"/>
      </w:pPr>
      <w:r>
        <w:t>Delegate of the Minister for Primary Industries and Regional Development</w:t>
      </w:r>
    </w:p>
    <w:p w14:paraId="30C5F0FC" w14:textId="77777777" w:rsidR="00DC64A9" w:rsidRDefault="00DC64A9" w:rsidP="00DC64A9">
      <w:pPr>
        <w:pStyle w:val="GG-Signature"/>
        <w:pBdr>
          <w:bottom w:val="single" w:sz="4" w:space="1" w:color="auto"/>
        </w:pBdr>
        <w:spacing w:line="52" w:lineRule="exact"/>
        <w:jc w:val="center"/>
      </w:pPr>
    </w:p>
    <w:p w14:paraId="7A07C76E" w14:textId="77777777" w:rsidR="00DC64A9" w:rsidRDefault="00DC64A9" w:rsidP="00DC64A9">
      <w:pPr>
        <w:pStyle w:val="GG-Signature"/>
        <w:pBdr>
          <w:top w:val="single" w:sz="4" w:space="1" w:color="auto"/>
        </w:pBdr>
        <w:spacing w:before="34" w:line="14" w:lineRule="exact"/>
        <w:jc w:val="center"/>
      </w:pPr>
    </w:p>
    <w:p w14:paraId="1924674A" w14:textId="04D7BA64" w:rsidR="00B25CB3" w:rsidRPr="00B25CB3" w:rsidRDefault="00DA4D46" w:rsidP="00E34B09">
      <w:pPr>
        <w:pStyle w:val="Heading2"/>
      </w:pPr>
      <w:bookmarkStart w:id="505" w:name="_Toc206061762"/>
      <w:r w:rsidRPr="00B25CB3">
        <w:lastRenderedPageBreak/>
        <w:t>Geographical Names Act 1991</w:t>
      </w:r>
      <w:bookmarkEnd w:id="505"/>
    </w:p>
    <w:p w14:paraId="249B3775" w14:textId="77777777" w:rsidR="00B25CB3" w:rsidRPr="00B25CB3" w:rsidRDefault="00B25CB3" w:rsidP="00B25CB3">
      <w:pPr>
        <w:jc w:val="center"/>
        <w:rPr>
          <w:i/>
          <w:szCs w:val="17"/>
        </w:rPr>
      </w:pPr>
      <w:r w:rsidRPr="00B25CB3">
        <w:rPr>
          <w:i/>
          <w:szCs w:val="17"/>
        </w:rPr>
        <w:t>Notice of Intention to Alter the Boundaries of a Place and Assign a Name to a Place</w:t>
      </w:r>
    </w:p>
    <w:p w14:paraId="71AB5878" w14:textId="77777777" w:rsidR="00B25CB3" w:rsidRPr="00B25CB3" w:rsidRDefault="00B25CB3" w:rsidP="00B25CB3">
      <w:pPr>
        <w:rPr>
          <w:rFonts w:eastAsia="Times New Roman"/>
          <w:szCs w:val="17"/>
        </w:rPr>
      </w:pPr>
      <w:r w:rsidRPr="00B25CB3">
        <w:rPr>
          <w:rFonts w:eastAsia="Times New Roman"/>
          <w:spacing w:val="-2"/>
          <w:szCs w:val="17"/>
        </w:rPr>
        <w:t xml:space="preserve">Notice is hereby given that, pursuant to Section 11B(2)(d) of the </w:t>
      </w:r>
      <w:r w:rsidRPr="00B25CB3">
        <w:rPr>
          <w:rFonts w:eastAsia="Times New Roman"/>
          <w:i/>
          <w:iCs/>
          <w:spacing w:val="-2"/>
          <w:szCs w:val="17"/>
        </w:rPr>
        <w:t>Geographical Names Act 1991</w:t>
      </w:r>
      <w:r w:rsidRPr="00B25CB3">
        <w:rPr>
          <w:rFonts w:eastAsia="Times New Roman"/>
          <w:spacing w:val="-2"/>
          <w:szCs w:val="17"/>
        </w:rPr>
        <w:t xml:space="preserve">, I, the Honourable Nick Champion MP, </w:t>
      </w:r>
      <w:r w:rsidRPr="00B25CB3">
        <w:rPr>
          <w:rFonts w:eastAsia="Times New Roman"/>
          <w:spacing w:val="-4"/>
          <w:szCs w:val="17"/>
        </w:rPr>
        <w:t xml:space="preserve">Minister for Planning, Minister of the Crown to whom the administration of the </w:t>
      </w:r>
      <w:r w:rsidRPr="00B25CB3">
        <w:rPr>
          <w:rFonts w:eastAsia="Times New Roman"/>
          <w:i/>
          <w:iCs/>
          <w:spacing w:val="-4"/>
          <w:szCs w:val="17"/>
        </w:rPr>
        <w:t>Geographical Names Act 1991</w:t>
      </w:r>
      <w:r w:rsidRPr="00B25CB3">
        <w:rPr>
          <w:rFonts w:eastAsia="Times New Roman"/>
          <w:spacing w:val="-4"/>
          <w:szCs w:val="17"/>
        </w:rPr>
        <w:t xml:space="preserve"> is committed, seeks public comment</w:t>
      </w:r>
      <w:r w:rsidRPr="00B25CB3">
        <w:rPr>
          <w:rFonts w:eastAsia="Times New Roman"/>
          <w:szCs w:val="17"/>
        </w:rPr>
        <w:t xml:space="preserve"> on a proposal to:</w:t>
      </w:r>
    </w:p>
    <w:p w14:paraId="556DF30C" w14:textId="77777777" w:rsidR="00B25CB3" w:rsidRPr="00B25CB3" w:rsidRDefault="00B25CB3" w:rsidP="00B25CB3">
      <w:pPr>
        <w:ind w:left="426" w:hanging="284"/>
        <w:rPr>
          <w:rFonts w:eastAsia="Times New Roman"/>
          <w:szCs w:val="17"/>
        </w:rPr>
      </w:pPr>
      <w:r w:rsidRPr="00B25CB3">
        <w:rPr>
          <w:rFonts w:eastAsia="Times New Roman"/>
          <w:szCs w:val="17"/>
        </w:rPr>
        <w:t>1.</w:t>
      </w:r>
      <w:r w:rsidRPr="00B25CB3">
        <w:rPr>
          <w:rFonts w:eastAsia="Times New Roman"/>
          <w:szCs w:val="17"/>
        </w:rPr>
        <w:tab/>
        <w:t xml:space="preserve">Alter the suburb boundary to exclude from the suburb of </w:t>
      </w:r>
      <w:r w:rsidRPr="00B25CB3">
        <w:rPr>
          <w:rFonts w:eastAsia="Times New Roman"/>
          <w:b/>
          <w:bCs/>
          <w:szCs w:val="17"/>
        </w:rPr>
        <w:t xml:space="preserve">THEBARTON </w:t>
      </w:r>
      <w:r w:rsidRPr="00B25CB3">
        <w:rPr>
          <w:rFonts w:eastAsia="Times New Roman"/>
          <w:szCs w:val="17"/>
        </w:rPr>
        <w:t>that area marked (A) shown highlighted in green, as shown on the location map.</w:t>
      </w:r>
    </w:p>
    <w:p w14:paraId="7611EC25" w14:textId="77777777" w:rsidR="00B25CB3" w:rsidRPr="00B25CB3" w:rsidRDefault="00B25CB3" w:rsidP="00B25CB3">
      <w:pPr>
        <w:ind w:left="426" w:hanging="284"/>
        <w:rPr>
          <w:rFonts w:eastAsia="Times New Roman"/>
          <w:szCs w:val="17"/>
        </w:rPr>
      </w:pPr>
      <w:r w:rsidRPr="00B25CB3">
        <w:rPr>
          <w:rFonts w:eastAsia="Times New Roman"/>
          <w:noProof/>
          <w:sz w:val="22"/>
          <w:szCs w:val="20"/>
        </w:rPr>
        <w:drawing>
          <wp:anchor distT="0" distB="0" distL="114300" distR="114300" simplePos="0" relativeHeight="251667456" behindDoc="0" locked="0" layoutInCell="1" allowOverlap="1" wp14:anchorId="1E1A6855" wp14:editId="7E9A530C">
            <wp:simplePos x="0" y="0"/>
            <wp:positionH relativeFrom="column">
              <wp:posOffset>89535</wp:posOffset>
            </wp:positionH>
            <wp:positionV relativeFrom="paragraph">
              <wp:posOffset>113030</wp:posOffset>
            </wp:positionV>
            <wp:extent cx="5943600" cy="4001135"/>
            <wp:effectExtent l="0" t="0" r="0" b="0"/>
            <wp:wrapTopAndBottom/>
            <wp:docPr id="765789089"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89089" name="Picture 3" descr="A map of a neighborhood&#10;&#10;AI-generated content may be incorrect."/>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t="880" b="3913"/>
                    <a:stretch>
                      <a:fillRect/>
                    </a:stretch>
                  </pic:blipFill>
                  <pic:spPr bwMode="auto">
                    <a:xfrm>
                      <a:off x="0" y="0"/>
                      <a:ext cx="5943600" cy="40011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25CB3">
        <w:rPr>
          <w:rFonts w:eastAsia="Times New Roman"/>
          <w:szCs w:val="17"/>
        </w:rPr>
        <w:t>2.</w:t>
      </w:r>
      <w:r w:rsidRPr="00B25CB3">
        <w:rPr>
          <w:rFonts w:eastAsia="Times New Roman"/>
          <w:szCs w:val="17"/>
        </w:rPr>
        <w:tab/>
        <w:t xml:space="preserve">Assign the name </w:t>
      </w:r>
      <w:r w:rsidRPr="00B25CB3">
        <w:rPr>
          <w:rFonts w:eastAsia="Times New Roman"/>
          <w:b/>
          <w:bCs/>
          <w:szCs w:val="17"/>
        </w:rPr>
        <w:t>SOUTHWARK</w:t>
      </w:r>
      <w:r w:rsidRPr="00B25CB3">
        <w:rPr>
          <w:rFonts w:eastAsia="Times New Roman"/>
          <w:szCs w:val="17"/>
        </w:rPr>
        <w:t xml:space="preserve"> to that area marked (A).</w:t>
      </w:r>
    </w:p>
    <w:p w14:paraId="289D5103" w14:textId="77777777" w:rsidR="00B25CB3" w:rsidRPr="00B25CB3" w:rsidRDefault="00B25CB3" w:rsidP="00B25CB3">
      <w:pPr>
        <w:rPr>
          <w:rFonts w:eastAsia="Times New Roman"/>
          <w:szCs w:val="17"/>
        </w:rPr>
      </w:pPr>
      <w:r w:rsidRPr="00B25CB3">
        <w:rPr>
          <w:rFonts w:eastAsia="Times New Roman"/>
          <w:szCs w:val="17"/>
        </w:rPr>
        <w:t xml:space="preserve">This proposal can also be viewed at </w:t>
      </w:r>
      <w:hyperlink r:id="rId284" w:history="1">
        <w:r w:rsidRPr="00B25CB3">
          <w:rPr>
            <w:rFonts w:eastAsia="Times New Roman"/>
            <w:color w:val="0000FF"/>
            <w:szCs w:val="17"/>
            <w:u w:val="single"/>
          </w:rPr>
          <w:t>www.sa.gov.au/placenameproposals</w:t>
        </w:r>
      </w:hyperlink>
      <w:r w:rsidRPr="00B25CB3">
        <w:rPr>
          <w:rFonts w:eastAsia="Times New Roman"/>
          <w:szCs w:val="17"/>
        </w:rPr>
        <w:t>.</w:t>
      </w:r>
    </w:p>
    <w:p w14:paraId="3639A673" w14:textId="77777777" w:rsidR="00B25CB3" w:rsidRPr="00B25CB3" w:rsidRDefault="00B25CB3" w:rsidP="00B25CB3">
      <w:pPr>
        <w:rPr>
          <w:rFonts w:eastAsia="Times New Roman"/>
          <w:szCs w:val="17"/>
        </w:rPr>
      </w:pPr>
      <w:r w:rsidRPr="00B25CB3">
        <w:rPr>
          <w:rFonts w:eastAsia="Times New Roman"/>
          <w:szCs w:val="17"/>
        </w:rPr>
        <w:t xml:space="preserve">Submissions in writing regarding this proposal may be lodged with the Surveyor-General, GPO Box 1815, Adelaide SA 5001, or </w:t>
      </w:r>
      <w:hyperlink r:id="rId285" w:history="1">
        <w:r w:rsidRPr="00B25CB3">
          <w:rPr>
            <w:rFonts w:eastAsia="Times New Roman"/>
            <w:color w:val="0000FF"/>
            <w:szCs w:val="17"/>
            <w:u w:val="single"/>
          </w:rPr>
          <w:t>DHUD.PlaceNames@sa.gov.au</w:t>
        </w:r>
      </w:hyperlink>
      <w:r w:rsidRPr="00B25CB3">
        <w:rPr>
          <w:rFonts w:eastAsia="Times New Roman"/>
          <w:szCs w:val="17"/>
        </w:rPr>
        <w:t xml:space="preserve"> within one month of the publication of this notice.</w:t>
      </w:r>
    </w:p>
    <w:p w14:paraId="5CB352C2" w14:textId="77777777" w:rsidR="00B25CB3" w:rsidRPr="00B25CB3" w:rsidRDefault="00B25CB3" w:rsidP="00B25CB3">
      <w:pPr>
        <w:spacing w:after="0"/>
        <w:rPr>
          <w:rFonts w:eastAsia="Times New Roman"/>
          <w:szCs w:val="17"/>
        </w:rPr>
      </w:pPr>
      <w:r w:rsidRPr="00B25CB3">
        <w:rPr>
          <w:rFonts w:eastAsia="Times New Roman"/>
          <w:szCs w:val="17"/>
        </w:rPr>
        <w:t>Dated: 14 August 2025</w:t>
      </w:r>
    </w:p>
    <w:p w14:paraId="667AB32B" w14:textId="77777777" w:rsidR="00B25CB3" w:rsidRPr="00B25CB3" w:rsidRDefault="00B25CB3" w:rsidP="00B25CB3">
      <w:pPr>
        <w:spacing w:after="0"/>
        <w:jc w:val="right"/>
        <w:rPr>
          <w:rFonts w:eastAsia="Times New Roman"/>
          <w:smallCaps/>
          <w:szCs w:val="20"/>
        </w:rPr>
      </w:pPr>
      <w:r w:rsidRPr="00B25CB3">
        <w:rPr>
          <w:rFonts w:eastAsia="Times New Roman"/>
          <w:smallCaps/>
          <w:szCs w:val="20"/>
        </w:rPr>
        <w:t>Hon Nick Champion MP</w:t>
      </w:r>
    </w:p>
    <w:p w14:paraId="0C385888" w14:textId="77777777" w:rsidR="00B25CB3" w:rsidRPr="00B25CB3" w:rsidRDefault="00B25CB3" w:rsidP="00B25CB3">
      <w:pPr>
        <w:spacing w:after="0"/>
        <w:jc w:val="right"/>
        <w:rPr>
          <w:rFonts w:eastAsia="Times New Roman"/>
          <w:szCs w:val="17"/>
        </w:rPr>
      </w:pPr>
      <w:r w:rsidRPr="00B25CB3">
        <w:rPr>
          <w:rFonts w:eastAsia="Times New Roman"/>
          <w:szCs w:val="17"/>
        </w:rPr>
        <w:t>Minister for Planning</w:t>
      </w:r>
    </w:p>
    <w:p w14:paraId="32779770" w14:textId="29F6CA71" w:rsidR="00B25CB3" w:rsidRDefault="00B25CB3" w:rsidP="00436AC6">
      <w:pPr>
        <w:rPr>
          <w:rFonts w:eastAsia="Times New Roman"/>
          <w:szCs w:val="17"/>
        </w:rPr>
      </w:pPr>
      <w:r w:rsidRPr="00B25CB3">
        <w:rPr>
          <w:rFonts w:eastAsia="Times New Roman"/>
          <w:szCs w:val="17"/>
        </w:rPr>
        <w:t>2024/03736/01</w:t>
      </w:r>
    </w:p>
    <w:p w14:paraId="79532DB0" w14:textId="77777777" w:rsidR="00436AC6" w:rsidRDefault="00436AC6" w:rsidP="00436AC6">
      <w:pPr>
        <w:pBdr>
          <w:bottom w:val="single" w:sz="4" w:space="1" w:color="auto"/>
        </w:pBdr>
        <w:spacing w:after="0" w:line="52" w:lineRule="exact"/>
        <w:jc w:val="center"/>
      </w:pPr>
    </w:p>
    <w:p w14:paraId="0E77E835" w14:textId="77777777" w:rsidR="00436AC6" w:rsidRDefault="00436AC6" w:rsidP="00436AC6">
      <w:pPr>
        <w:pBdr>
          <w:top w:val="single" w:sz="4" w:space="1" w:color="auto"/>
        </w:pBdr>
        <w:spacing w:before="34" w:after="0" w:line="14" w:lineRule="exact"/>
        <w:jc w:val="center"/>
      </w:pPr>
    </w:p>
    <w:p w14:paraId="7D5C28DE" w14:textId="77777777" w:rsidR="00436AC6" w:rsidRDefault="00436AC6" w:rsidP="00436AC6">
      <w:pPr>
        <w:pStyle w:val="NoSpacing"/>
      </w:pPr>
    </w:p>
    <w:p w14:paraId="75723E9A" w14:textId="5BE1C256" w:rsidR="00D56E94" w:rsidRPr="00D56E94" w:rsidRDefault="00DA4D46" w:rsidP="00E34B09">
      <w:pPr>
        <w:pStyle w:val="Heading2"/>
      </w:pPr>
      <w:bookmarkStart w:id="506" w:name="_Toc206061763"/>
      <w:r w:rsidRPr="00D56E94">
        <w:t>Housing Improvement Act 2016</w:t>
      </w:r>
      <w:bookmarkEnd w:id="506"/>
    </w:p>
    <w:p w14:paraId="3AD88EC2" w14:textId="77777777" w:rsidR="00D56E94" w:rsidRPr="00D56E94" w:rsidRDefault="00D56E94" w:rsidP="00D56E94">
      <w:pPr>
        <w:jc w:val="center"/>
        <w:rPr>
          <w:i/>
          <w:szCs w:val="17"/>
        </w:rPr>
      </w:pPr>
      <w:r w:rsidRPr="00D56E94">
        <w:rPr>
          <w:i/>
          <w:szCs w:val="17"/>
        </w:rPr>
        <w:t>Rent Control</w:t>
      </w:r>
    </w:p>
    <w:p w14:paraId="20E98936" w14:textId="77777777" w:rsidR="00D56E94" w:rsidRPr="00D56E94" w:rsidRDefault="00D56E94" w:rsidP="00D56E94">
      <w:pPr>
        <w:rPr>
          <w:rFonts w:eastAsia="Times New Roman"/>
          <w:szCs w:val="17"/>
        </w:rPr>
      </w:pPr>
      <w:r w:rsidRPr="00D56E94">
        <w:rPr>
          <w:rFonts w:eastAsia="Times New Roman"/>
          <w:spacing w:val="-4"/>
          <w:szCs w:val="17"/>
        </w:rPr>
        <w:t xml:space="preserve">In the exercise of the powers conferred by the </w:t>
      </w:r>
      <w:r w:rsidRPr="00D56E94">
        <w:rPr>
          <w:rFonts w:eastAsia="Times New Roman"/>
          <w:i/>
          <w:iCs/>
          <w:spacing w:val="-4"/>
          <w:szCs w:val="17"/>
        </w:rPr>
        <w:t>Housing Improvement Act 2016</w:t>
      </w:r>
      <w:r w:rsidRPr="00D56E94">
        <w:rPr>
          <w:rFonts w:eastAsia="Times New Roman"/>
          <w:spacing w:val="-4"/>
          <w:szCs w:val="17"/>
        </w:rPr>
        <w:t xml:space="preserve">, the Delegate of the Minister for Housing and Urban Development </w:t>
      </w:r>
      <w:r w:rsidRPr="00644E6A">
        <w:rPr>
          <w:rFonts w:eastAsia="Times New Roman"/>
          <w:spacing w:val="-5"/>
          <w:szCs w:val="17"/>
        </w:rPr>
        <w:t xml:space="preserve">hereby fixes the maximum rental amount per week that shall be payable subject to Section 55 of the </w:t>
      </w:r>
      <w:r w:rsidRPr="00644E6A">
        <w:rPr>
          <w:rFonts w:eastAsia="Times New Roman"/>
          <w:i/>
          <w:iCs/>
          <w:spacing w:val="-5"/>
          <w:szCs w:val="17"/>
        </w:rPr>
        <w:t>Residential Tenancies Act 1995</w:t>
      </w:r>
      <w:r w:rsidRPr="00644E6A">
        <w:rPr>
          <w:rFonts w:eastAsia="Times New Roman"/>
          <w:spacing w:val="-5"/>
          <w:szCs w:val="17"/>
        </w:rPr>
        <w:t>, in respect of each premises described in the following table. The amount shown in the said table shall come into force on the date of this publication in the Gazette.</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2407"/>
        <w:gridCol w:w="1988"/>
        <w:gridCol w:w="1556"/>
      </w:tblGrid>
      <w:tr w:rsidR="00D56E94" w:rsidRPr="00D56E94" w14:paraId="7A0B3863" w14:textId="77777777" w:rsidTr="00911011">
        <w:trPr>
          <w:tblHeader/>
        </w:trPr>
        <w:tc>
          <w:tcPr>
            <w:tcW w:w="1818" w:type="pct"/>
            <w:tcBorders>
              <w:top w:val="single" w:sz="4" w:space="0" w:color="auto"/>
              <w:bottom w:val="single" w:sz="4" w:space="0" w:color="auto"/>
            </w:tcBorders>
            <w:vAlign w:val="center"/>
          </w:tcPr>
          <w:p w14:paraId="3A41A333" w14:textId="77777777" w:rsidR="00D56E94" w:rsidRPr="00D56E94" w:rsidRDefault="00D56E94" w:rsidP="00D56E94">
            <w:pPr>
              <w:spacing w:before="40" w:after="40"/>
              <w:jc w:val="center"/>
              <w:rPr>
                <w:b/>
                <w:bCs/>
                <w:szCs w:val="17"/>
              </w:rPr>
            </w:pPr>
            <w:r w:rsidRPr="00D56E94">
              <w:rPr>
                <w:b/>
                <w:bCs/>
                <w:szCs w:val="17"/>
              </w:rPr>
              <w:t>Address of Premises</w:t>
            </w:r>
          </w:p>
        </w:tc>
        <w:tc>
          <w:tcPr>
            <w:tcW w:w="1287" w:type="pct"/>
            <w:tcBorders>
              <w:top w:val="single" w:sz="4" w:space="0" w:color="auto"/>
              <w:bottom w:val="single" w:sz="4" w:space="0" w:color="auto"/>
            </w:tcBorders>
            <w:vAlign w:val="center"/>
          </w:tcPr>
          <w:p w14:paraId="031EB96B" w14:textId="77777777" w:rsidR="00D56E94" w:rsidRPr="00D56E94" w:rsidRDefault="00D56E94" w:rsidP="00D56E94">
            <w:pPr>
              <w:spacing w:before="40" w:after="40"/>
              <w:jc w:val="center"/>
              <w:rPr>
                <w:b/>
                <w:bCs/>
                <w:szCs w:val="17"/>
              </w:rPr>
            </w:pPr>
            <w:r w:rsidRPr="00D56E94">
              <w:rPr>
                <w:b/>
                <w:bCs/>
                <w:szCs w:val="17"/>
              </w:rPr>
              <w:t>Allotment Section</w:t>
            </w:r>
          </w:p>
        </w:tc>
        <w:tc>
          <w:tcPr>
            <w:tcW w:w="1063" w:type="pct"/>
            <w:tcBorders>
              <w:top w:val="single" w:sz="4" w:space="0" w:color="auto"/>
              <w:bottom w:val="single" w:sz="4" w:space="0" w:color="auto"/>
            </w:tcBorders>
            <w:vAlign w:val="center"/>
          </w:tcPr>
          <w:p w14:paraId="4CBBE1D6" w14:textId="77777777" w:rsidR="00D56E94" w:rsidRPr="00D56E94" w:rsidRDefault="00D56E94" w:rsidP="00D56E94">
            <w:pPr>
              <w:spacing w:before="40" w:after="40"/>
              <w:jc w:val="center"/>
              <w:rPr>
                <w:b/>
                <w:bCs/>
                <w:szCs w:val="17"/>
              </w:rPr>
            </w:pPr>
            <w:r w:rsidRPr="00D56E94">
              <w:rPr>
                <w:b/>
                <w:bCs/>
                <w:szCs w:val="17"/>
                <w:u w:val="single"/>
              </w:rPr>
              <w:t>Certificate of Title</w:t>
            </w:r>
            <w:r w:rsidRPr="00D56E94">
              <w:rPr>
                <w:b/>
                <w:bCs/>
                <w:szCs w:val="17"/>
              </w:rPr>
              <w:br/>
              <w:t>Volume/Folio</w:t>
            </w:r>
          </w:p>
        </w:tc>
        <w:tc>
          <w:tcPr>
            <w:tcW w:w="832" w:type="pct"/>
            <w:tcBorders>
              <w:top w:val="single" w:sz="4" w:space="0" w:color="auto"/>
              <w:bottom w:val="single" w:sz="4" w:space="0" w:color="auto"/>
            </w:tcBorders>
            <w:vAlign w:val="center"/>
          </w:tcPr>
          <w:p w14:paraId="5ED3AFC6" w14:textId="77777777" w:rsidR="00D56E94" w:rsidRPr="00D56E94" w:rsidRDefault="00D56E94" w:rsidP="00D56E94">
            <w:pPr>
              <w:spacing w:before="40" w:after="40"/>
              <w:jc w:val="center"/>
              <w:rPr>
                <w:b/>
                <w:bCs/>
                <w:szCs w:val="17"/>
                <w:u w:val="single"/>
              </w:rPr>
            </w:pPr>
            <w:r w:rsidRPr="00D56E94">
              <w:rPr>
                <w:b/>
                <w:bCs/>
                <w:szCs w:val="17"/>
              </w:rPr>
              <w:t>Maximum Rental per week payable</w:t>
            </w:r>
          </w:p>
        </w:tc>
      </w:tr>
      <w:tr w:rsidR="00D56E94" w:rsidRPr="00D56E94" w14:paraId="335099B8" w14:textId="77777777" w:rsidTr="00911011">
        <w:trPr>
          <w:tblHeader/>
        </w:trPr>
        <w:tc>
          <w:tcPr>
            <w:tcW w:w="1818" w:type="pct"/>
            <w:tcBorders>
              <w:top w:val="single" w:sz="4" w:space="0" w:color="auto"/>
            </w:tcBorders>
            <w:vAlign w:val="center"/>
          </w:tcPr>
          <w:p w14:paraId="1B7F18AA" w14:textId="77777777" w:rsidR="00D56E94" w:rsidRPr="00D56E94" w:rsidRDefault="00D56E94" w:rsidP="00D56E94">
            <w:pPr>
              <w:spacing w:after="0" w:line="40" w:lineRule="exact"/>
              <w:jc w:val="center"/>
              <w:rPr>
                <w:szCs w:val="17"/>
              </w:rPr>
            </w:pPr>
          </w:p>
        </w:tc>
        <w:tc>
          <w:tcPr>
            <w:tcW w:w="1287" w:type="pct"/>
            <w:tcBorders>
              <w:top w:val="single" w:sz="4" w:space="0" w:color="auto"/>
            </w:tcBorders>
            <w:vAlign w:val="center"/>
          </w:tcPr>
          <w:p w14:paraId="75E1FE68" w14:textId="77777777" w:rsidR="00D56E94" w:rsidRPr="00D56E94" w:rsidRDefault="00D56E94" w:rsidP="00D56E94">
            <w:pPr>
              <w:spacing w:after="0" w:line="40" w:lineRule="exact"/>
              <w:jc w:val="center"/>
              <w:rPr>
                <w:szCs w:val="17"/>
              </w:rPr>
            </w:pPr>
          </w:p>
        </w:tc>
        <w:tc>
          <w:tcPr>
            <w:tcW w:w="1063" w:type="pct"/>
            <w:tcBorders>
              <w:top w:val="single" w:sz="4" w:space="0" w:color="auto"/>
            </w:tcBorders>
            <w:vAlign w:val="center"/>
          </w:tcPr>
          <w:p w14:paraId="79E9D503" w14:textId="77777777" w:rsidR="00D56E94" w:rsidRPr="00D56E94" w:rsidRDefault="00D56E94" w:rsidP="00D56E94">
            <w:pPr>
              <w:spacing w:after="0" w:line="40" w:lineRule="exact"/>
              <w:jc w:val="center"/>
              <w:rPr>
                <w:szCs w:val="17"/>
              </w:rPr>
            </w:pPr>
          </w:p>
        </w:tc>
        <w:tc>
          <w:tcPr>
            <w:tcW w:w="832" w:type="pct"/>
            <w:tcBorders>
              <w:top w:val="single" w:sz="4" w:space="0" w:color="auto"/>
            </w:tcBorders>
          </w:tcPr>
          <w:p w14:paraId="1A9DD066" w14:textId="77777777" w:rsidR="00D56E94" w:rsidRPr="00D56E94" w:rsidRDefault="00D56E94" w:rsidP="00D56E94">
            <w:pPr>
              <w:spacing w:after="0" w:line="40" w:lineRule="exact"/>
              <w:jc w:val="center"/>
              <w:rPr>
                <w:szCs w:val="17"/>
              </w:rPr>
            </w:pPr>
          </w:p>
        </w:tc>
      </w:tr>
      <w:tr w:rsidR="00D56E94" w:rsidRPr="00D56E94" w14:paraId="58DFEE71" w14:textId="77777777" w:rsidTr="00911011">
        <w:tc>
          <w:tcPr>
            <w:tcW w:w="1818" w:type="pct"/>
            <w:tcBorders>
              <w:bottom w:val="single" w:sz="4" w:space="0" w:color="auto"/>
            </w:tcBorders>
          </w:tcPr>
          <w:p w14:paraId="3625F851" w14:textId="77777777" w:rsidR="00D56E94" w:rsidRPr="00D56E94" w:rsidRDefault="00D56E94" w:rsidP="00D56E94">
            <w:pPr>
              <w:spacing w:after="0"/>
              <w:ind w:left="159" w:hanging="159"/>
              <w:jc w:val="left"/>
              <w:rPr>
                <w:szCs w:val="17"/>
              </w:rPr>
            </w:pPr>
            <w:r w:rsidRPr="00D56E94">
              <w:t xml:space="preserve">6 Cairns Street, Norwood SA 5067  </w:t>
            </w:r>
          </w:p>
        </w:tc>
        <w:tc>
          <w:tcPr>
            <w:tcW w:w="1287" w:type="pct"/>
            <w:tcBorders>
              <w:bottom w:val="single" w:sz="4" w:space="0" w:color="auto"/>
            </w:tcBorders>
          </w:tcPr>
          <w:p w14:paraId="69B41869" w14:textId="77777777" w:rsidR="00D56E94" w:rsidRPr="00D56E94" w:rsidRDefault="00D56E94" w:rsidP="00D56E94">
            <w:pPr>
              <w:ind w:left="159" w:hanging="159"/>
              <w:jc w:val="left"/>
              <w:rPr>
                <w:szCs w:val="17"/>
              </w:rPr>
            </w:pPr>
            <w:r w:rsidRPr="00D56E94">
              <w:t>Allotment 84 Filed Plan 139164</w:t>
            </w:r>
            <w:r w:rsidRPr="00D56E94">
              <w:br/>
              <w:t>Hundred of Adelaide</w:t>
            </w:r>
          </w:p>
        </w:tc>
        <w:tc>
          <w:tcPr>
            <w:tcW w:w="1063" w:type="pct"/>
            <w:tcBorders>
              <w:bottom w:val="single" w:sz="4" w:space="0" w:color="auto"/>
            </w:tcBorders>
          </w:tcPr>
          <w:p w14:paraId="3D195DF2" w14:textId="77777777" w:rsidR="00D56E94" w:rsidRPr="00D56E94" w:rsidRDefault="00D56E94" w:rsidP="00D56E94">
            <w:pPr>
              <w:spacing w:after="0"/>
              <w:ind w:left="567"/>
              <w:jc w:val="left"/>
              <w:rPr>
                <w:szCs w:val="17"/>
              </w:rPr>
            </w:pPr>
            <w:r w:rsidRPr="00D56E94">
              <w:t>CT 6056/880</w:t>
            </w:r>
          </w:p>
        </w:tc>
        <w:tc>
          <w:tcPr>
            <w:tcW w:w="832" w:type="pct"/>
            <w:tcBorders>
              <w:bottom w:val="single" w:sz="4" w:space="0" w:color="auto"/>
            </w:tcBorders>
          </w:tcPr>
          <w:p w14:paraId="1135D2AD" w14:textId="77777777" w:rsidR="00D56E94" w:rsidRPr="00D56E94" w:rsidRDefault="00D56E94" w:rsidP="00D56E94">
            <w:pPr>
              <w:spacing w:after="0"/>
              <w:jc w:val="center"/>
              <w:rPr>
                <w:szCs w:val="17"/>
              </w:rPr>
            </w:pPr>
            <w:r w:rsidRPr="00D56E94">
              <w:t>$0.00</w:t>
            </w:r>
          </w:p>
        </w:tc>
      </w:tr>
    </w:tbl>
    <w:p w14:paraId="21CB5CB7" w14:textId="77777777" w:rsidR="00D56E94" w:rsidRPr="00D56E94" w:rsidRDefault="00D56E94" w:rsidP="00D56E94">
      <w:pPr>
        <w:spacing w:before="80" w:after="0"/>
        <w:rPr>
          <w:rFonts w:eastAsia="Times New Roman"/>
          <w:szCs w:val="17"/>
        </w:rPr>
      </w:pPr>
      <w:r w:rsidRPr="00D56E94">
        <w:rPr>
          <w:rFonts w:eastAsia="Times New Roman"/>
          <w:szCs w:val="17"/>
        </w:rPr>
        <w:t>Dated: 14 August 2025</w:t>
      </w:r>
    </w:p>
    <w:p w14:paraId="11B08F08" w14:textId="77777777" w:rsidR="00D56E94" w:rsidRPr="00D56E94" w:rsidRDefault="00D56E94" w:rsidP="00D56E94">
      <w:pPr>
        <w:spacing w:after="0"/>
        <w:jc w:val="right"/>
        <w:rPr>
          <w:rFonts w:eastAsia="Times New Roman"/>
          <w:smallCaps/>
          <w:szCs w:val="20"/>
        </w:rPr>
      </w:pPr>
      <w:r w:rsidRPr="00D56E94">
        <w:rPr>
          <w:rFonts w:eastAsia="Times New Roman"/>
          <w:smallCaps/>
          <w:szCs w:val="20"/>
        </w:rPr>
        <w:t>Craig Thompson</w:t>
      </w:r>
    </w:p>
    <w:p w14:paraId="3D6BE260" w14:textId="77777777" w:rsidR="00D56E94" w:rsidRPr="00D56E94" w:rsidRDefault="00D56E94" w:rsidP="00D56E94">
      <w:pPr>
        <w:spacing w:after="0"/>
        <w:jc w:val="right"/>
        <w:rPr>
          <w:rFonts w:eastAsia="Times New Roman"/>
          <w:szCs w:val="17"/>
        </w:rPr>
      </w:pPr>
      <w:r w:rsidRPr="00D56E94">
        <w:rPr>
          <w:rFonts w:eastAsia="Times New Roman"/>
          <w:szCs w:val="17"/>
        </w:rPr>
        <w:t>Housing Regulator and Registrar</w:t>
      </w:r>
    </w:p>
    <w:p w14:paraId="6ED846C0" w14:textId="77777777" w:rsidR="00D56E94" w:rsidRPr="00D56E94" w:rsidRDefault="00D56E94" w:rsidP="00D56E94">
      <w:pPr>
        <w:spacing w:after="0"/>
        <w:jc w:val="right"/>
        <w:rPr>
          <w:rFonts w:eastAsia="Times New Roman"/>
          <w:szCs w:val="17"/>
        </w:rPr>
      </w:pPr>
      <w:r w:rsidRPr="00D56E94">
        <w:rPr>
          <w:rFonts w:eastAsia="Times New Roman"/>
          <w:szCs w:val="17"/>
        </w:rPr>
        <w:t>Housing Safety Authority</w:t>
      </w:r>
    </w:p>
    <w:p w14:paraId="7A1F37B2" w14:textId="77777777" w:rsidR="00D56E94" w:rsidRPr="00D56E94" w:rsidRDefault="00D56E94" w:rsidP="00D56E94">
      <w:pPr>
        <w:spacing w:after="0"/>
        <w:jc w:val="right"/>
        <w:rPr>
          <w:rFonts w:eastAsia="Times New Roman"/>
          <w:szCs w:val="17"/>
        </w:rPr>
      </w:pPr>
      <w:r w:rsidRPr="00D56E94">
        <w:rPr>
          <w:rFonts w:eastAsia="Times New Roman"/>
          <w:szCs w:val="17"/>
        </w:rPr>
        <w:t>Delegate of the Minister for Housing and Urban Development</w:t>
      </w:r>
    </w:p>
    <w:p w14:paraId="1AA8A2EC" w14:textId="77777777" w:rsidR="00D56E94" w:rsidRPr="00D56E94" w:rsidRDefault="00D56E94" w:rsidP="00D56E94">
      <w:pPr>
        <w:pBdr>
          <w:top w:val="single" w:sz="4" w:space="1" w:color="auto"/>
        </w:pBdr>
        <w:spacing w:before="100" w:after="0" w:line="14" w:lineRule="exact"/>
        <w:jc w:val="center"/>
        <w:rPr>
          <w:rFonts w:eastAsia="Times New Roman"/>
          <w:szCs w:val="17"/>
        </w:rPr>
      </w:pPr>
    </w:p>
    <w:p w14:paraId="527F09EE" w14:textId="3574C7BD" w:rsidR="00B25CB3" w:rsidRDefault="00B25CB3">
      <w:pPr>
        <w:spacing w:after="0" w:line="240" w:lineRule="auto"/>
        <w:jc w:val="left"/>
        <w:rPr>
          <w:rFonts w:eastAsia="Times New Roman"/>
          <w:szCs w:val="17"/>
        </w:rPr>
      </w:pPr>
      <w:r>
        <w:rPr>
          <w:rFonts w:eastAsia="Times New Roman"/>
          <w:szCs w:val="17"/>
        </w:rPr>
        <w:br w:type="page"/>
      </w:r>
    </w:p>
    <w:p w14:paraId="2B7AEF8A" w14:textId="77777777" w:rsidR="000F6F6B" w:rsidRPr="000F6F6B" w:rsidRDefault="000F6F6B" w:rsidP="000F6F6B">
      <w:pPr>
        <w:jc w:val="center"/>
        <w:rPr>
          <w:caps/>
          <w:szCs w:val="17"/>
        </w:rPr>
      </w:pPr>
      <w:r w:rsidRPr="000F6F6B">
        <w:rPr>
          <w:caps/>
          <w:szCs w:val="17"/>
        </w:rPr>
        <w:lastRenderedPageBreak/>
        <w:t>HOUSING IMPROVEMENT ACT 2016</w:t>
      </w:r>
    </w:p>
    <w:p w14:paraId="26443AC1" w14:textId="77777777" w:rsidR="000F6F6B" w:rsidRPr="000F6F6B" w:rsidRDefault="000F6F6B" w:rsidP="00B25CB3">
      <w:pPr>
        <w:spacing w:after="60"/>
        <w:jc w:val="center"/>
        <w:rPr>
          <w:i/>
          <w:szCs w:val="17"/>
        </w:rPr>
      </w:pPr>
      <w:r w:rsidRPr="000F6F6B">
        <w:rPr>
          <w:i/>
          <w:szCs w:val="17"/>
        </w:rPr>
        <w:t>Rent Control Revocations</w:t>
      </w:r>
    </w:p>
    <w:p w14:paraId="228ECBBE" w14:textId="77777777" w:rsidR="000F6F6B" w:rsidRPr="000F6F6B" w:rsidRDefault="000F6F6B" w:rsidP="000F6F6B">
      <w:pPr>
        <w:rPr>
          <w:spacing w:val="-4"/>
        </w:rPr>
      </w:pPr>
      <w:r w:rsidRPr="000F6F6B">
        <w:rPr>
          <w:spacing w:val="-4"/>
        </w:rPr>
        <w:t xml:space="preserve">In the exercise of the powers conferred by the </w:t>
      </w:r>
      <w:r w:rsidRPr="000F6F6B">
        <w:rPr>
          <w:i/>
          <w:iCs/>
          <w:spacing w:val="-4"/>
        </w:rPr>
        <w:t>Housing Improvement Act 2016</w:t>
      </w:r>
      <w:r w:rsidRPr="000F6F6B">
        <w:rPr>
          <w:spacing w:val="-4"/>
        </w:rPr>
        <w:t xml:space="preserve">, the Delegate of the Minister for Housing and Urban Development hereby revokes the maximum rental amount per week that shall be payable subject to Section 55 of the </w:t>
      </w:r>
      <w:r w:rsidRPr="000F6F6B">
        <w:rPr>
          <w:i/>
          <w:iCs/>
          <w:spacing w:val="-4"/>
        </w:rPr>
        <w:t>Residential Tenancies Act 1995</w:t>
      </w:r>
      <w:r w:rsidRPr="000F6F6B">
        <w:rPr>
          <w:spacing w:val="-4"/>
        </w:rP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3542"/>
        <w:gridCol w:w="2551"/>
      </w:tblGrid>
      <w:tr w:rsidR="000F6F6B" w:rsidRPr="000F6F6B" w14:paraId="6FECA7C1" w14:textId="77777777" w:rsidTr="00911011">
        <w:tc>
          <w:tcPr>
            <w:tcW w:w="3261" w:type="dxa"/>
            <w:tcBorders>
              <w:top w:val="single" w:sz="4" w:space="0" w:color="auto"/>
              <w:bottom w:val="single" w:sz="4" w:space="0" w:color="auto"/>
            </w:tcBorders>
            <w:vAlign w:val="center"/>
          </w:tcPr>
          <w:p w14:paraId="5B2AF264" w14:textId="77777777" w:rsidR="000F6F6B" w:rsidRPr="000F6F6B" w:rsidRDefault="000F6F6B" w:rsidP="000F6F6B">
            <w:pPr>
              <w:spacing w:before="40" w:after="40"/>
              <w:jc w:val="center"/>
              <w:rPr>
                <w:b/>
                <w:bCs/>
                <w:szCs w:val="17"/>
              </w:rPr>
            </w:pPr>
            <w:r w:rsidRPr="000F6F6B">
              <w:rPr>
                <w:b/>
                <w:bCs/>
                <w:szCs w:val="17"/>
              </w:rPr>
              <w:t>Address of Premises</w:t>
            </w:r>
          </w:p>
        </w:tc>
        <w:tc>
          <w:tcPr>
            <w:tcW w:w="3543" w:type="dxa"/>
            <w:tcBorders>
              <w:top w:val="single" w:sz="4" w:space="0" w:color="auto"/>
              <w:bottom w:val="single" w:sz="4" w:space="0" w:color="auto"/>
            </w:tcBorders>
            <w:vAlign w:val="center"/>
          </w:tcPr>
          <w:p w14:paraId="19A1D347" w14:textId="77777777" w:rsidR="000F6F6B" w:rsidRPr="000F6F6B" w:rsidRDefault="000F6F6B" w:rsidP="000F6F6B">
            <w:pPr>
              <w:spacing w:before="40" w:after="40"/>
              <w:jc w:val="center"/>
              <w:rPr>
                <w:b/>
                <w:bCs/>
                <w:szCs w:val="17"/>
              </w:rPr>
            </w:pPr>
            <w:r w:rsidRPr="000F6F6B">
              <w:rPr>
                <w:b/>
                <w:bCs/>
                <w:szCs w:val="17"/>
              </w:rPr>
              <w:t>Allotment Section</w:t>
            </w:r>
          </w:p>
        </w:tc>
        <w:tc>
          <w:tcPr>
            <w:tcW w:w="2552" w:type="dxa"/>
            <w:tcBorders>
              <w:top w:val="single" w:sz="4" w:space="0" w:color="auto"/>
              <w:bottom w:val="single" w:sz="4" w:space="0" w:color="auto"/>
            </w:tcBorders>
            <w:vAlign w:val="center"/>
          </w:tcPr>
          <w:p w14:paraId="70330250" w14:textId="77777777" w:rsidR="000F6F6B" w:rsidRPr="000F6F6B" w:rsidRDefault="000F6F6B" w:rsidP="000F6F6B">
            <w:pPr>
              <w:spacing w:before="40" w:after="40"/>
              <w:jc w:val="center"/>
              <w:rPr>
                <w:b/>
                <w:bCs/>
                <w:szCs w:val="17"/>
              </w:rPr>
            </w:pPr>
            <w:r w:rsidRPr="000F6F6B">
              <w:rPr>
                <w:b/>
                <w:bCs/>
                <w:szCs w:val="17"/>
                <w:u w:val="single"/>
              </w:rPr>
              <w:t>Certificate of Title</w:t>
            </w:r>
            <w:r w:rsidRPr="000F6F6B">
              <w:rPr>
                <w:b/>
                <w:bCs/>
                <w:szCs w:val="17"/>
                <w:u w:val="single"/>
              </w:rPr>
              <w:br/>
            </w:r>
            <w:r w:rsidRPr="000F6F6B">
              <w:rPr>
                <w:b/>
                <w:bCs/>
                <w:szCs w:val="17"/>
              </w:rPr>
              <w:t>Volume/Folio</w:t>
            </w:r>
          </w:p>
        </w:tc>
      </w:tr>
      <w:tr w:rsidR="000F6F6B" w:rsidRPr="000F6F6B" w14:paraId="3B0A8DB9" w14:textId="77777777" w:rsidTr="00911011">
        <w:tc>
          <w:tcPr>
            <w:tcW w:w="3261" w:type="dxa"/>
            <w:tcBorders>
              <w:top w:val="single" w:sz="4" w:space="0" w:color="auto"/>
            </w:tcBorders>
            <w:vAlign w:val="center"/>
          </w:tcPr>
          <w:p w14:paraId="64EC7825" w14:textId="77777777" w:rsidR="000F6F6B" w:rsidRPr="000F6F6B" w:rsidRDefault="000F6F6B" w:rsidP="00B25CB3">
            <w:pPr>
              <w:spacing w:before="40" w:after="20"/>
              <w:ind w:left="142" w:hanging="142"/>
              <w:jc w:val="left"/>
              <w:rPr>
                <w:szCs w:val="17"/>
              </w:rPr>
            </w:pPr>
            <w:r w:rsidRPr="000F6F6B">
              <w:rPr>
                <w:szCs w:val="17"/>
              </w:rPr>
              <w:t>15 North Terrace, Littlehampton SA 5250</w:t>
            </w:r>
            <w:r w:rsidRPr="000F6F6B">
              <w:rPr>
                <w:szCs w:val="17"/>
              </w:rPr>
              <w:br/>
              <w:t>(PKA 15 Main Street)</w:t>
            </w:r>
          </w:p>
        </w:tc>
        <w:tc>
          <w:tcPr>
            <w:tcW w:w="3543" w:type="dxa"/>
            <w:tcBorders>
              <w:top w:val="single" w:sz="4" w:space="0" w:color="auto"/>
            </w:tcBorders>
          </w:tcPr>
          <w:p w14:paraId="5ECA05F8" w14:textId="77777777" w:rsidR="000F6F6B" w:rsidRPr="000F6F6B" w:rsidRDefault="000F6F6B" w:rsidP="00B25CB3">
            <w:pPr>
              <w:spacing w:before="40" w:after="20"/>
              <w:ind w:left="144" w:hanging="141"/>
              <w:jc w:val="left"/>
              <w:rPr>
                <w:szCs w:val="17"/>
              </w:rPr>
            </w:pPr>
            <w:r w:rsidRPr="000F6F6B">
              <w:rPr>
                <w:szCs w:val="17"/>
              </w:rPr>
              <w:t>Allotment 7 Filed Plan 4616</w:t>
            </w:r>
            <w:r w:rsidRPr="000F6F6B">
              <w:rPr>
                <w:szCs w:val="17"/>
              </w:rPr>
              <w:br/>
              <w:t>Hundred of Macclesfield</w:t>
            </w:r>
          </w:p>
        </w:tc>
        <w:tc>
          <w:tcPr>
            <w:tcW w:w="2552" w:type="dxa"/>
            <w:tcBorders>
              <w:top w:val="single" w:sz="4" w:space="0" w:color="auto"/>
            </w:tcBorders>
          </w:tcPr>
          <w:p w14:paraId="0753F5D4" w14:textId="77777777" w:rsidR="000F6F6B" w:rsidRPr="000F6F6B" w:rsidRDefault="000F6F6B" w:rsidP="00B25CB3">
            <w:pPr>
              <w:spacing w:before="40" w:after="20"/>
              <w:jc w:val="center"/>
            </w:pPr>
            <w:r w:rsidRPr="000F6F6B">
              <w:t>CT5494/700</w:t>
            </w:r>
          </w:p>
        </w:tc>
      </w:tr>
      <w:tr w:rsidR="000F6F6B" w:rsidRPr="000F6F6B" w14:paraId="47265632" w14:textId="77777777" w:rsidTr="00911011">
        <w:tc>
          <w:tcPr>
            <w:tcW w:w="3261" w:type="dxa"/>
          </w:tcPr>
          <w:p w14:paraId="1EEBC588" w14:textId="77777777" w:rsidR="000F6F6B" w:rsidRPr="000F6F6B" w:rsidRDefault="000F6F6B" w:rsidP="00B25CB3">
            <w:pPr>
              <w:spacing w:before="40" w:after="20"/>
              <w:jc w:val="left"/>
              <w:rPr>
                <w:szCs w:val="17"/>
              </w:rPr>
            </w:pPr>
            <w:r w:rsidRPr="000F6F6B">
              <w:rPr>
                <w:szCs w:val="17"/>
              </w:rPr>
              <w:t>149 Military Road, Semaphore SA 5019</w:t>
            </w:r>
          </w:p>
        </w:tc>
        <w:tc>
          <w:tcPr>
            <w:tcW w:w="3543" w:type="dxa"/>
            <w:vAlign w:val="center"/>
          </w:tcPr>
          <w:p w14:paraId="5605A548" w14:textId="77777777" w:rsidR="000F6F6B" w:rsidRPr="000F6F6B" w:rsidRDefault="000F6F6B" w:rsidP="00B25CB3">
            <w:pPr>
              <w:spacing w:before="40" w:after="20"/>
              <w:ind w:left="144" w:hanging="144"/>
              <w:jc w:val="left"/>
              <w:rPr>
                <w:szCs w:val="17"/>
              </w:rPr>
            </w:pPr>
            <w:r w:rsidRPr="000F6F6B">
              <w:rPr>
                <w:szCs w:val="17"/>
              </w:rPr>
              <w:t>Allotment 17 Filed Plan 2671</w:t>
            </w:r>
            <w:r w:rsidRPr="000F6F6B">
              <w:rPr>
                <w:szCs w:val="17"/>
              </w:rPr>
              <w:br/>
              <w:t>Hundred of Port Adelaide</w:t>
            </w:r>
          </w:p>
        </w:tc>
        <w:tc>
          <w:tcPr>
            <w:tcW w:w="2552" w:type="dxa"/>
          </w:tcPr>
          <w:p w14:paraId="31A2A1CF" w14:textId="77777777" w:rsidR="000F6F6B" w:rsidRPr="000F6F6B" w:rsidRDefault="000F6F6B" w:rsidP="00B25CB3">
            <w:pPr>
              <w:spacing w:before="40" w:after="20"/>
              <w:jc w:val="center"/>
            </w:pPr>
            <w:r w:rsidRPr="000F6F6B">
              <w:t>CT5200/430</w:t>
            </w:r>
          </w:p>
        </w:tc>
      </w:tr>
      <w:tr w:rsidR="000F6F6B" w:rsidRPr="000F6F6B" w14:paraId="16EBDA15" w14:textId="77777777" w:rsidTr="00911011">
        <w:trPr>
          <w:trHeight w:val="121"/>
        </w:trPr>
        <w:tc>
          <w:tcPr>
            <w:tcW w:w="3261" w:type="dxa"/>
            <w:tcBorders>
              <w:bottom w:val="single" w:sz="4" w:space="0" w:color="auto"/>
            </w:tcBorders>
          </w:tcPr>
          <w:p w14:paraId="24C58765" w14:textId="77777777" w:rsidR="000F6F6B" w:rsidRPr="000F6F6B" w:rsidRDefault="000F6F6B" w:rsidP="000F6F6B">
            <w:pPr>
              <w:spacing w:before="40" w:after="40"/>
              <w:jc w:val="left"/>
              <w:rPr>
                <w:szCs w:val="17"/>
              </w:rPr>
            </w:pPr>
            <w:r w:rsidRPr="000F6F6B">
              <w:rPr>
                <w:szCs w:val="17"/>
              </w:rPr>
              <w:t>14-16 Sarah Street, Marleston SA 5033</w:t>
            </w:r>
          </w:p>
        </w:tc>
        <w:tc>
          <w:tcPr>
            <w:tcW w:w="3543" w:type="dxa"/>
            <w:tcBorders>
              <w:bottom w:val="single" w:sz="4" w:space="0" w:color="auto"/>
            </w:tcBorders>
            <w:vAlign w:val="center"/>
          </w:tcPr>
          <w:p w14:paraId="48E7EF41" w14:textId="77777777" w:rsidR="000F6F6B" w:rsidRPr="000F6F6B" w:rsidRDefault="000F6F6B" w:rsidP="000F6F6B">
            <w:pPr>
              <w:spacing w:before="40" w:after="40"/>
              <w:ind w:left="144" w:hanging="144"/>
              <w:jc w:val="left"/>
              <w:rPr>
                <w:szCs w:val="17"/>
              </w:rPr>
            </w:pPr>
            <w:r w:rsidRPr="000F6F6B">
              <w:rPr>
                <w:szCs w:val="17"/>
              </w:rPr>
              <w:t>Allotment 52 &amp; 53 Deposited Plan 865</w:t>
            </w:r>
            <w:r w:rsidRPr="000F6F6B">
              <w:rPr>
                <w:szCs w:val="17"/>
              </w:rPr>
              <w:br/>
              <w:t>Hundred of Adelaide</w:t>
            </w:r>
          </w:p>
        </w:tc>
        <w:tc>
          <w:tcPr>
            <w:tcW w:w="2552" w:type="dxa"/>
            <w:tcBorders>
              <w:bottom w:val="single" w:sz="4" w:space="0" w:color="auto"/>
            </w:tcBorders>
          </w:tcPr>
          <w:p w14:paraId="04D267FC" w14:textId="77777777" w:rsidR="000F6F6B" w:rsidRPr="000F6F6B" w:rsidRDefault="000F6F6B" w:rsidP="000F6F6B">
            <w:pPr>
              <w:spacing w:before="40" w:after="40"/>
              <w:jc w:val="center"/>
            </w:pPr>
            <w:r w:rsidRPr="000F6F6B">
              <w:t>CT5769/369, CT5837/193</w:t>
            </w:r>
          </w:p>
        </w:tc>
      </w:tr>
    </w:tbl>
    <w:p w14:paraId="711A1F8F" w14:textId="77777777" w:rsidR="000F6F6B" w:rsidRPr="000F6F6B" w:rsidRDefault="000F6F6B" w:rsidP="000F6F6B">
      <w:pPr>
        <w:spacing w:before="80" w:after="0"/>
        <w:rPr>
          <w:rFonts w:eastAsia="Times New Roman"/>
          <w:szCs w:val="17"/>
        </w:rPr>
      </w:pPr>
      <w:r w:rsidRPr="000F6F6B">
        <w:rPr>
          <w:rFonts w:eastAsia="Times New Roman"/>
          <w:szCs w:val="17"/>
        </w:rPr>
        <w:t>Dated: 14 August 2025</w:t>
      </w:r>
    </w:p>
    <w:p w14:paraId="1239992D" w14:textId="77777777" w:rsidR="000F6F6B" w:rsidRPr="000F6F6B" w:rsidRDefault="000F6F6B" w:rsidP="000F6F6B">
      <w:pPr>
        <w:spacing w:after="0"/>
        <w:jc w:val="right"/>
        <w:rPr>
          <w:rFonts w:eastAsia="Times New Roman"/>
          <w:smallCaps/>
          <w:szCs w:val="20"/>
        </w:rPr>
      </w:pPr>
      <w:r w:rsidRPr="000F6F6B">
        <w:rPr>
          <w:rFonts w:eastAsia="Times New Roman"/>
          <w:smallCaps/>
          <w:szCs w:val="20"/>
        </w:rPr>
        <w:t>Craig Thompson</w:t>
      </w:r>
    </w:p>
    <w:p w14:paraId="46B6204D" w14:textId="77777777" w:rsidR="000F6F6B" w:rsidRPr="000F6F6B" w:rsidRDefault="000F6F6B" w:rsidP="000F6F6B">
      <w:pPr>
        <w:spacing w:after="0"/>
        <w:jc w:val="right"/>
        <w:rPr>
          <w:rFonts w:eastAsia="Times New Roman"/>
          <w:szCs w:val="17"/>
        </w:rPr>
      </w:pPr>
      <w:r w:rsidRPr="000F6F6B">
        <w:rPr>
          <w:rFonts w:eastAsia="Times New Roman"/>
          <w:szCs w:val="17"/>
        </w:rPr>
        <w:t>Housing Regulator and Registrar</w:t>
      </w:r>
    </w:p>
    <w:p w14:paraId="5401F25A" w14:textId="77777777" w:rsidR="000F6F6B" w:rsidRPr="000F6F6B" w:rsidRDefault="000F6F6B" w:rsidP="000F6F6B">
      <w:pPr>
        <w:spacing w:after="0"/>
        <w:jc w:val="right"/>
        <w:rPr>
          <w:rFonts w:eastAsia="Times New Roman"/>
          <w:szCs w:val="17"/>
        </w:rPr>
      </w:pPr>
      <w:r w:rsidRPr="000F6F6B">
        <w:rPr>
          <w:rFonts w:eastAsia="Times New Roman"/>
          <w:szCs w:val="17"/>
        </w:rPr>
        <w:t>Housing Safety Authority</w:t>
      </w:r>
    </w:p>
    <w:p w14:paraId="69BB525D" w14:textId="77777777" w:rsidR="000F6F6B" w:rsidRPr="000F6F6B" w:rsidRDefault="000F6F6B" w:rsidP="000F6F6B">
      <w:pPr>
        <w:spacing w:after="0"/>
        <w:jc w:val="right"/>
        <w:rPr>
          <w:rFonts w:eastAsia="Times New Roman"/>
          <w:szCs w:val="17"/>
        </w:rPr>
      </w:pPr>
      <w:r w:rsidRPr="000F6F6B">
        <w:rPr>
          <w:rFonts w:eastAsia="Times New Roman"/>
          <w:szCs w:val="17"/>
        </w:rPr>
        <w:t>Delegate of the Minister for Housing and Urban Development</w:t>
      </w:r>
    </w:p>
    <w:p w14:paraId="5253BAA9" w14:textId="77777777" w:rsidR="000F6F6B" w:rsidRPr="000F6F6B" w:rsidRDefault="000F6F6B" w:rsidP="000F6F6B">
      <w:pPr>
        <w:pBdr>
          <w:top w:val="single" w:sz="4" w:space="1" w:color="auto"/>
        </w:pBdr>
        <w:spacing w:before="100" w:after="0" w:line="14" w:lineRule="exact"/>
        <w:jc w:val="center"/>
        <w:rPr>
          <w:rFonts w:eastAsia="Times New Roman"/>
          <w:szCs w:val="17"/>
        </w:rPr>
      </w:pPr>
    </w:p>
    <w:p w14:paraId="712CCF6A" w14:textId="77777777" w:rsidR="000F6F6B" w:rsidRPr="000F6F6B" w:rsidRDefault="000F6F6B" w:rsidP="009A4742">
      <w:pPr>
        <w:pStyle w:val="NoSpacing"/>
      </w:pPr>
    </w:p>
    <w:p w14:paraId="652F3B7B" w14:textId="77777777" w:rsidR="00116D8C" w:rsidRPr="00116D8C" w:rsidRDefault="00116D8C" w:rsidP="00116D8C">
      <w:pPr>
        <w:jc w:val="center"/>
        <w:rPr>
          <w:caps/>
          <w:szCs w:val="17"/>
        </w:rPr>
      </w:pPr>
      <w:r w:rsidRPr="00116D8C">
        <w:rPr>
          <w:caps/>
          <w:szCs w:val="17"/>
        </w:rPr>
        <w:t>Housing Improvement Act 2016</w:t>
      </w:r>
    </w:p>
    <w:p w14:paraId="6009D39E" w14:textId="77777777" w:rsidR="00116D8C" w:rsidRPr="00116D8C" w:rsidRDefault="00116D8C" w:rsidP="00B25CB3">
      <w:pPr>
        <w:spacing w:after="60"/>
        <w:jc w:val="center"/>
        <w:rPr>
          <w:i/>
          <w:szCs w:val="17"/>
        </w:rPr>
      </w:pPr>
      <w:r w:rsidRPr="00116D8C">
        <w:rPr>
          <w:i/>
          <w:szCs w:val="17"/>
        </w:rPr>
        <w:t>Rent Control Variations</w:t>
      </w:r>
    </w:p>
    <w:p w14:paraId="740850DA" w14:textId="77777777" w:rsidR="00116D8C" w:rsidRPr="00B25CB3" w:rsidRDefault="00116D8C" w:rsidP="00B25CB3">
      <w:pPr>
        <w:spacing w:after="60"/>
        <w:rPr>
          <w:rFonts w:eastAsia="Times New Roman"/>
          <w:spacing w:val="-5"/>
          <w:szCs w:val="17"/>
        </w:rPr>
      </w:pPr>
      <w:r w:rsidRPr="00B25CB3">
        <w:rPr>
          <w:rFonts w:eastAsia="Times New Roman"/>
          <w:spacing w:val="-5"/>
          <w:szCs w:val="17"/>
        </w:rPr>
        <w:t xml:space="preserve">In the exercise of the powers conferred by the </w:t>
      </w:r>
      <w:r w:rsidRPr="00B25CB3">
        <w:rPr>
          <w:rFonts w:eastAsia="Times New Roman"/>
          <w:i/>
          <w:iCs/>
          <w:spacing w:val="-5"/>
          <w:szCs w:val="17"/>
        </w:rPr>
        <w:t>Housing Improvement Act 2016</w:t>
      </w:r>
      <w:r w:rsidRPr="00B25CB3">
        <w:rPr>
          <w:rFonts w:eastAsia="Times New Roman"/>
          <w:spacing w:val="-5"/>
          <w:szCs w:val="17"/>
        </w:rPr>
        <w:t xml:space="preserve">, the Delegate of the Minister for Housing and Urban Development hereby varies the maximum rental amount per week that shall be payable subject to Section 55 of the </w:t>
      </w:r>
      <w:r w:rsidRPr="00B25CB3">
        <w:rPr>
          <w:rFonts w:eastAsia="Times New Roman"/>
          <w:i/>
          <w:iCs/>
          <w:spacing w:val="-5"/>
          <w:szCs w:val="17"/>
        </w:rPr>
        <w:t>Residential Tenancies Act 1995</w:t>
      </w:r>
      <w:r w:rsidRPr="00B25CB3">
        <w:rPr>
          <w:rFonts w:eastAsia="Times New Roman"/>
          <w:spacing w:val="-5"/>
          <w:szCs w:val="17"/>
        </w:rP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142"/>
        <w:gridCol w:w="2693"/>
        <w:gridCol w:w="1417"/>
        <w:gridCol w:w="993"/>
        <w:gridCol w:w="1553"/>
      </w:tblGrid>
      <w:tr w:rsidR="00116D8C" w:rsidRPr="00116D8C" w14:paraId="6AA133C3" w14:textId="77777777" w:rsidTr="00911011">
        <w:tc>
          <w:tcPr>
            <w:tcW w:w="2552" w:type="dxa"/>
            <w:tcBorders>
              <w:top w:val="single" w:sz="4" w:space="0" w:color="auto"/>
              <w:bottom w:val="single" w:sz="4" w:space="0" w:color="auto"/>
            </w:tcBorders>
            <w:vAlign w:val="center"/>
          </w:tcPr>
          <w:p w14:paraId="7E12B014" w14:textId="77777777" w:rsidR="00116D8C" w:rsidRPr="00116D8C" w:rsidRDefault="00116D8C" w:rsidP="00116D8C">
            <w:pPr>
              <w:spacing w:before="40" w:after="40"/>
              <w:jc w:val="center"/>
              <w:rPr>
                <w:b/>
                <w:bCs/>
              </w:rPr>
            </w:pPr>
            <w:r w:rsidRPr="00116D8C">
              <w:rPr>
                <w:b/>
                <w:bCs/>
              </w:rPr>
              <w:t>Address of Premises</w:t>
            </w:r>
          </w:p>
        </w:tc>
        <w:tc>
          <w:tcPr>
            <w:tcW w:w="2835" w:type="dxa"/>
            <w:gridSpan w:val="2"/>
            <w:tcBorders>
              <w:top w:val="single" w:sz="4" w:space="0" w:color="auto"/>
              <w:bottom w:val="single" w:sz="4" w:space="0" w:color="auto"/>
            </w:tcBorders>
            <w:vAlign w:val="center"/>
          </w:tcPr>
          <w:p w14:paraId="2DF9FD42" w14:textId="77777777" w:rsidR="00116D8C" w:rsidRPr="00116D8C" w:rsidRDefault="00116D8C" w:rsidP="00116D8C">
            <w:pPr>
              <w:spacing w:before="40" w:after="40"/>
              <w:jc w:val="center"/>
              <w:rPr>
                <w:b/>
                <w:bCs/>
              </w:rPr>
            </w:pPr>
            <w:r w:rsidRPr="00116D8C">
              <w:rPr>
                <w:b/>
                <w:bCs/>
              </w:rPr>
              <w:t>Allotment Section</w:t>
            </w:r>
          </w:p>
        </w:tc>
        <w:tc>
          <w:tcPr>
            <w:tcW w:w="1417" w:type="dxa"/>
            <w:tcBorders>
              <w:top w:val="single" w:sz="4" w:space="0" w:color="auto"/>
              <w:bottom w:val="single" w:sz="4" w:space="0" w:color="auto"/>
            </w:tcBorders>
            <w:vAlign w:val="center"/>
          </w:tcPr>
          <w:p w14:paraId="6A75888B" w14:textId="77777777" w:rsidR="00116D8C" w:rsidRPr="00116D8C" w:rsidRDefault="00116D8C" w:rsidP="00116D8C">
            <w:pPr>
              <w:spacing w:before="40" w:after="40"/>
              <w:jc w:val="center"/>
              <w:rPr>
                <w:b/>
                <w:bCs/>
              </w:rPr>
            </w:pPr>
            <w:r w:rsidRPr="00116D8C">
              <w:rPr>
                <w:b/>
                <w:bCs/>
                <w:u w:val="single"/>
              </w:rPr>
              <w:t>Certificate of Title</w:t>
            </w:r>
            <w:r w:rsidRPr="00116D8C">
              <w:rPr>
                <w:b/>
                <w:bCs/>
                <w:u w:val="single"/>
              </w:rPr>
              <w:br/>
            </w:r>
            <w:r w:rsidRPr="00116D8C">
              <w:rPr>
                <w:b/>
                <w:bCs/>
              </w:rPr>
              <w:t>Volume/Folio</w:t>
            </w:r>
          </w:p>
        </w:tc>
        <w:tc>
          <w:tcPr>
            <w:tcW w:w="993" w:type="dxa"/>
            <w:tcBorders>
              <w:top w:val="single" w:sz="4" w:space="0" w:color="auto"/>
              <w:bottom w:val="single" w:sz="4" w:space="0" w:color="auto"/>
            </w:tcBorders>
            <w:vAlign w:val="center"/>
          </w:tcPr>
          <w:p w14:paraId="3A0425D9" w14:textId="77777777" w:rsidR="00116D8C" w:rsidRPr="00116D8C" w:rsidRDefault="00116D8C" w:rsidP="00116D8C">
            <w:pPr>
              <w:spacing w:before="40" w:after="40"/>
              <w:jc w:val="center"/>
              <w:rPr>
                <w:b/>
                <w:bCs/>
              </w:rPr>
            </w:pPr>
            <w:r w:rsidRPr="00116D8C">
              <w:rPr>
                <w:b/>
                <w:bCs/>
              </w:rPr>
              <w:t>Reason for Variation</w:t>
            </w:r>
          </w:p>
        </w:tc>
        <w:tc>
          <w:tcPr>
            <w:tcW w:w="1553" w:type="dxa"/>
            <w:tcBorders>
              <w:top w:val="single" w:sz="4" w:space="0" w:color="auto"/>
              <w:bottom w:val="single" w:sz="4" w:space="0" w:color="auto"/>
            </w:tcBorders>
            <w:vAlign w:val="center"/>
          </w:tcPr>
          <w:p w14:paraId="4C2CB825" w14:textId="77777777" w:rsidR="00116D8C" w:rsidRPr="00116D8C" w:rsidRDefault="00116D8C" w:rsidP="00116D8C">
            <w:pPr>
              <w:spacing w:before="40" w:after="40"/>
              <w:jc w:val="center"/>
              <w:rPr>
                <w:b/>
                <w:bCs/>
              </w:rPr>
            </w:pPr>
            <w:r w:rsidRPr="00116D8C">
              <w:rPr>
                <w:b/>
                <w:bCs/>
              </w:rPr>
              <w:t>Maximum Rental per week payable</w:t>
            </w:r>
          </w:p>
        </w:tc>
      </w:tr>
      <w:tr w:rsidR="00116D8C" w:rsidRPr="00116D8C" w14:paraId="3E7930A9" w14:textId="77777777" w:rsidTr="00911011">
        <w:tc>
          <w:tcPr>
            <w:tcW w:w="2552" w:type="dxa"/>
            <w:tcBorders>
              <w:top w:val="single" w:sz="4" w:space="0" w:color="auto"/>
              <w:bottom w:val="single" w:sz="4" w:space="0" w:color="auto"/>
            </w:tcBorders>
          </w:tcPr>
          <w:p w14:paraId="454BB541" w14:textId="77777777" w:rsidR="00116D8C" w:rsidRPr="00116D8C" w:rsidRDefault="00116D8C" w:rsidP="00B25CB3">
            <w:pPr>
              <w:spacing w:before="40" w:after="60"/>
              <w:ind w:left="142" w:hanging="142"/>
              <w:jc w:val="left"/>
            </w:pPr>
            <w:r w:rsidRPr="00116D8C">
              <w:t xml:space="preserve">59 Currawong Crescent, Modbury Heights SA 5092  </w:t>
            </w:r>
          </w:p>
        </w:tc>
        <w:tc>
          <w:tcPr>
            <w:tcW w:w="2835" w:type="dxa"/>
            <w:gridSpan w:val="2"/>
            <w:tcBorders>
              <w:top w:val="single" w:sz="4" w:space="0" w:color="auto"/>
              <w:bottom w:val="single" w:sz="4" w:space="0" w:color="auto"/>
            </w:tcBorders>
          </w:tcPr>
          <w:p w14:paraId="04754A4B" w14:textId="77777777" w:rsidR="00116D8C" w:rsidRPr="00116D8C" w:rsidRDefault="00116D8C" w:rsidP="00B25CB3">
            <w:pPr>
              <w:spacing w:before="40" w:after="60"/>
              <w:ind w:left="426" w:hanging="142"/>
              <w:jc w:val="left"/>
            </w:pPr>
            <w:r w:rsidRPr="00116D8C">
              <w:t>Allotment 123 Deposited Plan 10231 Hundred Yatala</w:t>
            </w:r>
          </w:p>
        </w:tc>
        <w:tc>
          <w:tcPr>
            <w:tcW w:w="1417" w:type="dxa"/>
            <w:tcBorders>
              <w:top w:val="single" w:sz="4" w:space="0" w:color="auto"/>
              <w:bottom w:val="single" w:sz="4" w:space="0" w:color="auto"/>
            </w:tcBorders>
          </w:tcPr>
          <w:p w14:paraId="22AFE442" w14:textId="77777777" w:rsidR="00116D8C" w:rsidRPr="00116D8C" w:rsidRDefault="00116D8C" w:rsidP="00B25CB3">
            <w:pPr>
              <w:spacing w:before="40" w:after="60"/>
              <w:jc w:val="center"/>
            </w:pPr>
            <w:r w:rsidRPr="00116D8C">
              <w:t>CT 5522/635</w:t>
            </w:r>
          </w:p>
        </w:tc>
        <w:tc>
          <w:tcPr>
            <w:tcW w:w="993" w:type="dxa"/>
            <w:tcBorders>
              <w:top w:val="single" w:sz="4" w:space="0" w:color="auto"/>
              <w:bottom w:val="single" w:sz="4" w:space="0" w:color="auto"/>
            </w:tcBorders>
          </w:tcPr>
          <w:p w14:paraId="50D4769E" w14:textId="77777777" w:rsidR="00116D8C" w:rsidRPr="00116D8C" w:rsidRDefault="00116D8C" w:rsidP="00B25CB3">
            <w:pPr>
              <w:spacing w:before="40" w:after="60"/>
              <w:jc w:val="left"/>
            </w:pPr>
          </w:p>
        </w:tc>
        <w:tc>
          <w:tcPr>
            <w:tcW w:w="1553" w:type="dxa"/>
            <w:tcBorders>
              <w:top w:val="single" w:sz="4" w:space="0" w:color="auto"/>
              <w:bottom w:val="single" w:sz="4" w:space="0" w:color="auto"/>
            </w:tcBorders>
          </w:tcPr>
          <w:p w14:paraId="01D75F8C" w14:textId="77777777" w:rsidR="00116D8C" w:rsidRPr="00116D8C" w:rsidRDefault="00116D8C" w:rsidP="00B25CB3">
            <w:pPr>
              <w:spacing w:before="40" w:after="60"/>
              <w:jc w:val="center"/>
            </w:pPr>
            <w:r w:rsidRPr="00116D8C">
              <w:t>$540.00</w:t>
            </w:r>
          </w:p>
        </w:tc>
      </w:tr>
      <w:tr w:rsidR="00116D8C" w:rsidRPr="00116D8C" w14:paraId="63211251" w14:textId="77777777" w:rsidTr="00911011">
        <w:tc>
          <w:tcPr>
            <w:tcW w:w="2694" w:type="dxa"/>
            <w:gridSpan w:val="2"/>
            <w:tcBorders>
              <w:top w:val="single" w:sz="4" w:space="0" w:color="auto"/>
            </w:tcBorders>
          </w:tcPr>
          <w:p w14:paraId="4A4CA314" w14:textId="77777777" w:rsidR="00116D8C" w:rsidRPr="00116D8C" w:rsidRDefault="00116D8C" w:rsidP="00116D8C">
            <w:pPr>
              <w:spacing w:after="0" w:line="80" w:lineRule="exact"/>
              <w:jc w:val="left"/>
            </w:pPr>
          </w:p>
        </w:tc>
        <w:tc>
          <w:tcPr>
            <w:tcW w:w="2693" w:type="dxa"/>
            <w:tcBorders>
              <w:top w:val="single" w:sz="4" w:space="0" w:color="auto"/>
            </w:tcBorders>
          </w:tcPr>
          <w:p w14:paraId="79192562" w14:textId="77777777" w:rsidR="00116D8C" w:rsidRPr="00116D8C" w:rsidRDefault="00116D8C" w:rsidP="00116D8C">
            <w:pPr>
              <w:spacing w:after="0" w:line="80" w:lineRule="exact"/>
              <w:jc w:val="left"/>
            </w:pPr>
          </w:p>
        </w:tc>
        <w:tc>
          <w:tcPr>
            <w:tcW w:w="1417" w:type="dxa"/>
            <w:tcBorders>
              <w:top w:val="single" w:sz="4" w:space="0" w:color="auto"/>
            </w:tcBorders>
          </w:tcPr>
          <w:p w14:paraId="54BC08C0" w14:textId="77777777" w:rsidR="00116D8C" w:rsidRPr="00116D8C" w:rsidRDefault="00116D8C" w:rsidP="00116D8C">
            <w:pPr>
              <w:spacing w:after="0" w:line="80" w:lineRule="exact"/>
              <w:jc w:val="left"/>
            </w:pPr>
          </w:p>
        </w:tc>
        <w:tc>
          <w:tcPr>
            <w:tcW w:w="993" w:type="dxa"/>
            <w:tcBorders>
              <w:top w:val="single" w:sz="4" w:space="0" w:color="auto"/>
            </w:tcBorders>
          </w:tcPr>
          <w:p w14:paraId="4CA89A2C" w14:textId="77777777" w:rsidR="00116D8C" w:rsidRPr="00116D8C" w:rsidRDefault="00116D8C" w:rsidP="00116D8C">
            <w:pPr>
              <w:spacing w:after="0" w:line="80" w:lineRule="exact"/>
              <w:jc w:val="left"/>
            </w:pPr>
          </w:p>
        </w:tc>
        <w:tc>
          <w:tcPr>
            <w:tcW w:w="1553" w:type="dxa"/>
            <w:tcBorders>
              <w:top w:val="single" w:sz="4" w:space="0" w:color="auto"/>
            </w:tcBorders>
          </w:tcPr>
          <w:p w14:paraId="7B2F5D74" w14:textId="77777777" w:rsidR="00116D8C" w:rsidRPr="00116D8C" w:rsidRDefault="00116D8C" w:rsidP="00116D8C">
            <w:pPr>
              <w:spacing w:after="0" w:line="80" w:lineRule="exact"/>
              <w:jc w:val="left"/>
            </w:pPr>
          </w:p>
        </w:tc>
      </w:tr>
    </w:tbl>
    <w:p w14:paraId="06C88BEA" w14:textId="77777777" w:rsidR="00116D8C" w:rsidRPr="00116D8C" w:rsidRDefault="00116D8C" w:rsidP="00116D8C">
      <w:pPr>
        <w:spacing w:after="0"/>
        <w:rPr>
          <w:rFonts w:eastAsia="Times New Roman"/>
          <w:szCs w:val="17"/>
        </w:rPr>
      </w:pPr>
      <w:r w:rsidRPr="00116D8C">
        <w:rPr>
          <w:rFonts w:eastAsia="Times New Roman"/>
          <w:szCs w:val="17"/>
        </w:rPr>
        <w:t>Dated: 14 August 2025</w:t>
      </w:r>
    </w:p>
    <w:p w14:paraId="56AC455B" w14:textId="77777777" w:rsidR="00116D8C" w:rsidRPr="00116D8C" w:rsidRDefault="00116D8C" w:rsidP="00116D8C">
      <w:pPr>
        <w:spacing w:after="0"/>
        <w:jc w:val="right"/>
        <w:rPr>
          <w:rFonts w:eastAsia="Times New Roman"/>
          <w:smallCaps/>
          <w:szCs w:val="20"/>
        </w:rPr>
      </w:pPr>
      <w:r w:rsidRPr="00116D8C">
        <w:rPr>
          <w:rFonts w:eastAsia="Times New Roman"/>
          <w:smallCaps/>
          <w:szCs w:val="20"/>
        </w:rPr>
        <w:t>Craig Thompson</w:t>
      </w:r>
    </w:p>
    <w:p w14:paraId="29ED9A7D" w14:textId="77777777" w:rsidR="00116D8C" w:rsidRPr="00116D8C" w:rsidRDefault="00116D8C" w:rsidP="00116D8C">
      <w:pPr>
        <w:spacing w:after="0"/>
        <w:jc w:val="right"/>
        <w:rPr>
          <w:rFonts w:eastAsia="Times New Roman"/>
          <w:szCs w:val="17"/>
        </w:rPr>
      </w:pPr>
      <w:r w:rsidRPr="00116D8C">
        <w:rPr>
          <w:rFonts w:eastAsia="Times New Roman"/>
          <w:szCs w:val="17"/>
        </w:rPr>
        <w:t>Housing Regulator and Registrar</w:t>
      </w:r>
    </w:p>
    <w:p w14:paraId="1B4C6C81" w14:textId="77777777" w:rsidR="00116D8C" w:rsidRPr="00116D8C" w:rsidRDefault="00116D8C" w:rsidP="00116D8C">
      <w:pPr>
        <w:spacing w:after="0"/>
        <w:jc w:val="right"/>
        <w:rPr>
          <w:rFonts w:eastAsia="Times New Roman"/>
          <w:szCs w:val="17"/>
        </w:rPr>
      </w:pPr>
      <w:r w:rsidRPr="00116D8C">
        <w:rPr>
          <w:rFonts w:eastAsia="Times New Roman"/>
          <w:szCs w:val="17"/>
        </w:rPr>
        <w:t>Housing Safety Authority</w:t>
      </w:r>
    </w:p>
    <w:p w14:paraId="5DEB4217" w14:textId="77777777" w:rsidR="00116D8C" w:rsidRDefault="00116D8C" w:rsidP="00116D8C">
      <w:pPr>
        <w:spacing w:after="0"/>
        <w:jc w:val="right"/>
        <w:rPr>
          <w:rFonts w:eastAsia="Times New Roman"/>
          <w:szCs w:val="17"/>
        </w:rPr>
      </w:pPr>
      <w:r w:rsidRPr="00116D8C">
        <w:rPr>
          <w:rFonts w:eastAsia="Times New Roman"/>
          <w:szCs w:val="17"/>
        </w:rPr>
        <w:t>Delegate of the Minister for Housing and Urban Development</w:t>
      </w:r>
    </w:p>
    <w:p w14:paraId="26E4B890" w14:textId="77777777" w:rsidR="00116D8C" w:rsidRDefault="00116D8C" w:rsidP="00116D8C">
      <w:pPr>
        <w:pBdr>
          <w:bottom w:val="single" w:sz="4" w:space="1" w:color="auto"/>
        </w:pBdr>
        <w:spacing w:after="0" w:line="52" w:lineRule="exact"/>
        <w:jc w:val="center"/>
        <w:rPr>
          <w:rFonts w:eastAsia="Times New Roman"/>
          <w:szCs w:val="17"/>
        </w:rPr>
      </w:pPr>
    </w:p>
    <w:p w14:paraId="3E38B027" w14:textId="77777777" w:rsidR="00116D8C" w:rsidRDefault="00116D8C" w:rsidP="00116D8C">
      <w:pPr>
        <w:pBdr>
          <w:top w:val="single" w:sz="4" w:space="1" w:color="auto"/>
        </w:pBdr>
        <w:spacing w:before="34" w:after="0" w:line="14" w:lineRule="exact"/>
        <w:jc w:val="center"/>
        <w:rPr>
          <w:rFonts w:eastAsia="Times New Roman"/>
          <w:szCs w:val="17"/>
        </w:rPr>
      </w:pPr>
    </w:p>
    <w:p w14:paraId="3CC42C3E" w14:textId="77777777" w:rsidR="00116D8C" w:rsidRPr="00116D8C" w:rsidRDefault="00116D8C" w:rsidP="009A4742">
      <w:pPr>
        <w:pStyle w:val="NoSpacing"/>
      </w:pPr>
    </w:p>
    <w:p w14:paraId="65B7C5B0" w14:textId="1D1350C5" w:rsidR="0024080E" w:rsidRDefault="00DA4D46" w:rsidP="00E34B09">
      <w:pPr>
        <w:pStyle w:val="Heading2"/>
      </w:pPr>
      <w:bookmarkStart w:id="507" w:name="_Toc206061764"/>
      <w:r>
        <w:t>Justices of the Peace Act 2005</w:t>
      </w:r>
      <w:bookmarkEnd w:id="507"/>
    </w:p>
    <w:p w14:paraId="5627CD9F" w14:textId="77777777" w:rsidR="0024080E" w:rsidRDefault="0024080E" w:rsidP="0024080E">
      <w:pPr>
        <w:pStyle w:val="GG-Title2"/>
      </w:pPr>
      <w:r>
        <w:t>Section 4</w:t>
      </w:r>
    </w:p>
    <w:p w14:paraId="5008410D" w14:textId="77777777" w:rsidR="0024080E" w:rsidRDefault="0024080E" w:rsidP="0024080E">
      <w:pPr>
        <w:pStyle w:val="GG-Title3"/>
      </w:pPr>
      <w:r>
        <w:t>Notice of Appointment of Justices of the Peace for South Australia</w:t>
      </w:r>
      <w:r>
        <w:br/>
        <w:t>by the Commissioner for Consumer Affairs</w:t>
      </w:r>
    </w:p>
    <w:p w14:paraId="67B465F7" w14:textId="77777777" w:rsidR="0024080E" w:rsidRDefault="0024080E" w:rsidP="00644E6A">
      <w:pPr>
        <w:pStyle w:val="GG-body"/>
        <w:spacing w:after="60"/>
      </w:pPr>
      <w:r>
        <w:t xml:space="preserve">I, Brett Humphrey, Commissioner for Consumer Affairs, delegate of the Attorney-General, pursuant to Section 4 of the </w:t>
      </w:r>
      <w:r w:rsidRPr="00F64FD9">
        <w:rPr>
          <w:i/>
          <w:iCs/>
        </w:rPr>
        <w:t>Justices of the Peace Act 2005</w:t>
      </w:r>
      <w:r>
        <w:t>, do hereby appoint the people listed as Justices of the Peace for South Australia as set out below.</w:t>
      </w:r>
    </w:p>
    <w:p w14:paraId="0EB89132" w14:textId="77777777" w:rsidR="0024080E" w:rsidRDefault="0024080E" w:rsidP="00644E6A">
      <w:pPr>
        <w:pStyle w:val="GG-body"/>
        <w:spacing w:after="60"/>
      </w:pPr>
      <w:r>
        <w:t>For a period of ten years for a term commencing on 24 September 2025 and expiring on 23 September 2035:</w:t>
      </w:r>
    </w:p>
    <w:p w14:paraId="59A6E42F" w14:textId="77777777" w:rsidR="0024080E" w:rsidRDefault="0024080E" w:rsidP="00B25CB3">
      <w:pPr>
        <w:pStyle w:val="GG-body"/>
        <w:spacing w:after="0"/>
        <w:ind w:left="142"/>
      </w:pPr>
      <w:r>
        <w:t>Peter James WRIGHT</w:t>
      </w:r>
    </w:p>
    <w:p w14:paraId="728CC1AD" w14:textId="77777777" w:rsidR="0024080E" w:rsidRDefault="0024080E" w:rsidP="00B25CB3">
      <w:pPr>
        <w:pStyle w:val="GG-body"/>
        <w:spacing w:after="0"/>
        <w:ind w:left="142"/>
      </w:pPr>
      <w:r>
        <w:t>Kirsty Racquel VAN LOON</w:t>
      </w:r>
    </w:p>
    <w:p w14:paraId="1CEF0B8D" w14:textId="77777777" w:rsidR="0024080E" w:rsidRDefault="0024080E" w:rsidP="00B25CB3">
      <w:pPr>
        <w:pStyle w:val="GG-body"/>
        <w:spacing w:after="0"/>
        <w:ind w:left="142"/>
      </w:pPr>
      <w:r>
        <w:t>Malcolm Alwin THIELE</w:t>
      </w:r>
    </w:p>
    <w:p w14:paraId="199AE3E3" w14:textId="77777777" w:rsidR="0024080E" w:rsidRDefault="0024080E" w:rsidP="00B25CB3">
      <w:pPr>
        <w:pStyle w:val="GG-body"/>
        <w:spacing w:after="0"/>
        <w:ind w:left="142"/>
      </w:pPr>
      <w:r>
        <w:t>Anna-Teresa SZAFRANSKI-GOLDYN</w:t>
      </w:r>
    </w:p>
    <w:p w14:paraId="66252FC3" w14:textId="77777777" w:rsidR="0024080E" w:rsidRDefault="0024080E" w:rsidP="00B25CB3">
      <w:pPr>
        <w:pStyle w:val="GG-body"/>
        <w:spacing w:after="0"/>
        <w:ind w:left="142"/>
      </w:pPr>
      <w:r>
        <w:t>Karen Maree SMITH</w:t>
      </w:r>
    </w:p>
    <w:p w14:paraId="3BA643CD" w14:textId="77777777" w:rsidR="0024080E" w:rsidRDefault="0024080E" w:rsidP="00B25CB3">
      <w:pPr>
        <w:pStyle w:val="GG-body"/>
        <w:spacing w:after="0"/>
        <w:ind w:left="142"/>
      </w:pPr>
      <w:r>
        <w:t>Merridee Ann SEIBOTH</w:t>
      </w:r>
    </w:p>
    <w:p w14:paraId="7483E1E4" w14:textId="77777777" w:rsidR="0024080E" w:rsidRDefault="0024080E" w:rsidP="00B25CB3">
      <w:pPr>
        <w:pStyle w:val="GG-body"/>
        <w:spacing w:after="0"/>
        <w:ind w:left="142"/>
      </w:pPr>
      <w:r>
        <w:t>Janette Anne RAEDEL</w:t>
      </w:r>
    </w:p>
    <w:p w14:paraId="027DE08B" w14:textId="77777777" w:rsidR="0024080E" w:rsidRDefault="0024080E" w:rsidP="00B25CB3">
      <w:pPr>
        <w:pStyle w:val="GG-body"/>
        <w:spacing w:after="0"/>
        <w:ind w:left="142"/>
      </w:pPr>
      <w:r>
        <w:t>Fevronia PLOMARITIS</w:t>
      </w:r>
    </w:p>
    <w:p w14:paraId="321BD996" w14:textId="77777777" w:rsidR="0024080E" w:rsidRDefault="0024080E" w:rsidP="00B25CB3">
      <w:pPr>
        <w:pStyle w:val="GG-body"/>
        <w:spacing w:after="0"/>
        <w:ind w:left="142"/>
      </w:pPr>
      <w:r>
        <w:t>Zyta Irene PIOCHAUD</w:t>
      </w:r>
    </w:p>
    <w:p w14:paraId="717725F6" w14:textId="77777777" w:rsidR="0024080E" w:rsidRDefault="0024080E" w:rsidP="00B25CB3">
      <w:pPr>
        <w:pStyle w:val="GG-body"/>
        <w:spacing w:after="0"/>
        <w:ind w:left="142"/>
      </w:pPr>
      <w:r>
        <w:t>Christopher George PERKINS</w:t>
      </w:r>
    </w:p>
    <w:p w14:paraId="02F83061" w14:textId="77777777" w:rsidR="0024080E" w:rsidRDefault="0024080E" w:rsidP="00B25CB3">
      <w:pPr>
        <w:pStyle w:val="GG-body"/>
        <w:spacing w:after="0"/>
        <w:ind w:left="142"/>
      </w:pPr>
      <w:r>
        <w:t>Leonie Catherine PAUL</w:t>
      </w:r>
    </w:p>
    <w:p w14:paraId="06649CD5" w14:textId="77777777" w:rsidR="0024080E" w:rsidRDefault="0024080E" w:rsidP="00B25CB3">
      <w:pPr>
        <w:pStyle w:val="GG-body"/>
        <w:spacing w:after="0"/>
        <w:ind w:left="142"/>
      </w:pPr>
      <w:r>
        <w:t>Rory John MCEWEN</w:t>
      </w:r>
    </w:p>
    <w:p w14:paraId="5CE15592" w14:textId="77777777" w:rsidR="0024080E" w:rsidRDefault="0024080E" w:rsidP="00B25CB3">
      <w:pPr>
        <w:pStyle w:val="GG-body"/>
        <w:spacing w:after="0"/>
        <w:ind w:left="142"/>
      </w:pPr>
      <w:r>
        <w:t>Patricia Alison KELLETT</w:t>
      </w:r>
    </w:p>
    <w:p w14:paraId="4B9CA9BB" w14:textId="77777777" w:rsidR="0024080E" w:rsidRDefault="0024080E" w:rsidP="00B25CB3">
      <w:pPr>
        <w:pStyle w:val="GG-body"/>
        <w:spacing w:after="0"/>
        <w:ind w:left="142"/>
      </w:pPr>
      <w:r>
        <w:t>Clynton Allan JOHANSEN</w:t>
      </w:r>
    </w:p>
    <w:p w14:paraId="54284479" w14:textId="77777777" w:rsidR="0024080E" w:rsidRDefault="0024080E" w:rsidP="00B25CB3">
      <w:pPr>
        <w:pStyle w:val="GG-body"/>
        <w:spacing w:after="0"/>
        <w:ind w:left="142"/>
      </w:pPr>
      <w:r>
        <w:t>John Theodore HEIDT</w:t>
      </w:r>
    </w:p>
    <w:p w14:paraId="27D7B21F" w14:textId="77777777" w:rsidR="0024080E" w:rsidRDefault="0024080E" w:rsidP="00B25CB3">
      <w:pPr>
        <w:pStyle w:val="GG-body"/>
        <w:spacing w:after="0"/>
        <w:ind w:left="142"/>
      </w:pPr>
      <w:r>
        <w:t>Rosalind FRAZER</w:t>
      </w:r>
    </w:p>
    <w:p w14:paraId="18D912C6" w14:textId="77777777" w:rsidR="0024080E" w:rsidRDefault="0024080E" w:rsidP="00B25CB3">
      <w:pPr>
        <w:pStyle w:val="GG-body"/>
        <w:spacing w:after="0"/>
        <w:ind w:left="142"/>
      </w:pPr>
      <w:r>
        <w:t>Kam Leung CHIU</w:t>
      </w:r>
    </w:p>
    <w:p w14:paraId="5AB202A8" w14:textId="77777777" w:rsidR="0024080E" w:rsidRDefault="0024080E" w:rsidP="00B25CB3">
      <w:pPr>
        <w:pStyle w:val="GG-body"/>
        <w:spacing w:after="0"/>
        <w:ind w:left="142"/>
      </w:pPr>
      <w:r>
        <w:t>Timothy Paul BURFIELD</w:t>
      </w:r>
    </w:p>
    <w:p w14:paraId="7A1CC0DE" w14:textId="77777777" w:rsidR="0024080E" w:rsidRDefault="0024080E" w:rsidP="00B25CB3">
      <w:pPr>
        <w:pStyle w:val="GG-body"/>
        <w:spacing w:after="0"/>
        <w:ind w:left="142"/>
      </w:pPr>
      <w:r>
        <w:t>Leslie Allan BELL</w:t>
      </w:r>
    </w:p>
    <w:p w14:paraId="3C1FFCAF" w14:textId="77777777" w:rsidR="0024080E" w:rsidRDefault="0024080E" w:rsidP="00B25CB3">
      <w:pPr>
        <w:pStyle w:val="GG-body"/>
        <w:spacing w:after="0"/>
        <w:ind w:left="142"/>
      </w:pPr>
      <w:r>
        <w:t>Joseph Marcus BALDINO</w:t>
      </w:r>
    </w:p>
    <w:p w14:paraId="322D9F1D" w14:textId="77777777" w:rsidR="0024080E" w:rsidRDefault="0024080E" w:rsidP="00B25CB3">
      <w:pPr>
        <w:pStyle w:val="GG-body"/>
        <w:spacing w:after="0"/>
        <w:ind w:left="142"/>
      </w:pPr>
      <w:r>
        <w:t>Meredith Fiona Jane BAKER</w:t>
      </w:r>
    </w:p>
    <w:p w14:paraId="1B3DF7B3" w14:textId="77777777" w:rsidR="0024080E" w:rsidRDefault="0024080E" w:rsidP="00B25CB3">
      <w:pPr>
        <w:pStyle w:val="GG-body"/>
        <w:spacing w:after="0"/>
        <w:ind w:left="142"/>
      </w:pPr>
      <w:r>
        <w:t>Gayle Joanne ASHBY</w:t>
      </w:r>
    </w:p>
    <w:p w14:paraId="3354518A" w14:textId="77777777" w:rsidR="0024080E" w:rsidRDefault="0024080E" w:rsidP="00B25CB3">
      <w:pPr>
        <w:pStyle w:val="GG-body"/>
        <w:spacing w:after="60"/>
        <w:ind w:left="142"/>
      </w:pPr>
      <w:r>
        <w:t>Panagiotis ANTONIOU</w:t>
      </w:r>
    </w:p>
    <w:p w14:paraId="44C8E7DC" w14:textId="77777777" w:rsidR="0024080E" w:rsidRDefault="0024080E" w:rsidP="0024080E">
      <w:pPr>
        <w:pStyle w:val="GG-SDated"/>
      </w:pPr>
      <w:r>
        <w:t>Dated: 12 August 2025</w:t>
      </w:r>
    </w:p>
    <w:p w14:paraId="6A73BCC2" w14:textId="77777777" w:rsidR="0024080E" w:rsidRDefault="0024080E" w:rsidP="0024080E">
      <w:pPr>
        <w:pStyle w:val="GG-SName"/>
      </w:pPr>
      <w:r>
        <w:t>Brett Humphrey</w:t>
      </w:r>
    </w:p>
    <w:p w14:paraId="751D5682" w14:textId="77777777" w:rsidR="0024080E" w:rsidRDefault="0024080E" w:rsidP="0024080E">
      <w:pPr>
        <w:pStyle w:val="GG-Signature"/>
      </w:pPr>
      <w:r>
        <w:t>Commissioner for Consumer Affairs</w:t>
      </w:r>
    </w:p>
    <w:p w14:paraId="018CB8FC" w14:textId="77777777" w:rsidR="0024080E" w:rsidRDefault="0024080E" w:rsidP="0024080E">
      <w:pPr>
        <w:pStyle w:val="GG-Signature"/>
      </w:pPr>
      <w:r>
        <w:t>Delegate of the Attorney-General</w:t>
      </w:r>
    </w:p>
    <w:p w14:paraId="14B8342D" w14:textId="77777777" w:rsidR="0024080E" w:rsidRDefault="0024080E" w:rsidP="0024080E">
      <w:pPr>
        <w:pStyle w:val="GG-Signature"/>
        <w:pBdr>
          <w:bottom w:val="single" w:sz="4" w:space="1" w:color="auto"/>
        </w:pBdr>
        <w:spacing w:line="52" w:lineRule="exact"/>
        <w:jc w:val="center"/>
      </w:pPr>
    </w:p>
    <w:p w14:paraId="660C8E89" w14:textId="77777777" w:rsidR="0024080E" w:rsidRDefault="0024080E" w:rsidP="0024080E">
      <w:pPr>
        <w:pStyle w:val="GG-Signature"/>
        <w:pBdr>
          <w:top w:val="single" w:sz="4" w:space="1" w:color="auto"/>
        </w:pBdr>
        <w:spacing w:before="34" w:line="14" w:lineRule="exact"/>
        <w:jc w:val="center"/>
      </w:pPr>
    </w:p>
    <w:p w14:paraId="23D05D77" w14:textId="03DB7F42" w:rsidR="0011491A" w:rsidRDefault="00DA4D46" w:rsidP="00E34B09">
      <w:pPr>
        <w:pStyle w:val="Heading2"/>
      </w:pPr>
      <w:bookmarkStart w:id="508" w:name="_Toc206061765"/>
      <w:r>
        <w:lastRenderedPageBreak/>
        <w:t>Land Acquisition Act 1969</w:t>
      </w:r>
      <w:bookmarkEnd w:id="508"/>
    </w:p>
    <w:p w14:paraId="0B9E50F6" w14:textId="77777777" w:rsidR="0011491A" w:rsidRDefault="0011491A" w:rsidP="0011491A">
      <w:pPr>
        <w:pStyle w:val="GG-Title2"/>
      </w:pPr>
      <w:r>
        <w:t>Section 26F</w:t>
      </w:r>
    </w:p>
    <w:p w14:paraId="5394AB38" w14:textId="77777777" w:rsidR="0011491A" w:rsidRDefault="0011491A" w:rsidP="0011491A">
      <w:pPr>
        <w:pStyle w:val="GG-Title3"/>
      </w:pPr>
      <w:r>
        <w:t>Form 6B—Notice of Acquisition of Underground Land</w:t>
      </w:r>
    </w:p>
    <w:p w14:paraId="09796E3C" w14:textId="77777777" w:rsidR="0011491A" w:rsidRPr="00EA5640" w:rsidRDefault="0011491A" w:rsidP="00644E6A">
      <w:pPr>
        <w:pStyle w:val="GG-body"/>
        <w:spacing w:after="60"/>
        <w:ind w:left="284" w:hanging="284"/>
        <w:rPr>
          <w:b/>
          <w:bCs/>
        </w:rPr>
      </w:pPr>
      <w:r w:rsidRPr="00EA5640">
        <w:rPr>
          <w:b/>
          <w:bCs/>
        </w:rPr>
        <w:t>1.</w:t>
      </w:r>
      <w:r w:rsidRPr="00EA5640">
        <w:rPr>
          <w:b/>
          <w:bCs/>
        </w:rPr>
        <w:tab/>
        <w:t>Notice of acquisition</w:t>
      </w:r>
    </w:p>
    <w:p w14:paraId="1286985D" w14:textId="77777777" w:rsidR="0011491A" w:rsidRPr="00EA5640" w:rsidRDefault="0011491A" w:rsidP="00644E6A">
      <w:pPr>
        <w:pStyle w:val="GG-body"/>
        <w:spacing w:after="60"/>
        <w:ind w:left="284"/>
        <w:rPr>
          <w:spacing w:val="-4"/>
        </w:rPr>
      </w:pPr>
      <w:r w:rsidRPr="00EA5640">
        <w:rPr>
          <w:spacing w:val="-4"/>
        </w:rPr>
        <w:t>The Commissioner of Highways (the Authority), of 83 Pirie Street, Adelaide SA 5000 acquires the following interests in the following land:</w:t>
      </w:r>
    </w:p>
    <w:p w14:paraId="508FF3D6" w14:textId="77777777" w:rsidR="0011491A" w:rsidRDefault="0011491A" w:rsidP="00644E6A">
      <w:pPr>
        <w:pStyle w:val="GG-body"/>
        <w:spacing w:after="60"/>
        <w:ind w:left="425"/>
      </w:pPr>
      <w:r w:rsidRPr="00097B18">
        <w:rPr>
          <w:spacing w:val="-2"/>
        </w:rPr>
        <w:t xml:space="preserve">An unencumbered estate in fee simple in the whole of Allotment 116 in D138134 lodged in the Lands Titles Office, being portion of the land comprised in Certificate of Title Volume 6109 Folio 182, expressly excluding the Party Wall right(s) over the land marked “B” </w:t>
      </w:r>
      <w:r>
        <w:br/>
        <w:t>in D138134</w:t>
      </w:r>
    </w:p>
    <w:p w14:paraId="3D8A4098" w14:textId="77777777" w:rsidR="0011491A" w:rsidRDefault="0011491A" w:rsidP="00644E6A">
      <w:pPr>
        <w:pStyle w:val="GG-body"/>
        <w:spacing w:after="60"/>
        <w:ind w:left="284"/>
      </w:pPr>
      <w:r>
        <w:t xml:space="preserve">This </w:t>
      </w:r>
      <w:r w:rsidRPr="00097B18">
        <w:rPr>
          <w:spacing w:val="-4"/>
        </w:rPr>
        <w:t>notice</w:t>
      </w:r>
      <w:r>
        <w:t xml:space="preserve"> is given under Section 26F of the </w:t>
      </w:r>
      <w:r w:rsidRPr="005B6276">
        <w:rPr>
          <w:i/>
          <w:iCs/>
        </w:rPr>
        <w:t>Land Acquisition Act 1969</w:t>
      </w:r>
      <w:r>
        <w:t>.</w:t>
      </w:r>
    </w:p>
    <w:p w14:paraId="7BDCD79D" w14:textId="77777777" w:rsidR="0011491A" w:rsidRPr="00097B18" w:rsidRDefault="0011491A" w:rsidP="00644E6A">
      <w:pPr>
        <w:pStyle w:val="GG-body"/>
        <w:spacing w:after="60"/>
        <w:ind w:left="284" w:hanging="284"/>
        <w:rPr>
          <w:b/>
          <w:bCs/>
        </w:rPr>
      </w:pPr>
      <w:r w:rsidRPr="00097B18">
        <w:rPr>
          <w:b/>
          <w:bCs/>
        </w:rPr>
        <w:t>2.</w:t>
      </w:r>
      <w:r w:rsidRPr="00097B18">
        <w:rPr>
          <w:b/>
          <w:bCs/>
        </w:rPr>
        <w:tab/>
        <w:t>Compensation not payable unless certain water infrastructure or rights are affected</w:t>
      </w:r>
    </w:p>
    <w:p w14:paraId="62489E6A" w14:textId="77777777" w:rsidR="0011491A" w:rsidRDefault="0011491A" w:rsidP="00644E6A">
      <w:pPr>
        <w:pStyle w:val="GG-body"/>
        <w:spacing w:after="60"/>
        <w:ind w:left="284"/>
      </w:pPr>
      <w:r>
        <w:t>You are not entitled to compensation in relation to the acquisition of the underground land to which this notice relates, unless the following conditions are satisfied:</w:t>
      </w:r>
    </w:p>
    <w:p w14:paraId="16F2366E" w14:textId="77777777" w:rsidR="0011491A" w:rsidRDefault="0011491A" w:rsidP="00644E6A">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651EDF58" w14:textId="77777777" w:rsidR="0011491A" w:rsidRDefault="0011491A" w:rsidP="00644E6A">
      <w:pPr>
        <w:pStyle w:val="GG-body"/>
        <w:spacing w:after="20"/>
        <w:ind w:left="851" w:hanging="142"/>
      </w:pPr>
      <w:r>
        <w:t>◦</w:t>
      </w:r>
      <w:r>
        <w:tab/>
        <w:t>ownership of a lawful well that provides access to underground water in the underground land, and any underground infrastructure associated with the well; or</w:t>
      </w:r>
    </w:p>
    <w:p w14:paraId="6C6B1473" w14:textId="77777777" w:rsidR="0011491A" w:rsidRDefault="0011491A" w:rsidP="00644E6A">
      <w:pPr>
        <w:pStyle w:val="GG-body"/>
        <w:spacing w:after="60"/>
        <w:ind w:left="851" w:hanging="142"/>
      </w:pPr>
      <w:r>
        <w:t>◦</w:t>
      </w:r>
      <w:r>
        <w:tab/>
        <w:t>a right to take underground water from the underground land by means of such a well;</w:t>
      </w:r>
    </w:p>
    <w:p w14:paraId="62FC65AE" w14:textId="77777777" w:rsidR="0011491A" w:rsidRDefault="0011491A" w:rsidP="00644E6A">
      <w:pPr>
        <w:pStyle w:val="GG-body"/>
        <w:spacing w:after="60"/>
        <w:ind w:left="567" w:hanging="142"/>
      </w:pPr>
      <w:r>
        <w:t>•</w:t>
      </w:r>
      <w:r>
        <w:tab/>
        <w:t xml:space="preserve">you notified the Authority of your interest in response to a notice given under Section 26G of the </w:t>
      </w:r>
      <w:r w:rsidRPr="00184C43">
        <w:rPr>
          <w:i/>
          <w:iCs/>
        </w:rPr>
        <w:t>Land Acquisition Act 1969</w:t>
      </w:r>
      <w:r>
        <w:t>;</w:t>
      </w:r>
    </w:p>
    <w:p w14:paraId="07D59F41" w14:textId="77777777" w:rsidR="0011491A" w:rsidRDefault="0011491A" w:rsidP="00644E6A">
      <w:pPr>
        <w:pStyle w:val="GG-body"/>
        <w:spacing w:after="60"/>
        <w:ind w:left="567" w:hanging="142"/>
      </w:pPr>
      <w:r>
        <w:t>•</w:t>
      </w:r>
      <w:r>
        <w:tab/>
        <w:t>the acquisition of the underground land either—</w:t>
      </w:r>
    </w:p>
    <w:p w14:paraId="294B2854" w14:textId="77777777" w:rsidR="0011491A" w:rsidRDefault="0011491A" w:rsidP="00644E6A">
      <w:pPr>
        <w:pStyle w:val="GG-body"/>
        <w:spacing w:after="20"/>
        <w:ind w:left="851" w:hanging="142"/>
      </w:pPr>
      <w:r>
        <w:t>◦</w:t>
      </w:r>
      <w:r>
        <w:tab/>
        <w:t>involved the acquisition of your interest; or</w:t>
      </w:r>
    </w:p>
    <w:p w14:paraId="4356DC55" w14:textId="77777777" w:rsidR="0011491A" w:rsidRDefault="0011491A" w:rsidP="00644E6A">
      <w:pPr>
        <w:pStyle w:val="GG-body"/>
        <w:spacing w:after="20"/>
        <w:ind w:left="851" w:hanging="142"/>
      </w:pPr>
      <w:r>
        <w:t>◦</w:t>
      </w:r>
      <w:r>
        <w:tab/>
        <w:t>resulted in the discharge of your interest; or</w:t>
      </w:r>
    </w:p>
    <w:p w14:paraId="764F7D18" w14:textId="77777777" w:rsidR="0011491A" w:rsidRDefault="0011491A" w:rsidP="00644E6A">
      <w:pPr>
        <w:pStyle w:val="GG-body"/>
        <w:spacing w:after="60"/>
        <w:ind w:left="851" w:hanging="142"/>
      </w:pPr>
      <w:r>
        <w:t>◦</w:t>
      </w:r>
      <w:r>
        <w:tab/>
        <w:t>resulted in you being unable to take water by means of, or pursuant to, your interest;</w:t>
      </w:r>
    </w:p>
    <w:p w14:paraId="627F0837" w14:textId="77777777" w:rsidR="0011491A" w:rsidRDefault="0011491A" w:rsidP="00644E6A">
      <w:pPr>
        <w:pStyle w:val="GG-body"/>
        <w:spacing w:after="60"/>
        <w:ind w:left="567" w:hanging="142"/>
      </w:pPr>
      <w:r>
        <w:t>•</w:t>
      </w:r>
      <w:r>
        <w:tab/>
        <w:t xml:space="preserve">you make an application for compensation to the Authority under Section 26H of the </w:t>
      </w:r>
      <w:r w:rsidRPr="00184C43">
        <w:rPr>
          <w:i/>
          <w:iCs/>
        </w:rPr>
        <w:t>Land Acquisition Act 1969</w:t>
      </w:r>
      <w:r>
        <w:t>.</w:t>
      </w:r>
    </w:p>
    <w:p w14:paraId="3E6B019E" w14:textId="77777777" w:rsidR="0011491A" w:rsidRPr="00184C43" w:rsidRDefault="0011491A" w:rsidP="00644E6A">
      <w:pPr>
        <w:pStyle w:val="GG-body"/>
        <w:spacing w:after="60"/>
        <w:ind w:left="284" w:hanging="284"/>
        <w:rPr>
          <w:b/>
          <w:bCs/>
        </w:rPr>
      </w:pPr>
      <w:r w:rsidRPr="00184C43">
        <w:rPr>
          <w:b/>
          <w:bCs/>
        </w:rPr>
        <w:t>3.</w:t>
      </w:r>
      <w:r w:rsidRPr="00184C43">
        <w:rPr>
          <w:b/>
          <w:bCs/>
        </w:rPr>
        <w:tab/>
        <w:t>Application for compensation under Section 26H</w:t>
      </w:r>
    </w:p>
    <w:p w14:paraId="2A29E9DC" w14:textId="77777777" w:rsidR="0011491A" w:rsidRDefault="0011491A" w:rsidP="00644E6A">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24FD6022" w14:textId="143F6220" w:rsidR="0011491A" w:rsidRDefault="0011491A" w:rsidP="00644E6A">
      <w:pPr>
        <w:pStyle w:val="GG-body"/>
        <w:spacing w:after="60"/>
        <w:ind w:left="284"/>
      </w:pPr>
      <w:r>
        <w:t>The application must be in the following manner and form:</w:t>
      </w:r>
    </w:p>
    <w:p w14:paraId="275DCF92" w14:textId="77777777" w:rsidR="0011491A" w:rsidRDefault="0011491A" w:rsidP="00644E6A">
      <w:pPr>
        <w:pStyle w:val="GG-body"/>
        <w:spacing w:after="60"/>
        <w:ind w:left="284"/>
      </w:pPr>
      <w:r>
        <w:t xml:space="preserve">“Application for Compensation for Acquisition of Underground Land” (enclosed) to be submitted by email to </w:t>
      </w:r>
      <w:hyperlink r:id="rId286" w:history="1">
        <w:r w:rsidRPr="00B56C73">
          <w:rPr>
            <w:rStyle w:val="Hyperlink"/>
          </w:rPr>
          <w:t>DIT.ULAapplications@sa.gov.au</w:t>
        </w:r>
      </w:hyperlink>
      <w:r>
        <w:t xml:space="preserve"> or by mail marked attention: Property Acquisition c/- GPO Box 1533, Adelaide SA 5001.</w:t>
      </w:r>
    </w:p>
    <w:p w14:paraId="54F0D800" w14:textId="77777777" w:rsidR="0011491A" w:rsidRDefault="0011491A" w:rsidP="00644E6A">
      <w:pPr>
        <w:pStyle w:val="GG-body"/>
        <w:spacing w:after="60"/>
        <w:ind w:left="284"/>
      </w:pPr>
      <w:r>
        <w:t>The application must be accompanied by the following information or documents:</w:t>
      </w:r>
    </w:p>
    <w:p w14:paraId="369B482D" w14:textId="77777777" w:rsidR="0011491A" w:rsidRDefault="0011491A" w:rsidP="00644E6A">
      <w:pPr>
        <w:pStyle w:val="GG-body"/>
        <w:spacing w:after="60"/>
        <w:ind w:left="284"/>
      </w:pPr>
      <w:r>
        <w:t>Any relevant supporting documentation including, but not limited to water licences, bore licences etc.</w:t>
      </w:r>
    </w:p>
    <w:p w14:paraId="7E2CA775" w14:textId="77777777" w:rsidR="0011491A" w:rsidRPr="00184C43" w:rsidRDefault="0011491A" w:rsidP="00644E6A">
      <w:pPr>
        <w:pStyle w:val="GG-body"/>
        <w:spacing w:after="60"/>
        <w:ind w:left="284"/>
        <w:rPr>
          <w:spacing w:val="-4"/>
        </w:rPr>
      </w:pPr>
      <w:r w:rsidRPr="00184C43">
        <w:rPr>
          <w:spacing w:val="-4"/>
        </w:rPr>
        <w:t>After receiving your application, the Authority may (but is not required to) make you a written offer of compensation not exceeding $50,000.</w:t>
      </w:r>
    </w:p>
    <w:p w14:paraId="12212DCA" w14:textId="77777777" w:rsidR="0011491A" w:rsidRDefault="0011491A" w:rsidP="00644E6A">
      <w:pPr>
        <w:pStyle w:val="GG-body"/>
        <w:spacing w:after="60"/>
        <w:ind w:left="284"/>
      </w:pPr>
      <w:r>
        <w:t xml:space="preserve">See Section 26H(4) of the </w:t>
      </w:r>
      <w:r w:rsidRPr="00184C43">
        <w:rPr>
          <w:i/>
          <w:iCs/>
        </w:rPr>
        <w:t>Land Acquisition Act 1969</w:t>
      </w:r>
      <w:r>
        <w:t xml:space="preserve"> for further details on the payment of compensation.</w:t>
      </w:r>
    </w:p>
    <w:p w14:paraId="1DE662A5" w14:textId="77777777" w:rsidR="0011491A" w:rsidRPr="00E3085F" w:rsidRDefault="0011491A" w:rsidP="00644E6A">
      <w:pPr>
        <w:pStyle w:val="GG-body"/>
        <w:spacing w:after="60"/>
        <w:ind w:left="284" w:hanging="284"/>
        <w:rPr>
          <w:b/>
          <w:bCs/>
        </w:rPr>
      </w:pPr>
      <w:r w:rsidRPr="00E3085F">
        <w:rPr>
          <w:b/>
          <w:bCs/>
        </w:rPr>
        <w:t>4.</w:t>
      </w:r>
      <w:r w:rsidRPr="00E3085F">
        <w:rPr>
          <w:b/>
          <w:bCs/>
        </w:rPr>
        <w:tab/>
        <w:t>Inquiries</w:t>
      </w:r>
    </w:p>
    <w:p w14:paraId="2A6319A0" w14:textId="77777777" w:rsidR="0011491A" w:rsidRDefault="0011491A" w:rsidP="0011491A">
      <w:pPr>
        <w:pStyle w:val="GG-body"/>
        <w:spacing w:after="0"/>
        <w:ind w:left="2552" w:hanging="2268"/>
      </w:pPr>
      <w:r>
        <w:t>Inquiries should be directed to:</w:t>
      </w:r>
      <w:r>
        <w:tab/>
        <w:t>T2D Project Team</w:t>
      </w:r>
    </w:p>
    <w:p w14:paraId="36DAE61E" w14:textId="77777777" w:rsidR="0011491A" w:rsidRDefault="0011491A" w:rsidP="0011491A">
      <w:pPr>
        <w:pStyle w:val="GG-body"/>
        <w:spacing w:after="0"/>
        <w:ind w:left="2552"/>
      </w:pPr>
      <w:r>
        <w:t>GPO Box 1533</w:t>
      </w:r>
    </w:p>
    <w:p w14:paraId="06BAE252" w14:textId="77777777" w:rsidR="0011491A" w:rsidRDefault="0011491A" w:rsidP="0011491A">
      <w:pPr>
        <w:pStyle w:val="GG-body"/>
        <w:spacing w:after="0"/>
        <w:ind w:left="2552"/>
      </w:pPr>
      <w:r>
        <w:t>Adelaide SA 5001</w:t>
      </w:r>
    </w:p>
    <w:p w14:paraId="4A8919F6" w14:textId="77777777" w:rsidR="0011491A" w:rsidRDefault="0011491A" w:rsidP="0011491A">
      <w:pPr>
        <w:pStyle w:val="GG-body"/>
        <w:ind w:left="2552"/>
      </w:pPr>
      <w:r>
        <w:t>Telephone: 1800 572 414</w:t>
      </w:r>
    </w:p>
    <w:p w14:paraId="08B5D8B9" w14:textId="77777777" w:rsidR="0011491A" w:rsidRDefault="0011491A" w:rsidP="0011491A">
      <w:pPr>
        <w:pStyle w:val="GG-SDated"/>
      </w:pPr>
      <w:r>
        <w:t>Dated: 11 August 2025</w:t>
      </w:r>
    </w:p>
    <w:p w14:paraId="4347E954" w14:textId="77777777" w:rsidR="0011491A" w:rsidRPr="00187D24" w:rsidRDefault="0011491A" w:rsidP="00644E6A">
      <w:pPr>
        <w:pStyle w:val="GG-SDated"/>
        <w:spacing w:before="60" w:after="60"/>
        <w:rPr>
          <w:spacing w:val="-2"/>
        </w:rPr>
      </w:pPr>
      <w:r w:rsidRPr="00187D24">
        <w:rPr>
          <w:spacing w:val="-2"/>
        </w:rPr>
        <w:t>The Common Seal of the COMMISSIONER OF HIGHWAYS was hereto affixed by authority of the Commissioner in the presence of:</w:t>
      </w:r>
    </w:p>
    <w:p w14:paraId="38CF173B" w14:textId="77777777" w:rsidR="0011491A" w:rsidRDefault="0011491A" w:rsidP="0011491A">
      <w:pPr>
        <w:pStyle w:val="GG-SName"/>
      </w:pPr>
      <w:r>
        <w:t>Rocco Caruso</w:t>
      </w:r>
    </w:p>
    <w:p w14:paraId="7BBAF27E" w14:textId="77777777" w:rsidR="0011491A" w:rsidRDefault="0011491A" w:rsidP="0011491A">
      <w:pPr>
        <w:pStyle w:val="GG-Signature"/>
      </w:pPr>
      <w:r>
        <w:t>Director, Property Acquisition</w:t>
      </w:r>
    </w:p>
    <w:p w14:paraId="4DF5D797" w14:textId="77777777" w:rsidR="0011491A" w:rsidRDefault="0011491A" w:rsidP="0011491A">
      <w:pPr>
        <w:pStyle w:val="GG-Signature"/>
      </w:pPr>
      <w:r>
        <w:t>(Authorised Officer)</w:t>
      </w:r>
    </w:p>
    <w:p w14:paraId="6B5C9398" w14:textId="77777777" w:rsidR="0011491A" w:rsidRDefault="0011491A" w:rsidP="0011491A">
      <w:pPr>
        <w:pStyle w:val="GG-Signature"/>
      </w:pPr>
      <w:r>
        <w:t>Department for Infrastructure and Transport</w:t>
      </w:r>
    </w:p>
    <w:p w14:paraId="599722F5" w14:textId="77777777" w:rsidR="0011491A" w:rsidRDefault="0011491A" w:rsidP="0011491A">
      <w:pPr>
        <w:pStyle w:val="GG-body"/>
      </w:pPr>
      <w:r>
        <w:t>DIT: 2024/07228/01</w:t>
      </w:r>
    </w:p>
    <w:p w14:paraId="1624EAD9" w14:textId="77777777" w:rsidR="0011491A" w:rsidRDefault="0011491A" w:rsidP="0011491A">
      <w:pPr>
        <w:pStyle w:val="GG-body"/>
        <w:pBdr>
          <w:top w:val="single" w:sz="4" w:space="1" w:color="auto"/>
        </w:pBdr>
        <w:spacing w:before="100" w:after="0" w:line="14" w:lineRule="exact"/>
        <w:jc w:val="center"/>
      </w:pPr>
    </w:p>
    <w:p w14:paraId="613A11B1" w14:textId="77777777" w:rsidR="00B25CB3" w:rsidRDefault="00B25CB3" w:rsidP="00B25CB3">
      <w:pPr>
        <w:pStyle w:val="NoSpacing"/>
      </w:pPr>
    </w:p>
    <w:p w14:paraId="1C129CD1" w14:textId="4E0CEF02" w:rsidR="00F30B6A" w:rsidRDefault="00F30B6A" w:rsidP="00F30B6A">
      <w:pPr>
        <w:pStyle w:val="GG-Title1"/>
      </w:pPr>
      <w:r>
        <w:t>Land Acquisition Act 1969</w:t>
      </w:r>
    </w:p>
    <w:p w14:paraId="1116B227" w14:textId="77777777" w:rsidR="00F30B6A" w:rsidRDefault="00F30B6A" w:rsidP="00F30B6A">
      <w:pPr>
        <w:pStyle w:val="GG-Title2"/>
      </w:pPr>
      <w:r>
        <w:t>Section 26F</w:t>
      </w:r>
    </w:p>
    <w:p w14:paraId="2EBD4CCC" w14:textId="77777777" w:rsidR="00F30B6A" w:rsidRDefault="00F30B6A" w:rsidP="00F30B6A">
      <w:pPr>
        <w:pStyle w:val="GG-Title3"/>
      </w:pPr>
      <w:r>
        <w:t>Form 6B—Notice of Acquisition of Underground Land</w:t>
      </w:r>
    </w:p>
    <w:p w14:paraId="2F3804A7" w14:textId="77777777" w:rsidR="00F30B6A" w:rsidRPr="00302962" w:rsidRDefault="00F30B6A" w:rsidP="00644E6A">
      <w:pPr>
        <w:pStyle w:val="GG-body"/>
        <w:spacing w:after="60"/>
        <w:ind w:left="284" w:hanging="284"/>
        <w:rPr>
          <w:b/>
          <w:bCs/>
        </w:rPr>
      </w:pPr>
      <w:r w:rsidRPr="00302962">
        <w:rPr>
          <w:b/>
          <w:bCs/>
        </w:rPr>
        <w:t>1.</w:t>
      </w:r>
      <w:r w:rsidRPr="00302962">
        <w:rPr>
          <w:b/>
          <w:bCs/>
        </w:rPr>
        <w:tab/>
        <w:t>Notice of acquisition</w:t>
      </w:r>
    </w:p>
    <w:p w14:paraId="13174CA5" w14:textId="77777777" w:rsidR="00F30B6A" w:rsidRPr="0067797A" w:rsidRDefault="00F30B6A" w:rsidP="00644E6A">
      <w:pPr>
        <w:pStyle w:val="GG-body"/>
        <w:spacing w:after="60"/>
        <w:ind w:left="284"/>
        <w:rPr>
          <w:spacing w:val="-4"/>
        </w:rPr>
      </w:pPr>
      <w:r w:rsidRPr="0067797A">
        <w:rPr>
          <w:spacing w:val="-4"/>
        </w:rPr>
        <w:t>The Commissioner of Highways (the Authority), of 83 Pirie Street, Adelaide SA 5000 acquires the following interests in the following land:</w:t>
      </w:r>
    </w:p>
    <w:p w14:paraId="7FE3FE79" w14:textId="77777777" w:rsidR="00F30B6A" w:rsidRDefault="00F30B6A" w:rsidP="00644E6A">
      <w:pPr>
        <w:pStyle w:val="GG-body"/>
        <w:spacing w:after="60"/>
        <w:ind w:left="425"/>
      </w:pPr>
      <w:r>
        <w:t>An unencumbered estate in fee simple in the whole of Allotment 120 in D138136 lodged in the Lands Titles Office, being portion of the land comprised in Certificate of Title Volume 5264 Folio 548.</w:t>
      </w:r>
    </w:p>
    <w:p w14:paraId="68A6726C" w14:textId="77777777" w:rsidR="00F30B6A" w:rsidRDefault="00F30B6A" w:rsidP="00644E6A">
      <w:pPr>
        <w:pStyle w:val="GG-body"/>
        <w:spacing w:after="60"/>
        <w:ind w:left="284"/>
      </w:pPr>
      <w:r>
        <w:t xml:space="preserve">This </w:t>
      </w:r>
      <w:r w:rsidRPr="00C12DBA">
        <w:rPr>
          <w:spacing w:val="-4"/>
        </w:rPr>
        <w:t>notice</w:t>
      </w:r>
      <w:r>
        <w:t xml:space="preserve"> is given under Section 26F of the </w:t>
      </w:r>
      <w:r w:rsidRPr="000F3B2D">
        <w:rPr>
          <w:i/>
          <w:iCs/>
        </w:rPr>
        <w:t>Land Acquisition Act 1969</w:t>
      </w:r>
      <w:r>
        <w:t>.</w:t>
      </w:r>
    </w:p>
    <w:p w14:paraId="54808CD9" w14:textId="77777777" w:rsidR="00F30B6A" w:rsidRPr="00302962" w:rsidRDefault="00F30B6A" w:rsidP="00644E6A">
      <w:pPr>
        <w:pStyle w:val="GG-body"/>
        <w:spacing w:after="60"/>
        <w:ind w:left="284" w:hanging="284"/>
        <w:rPr>
          <w:b/>
          <w:bCs/>
        </w:rPr>
      </w:pPr>
      <w:r w:rsidRPr="00302962">
        <w:rPr>
          <w:b/>
          <w:bCs/>
        </w:rPr>
        <w:t>2.</w:t>
      </w:r>
      <w:r w:rsidRPr="00302962">
        <w:rPr>
          <w:b/>
          <w:bCs/>
        </w:rPr>
        <w:tab/>
        <w:t>Compensation not payable unless certain water infrastructure or rights are affected</w:t>
      </w:r>
    </w:p>
    <w:p w14:paraId="62A84516" w14:textId="77777777" w:rsidR="00F30B6A" w:rsidRDefault="00F30B6A" w:rsidP="00644E6A">
      <w:pPr>
        <w:pStyle w:val="GG-body"/>
        <w:spacing w:after="60"/>
        <w:ind w:left="284"/>
      </w:pPr>
      <w:r>
        <w:t xml:space="preserve">You are not entitled to compensation in relation to the acquisition of the underground land to which this notice relates, unless the following </w:t>
      </w:r>
      <w:r w:rsidRPr="00C12DBA">
        <w:rPr>
          <w:spacing w:val="-4"/>
        </w:rPr>
        <w:t>conditions</w:t>
      </w:r>
      <w:r>
        <w:t xml:space="preserve"> are satisfied:</w:t>
      </w:r>
    </w:p>
    <w:p w14:paraId="6C6F382D" w14:textId="77777777" w:rsidR="00F30B6A" w:rsidRDefault="00F30B6A" w:rsidP="00644E6A">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01CB18BA" w14:textId="77777777" w:rsidR="00F30B6A" w:rsidRDefault="00F30B6A" w:rsidP="00644E6A">
      <w:pPr>
        <w:pStyle w:val="GG-body"/>
        <w:spacing w:after="20"/>
        <w:ind w:left="851" w:hanging="142"/>
      </w:pPr>
      <w:r>
        <w:t>◦</w:t>
      </w:r>
      <w:r>
        <w:tab/>
        <w:t>ownership of a lawful well that provides access to underground water in the underground land, and any underground infrastructure associated with the well; or</w:t>
      </w:r>
    </w:p>
    <w:p w14:paraId="67804D24" w14:textId="77777777" w:rsidR="00F30B6A" w:rsidRDefault="00F30B6A" w:rsidP="00644E6A">
      <w:pPr>
        <w:pStyle w:val="GG-body"/>
        <w:spacing w:after="60"/>
        <w:ind w:left="851" w:hanging="142"/>
      </w:pPr>
      <w:r>
        <w:t>◦</w:t>
      </w:r>
      <w:r>
        <w:tab/>
        <w:t>a right to take underground water from the underground land by means of such a well;</w:t>
      </w:r>
    </w:p>
    <w:p w14:paraId="401C596A" w14:textId="77777777" w:rsidR="00F30B6A" w:rsidRDefault="00F30B6A" w:rsidP="00644E6A">
      <w:pPr>
        <w:pStyle w:val="GG-body"/>
        <w:spacing w:after="60"/>
        <w:ind w:left="567" w:hanging="142"/>
      </w:pPr>
      <w:r>
        <w:t>•</w:t>
      </w:r>
      <w:r>
        <w:tab/>
        <w:t xml:space="preserve">you notified the Authority of your interest in response to a notice given under Section 26G of the </w:t>
      </w:r>
      <w:r w:rsidRPr="006F423D">
        <w:rPr>
          <w:i/>
          <w:iCs/>
        </w:rPr>
        <w:t>Land Acquisition Act 1969</w:t>
      </w:r>
      <w:r>
        <w:t>;</w:t>
      </w:r>
    </w:p>
    <w:p w14:paraId="7A19522D" w14:textId="77777777" w:rsidR="00B25CB3" w:rsidRDefault="00B25CB3" w:rsidP="00B25CB3">
      <w:pPr>
        <w:spacing w:after="0" w:line="80" w:lineRule="exact"/>
        <w:jc w:val="left"/>
        <w:rPr>
          <w:rFonts w:eastAsia="Times New Roman"/>
          <w:szCs w:val="17"/>
        </w:rPr>
      </w:pPr>
      <w:r>
        <w:br w:type="page"/>
      </w:r>
    </w:p>
    <w:p w14:paraId="1A9F013D" w14:textId="79C0F238" w:rsidR="00F30B6A" w:rsidRDefault="00F30B6A" w:rsidP="00644E6A">
      <w:pPr>
        <w:pStyle w:val="GG-body"/>
        <w:spacing w:after="60"/>
        <w:ind w:left="567" w:hanging="142"/>
      </w:pPr>
      <w:r>
        <w:lastRenderedPageBreak/>
        <w:t>•</w:t>
      </w:r>
      <w:r>
        <w:tab/>
        <w:t>the acquisition of the underground land either—</w:t>
      </w:r>
    </w:p>
    <w:p w14:paraId="60FF50CF" w14:textId="77777777" w:rsidR="00F30B6A" w:rsidRDefault="00F30B6A" w:rsidP="00644E6A">
      <w:pPr>
        <w:pStyle w:val="GG-body"/>
        <w:spacing w:after="20"/>
        <w:ind w:left="851" w:hanging="142"/>
      </w:pPr>
      <w:r>
        <w:t>◦</w:t>
      </w:r>
      <w:r>
        <w:tab/>
        <w:t>involved the acquisition of your interest; or</w:t>
      </w:r>
    </w:p>
    <w:p w14:paraId="3DCBF243" w14:textId="77777777" w:rsidR="00F30B6A" w:rsidRDefault="00F30B6A" w:rsidP="00644E6A">
      <w:pPr>
        <w:pStyle w:val="GG-body"/>
        <w:spacing w:after="20"/>
        <w:ind w:left="851" w:hanging="142"/>
      </w:pPr>
      <w:r>
        <w:t>◦</w:t>
      </w:r>
      <w:r>
        <w:tab/>
        <w:t>resulted in the discharge of your interest; or</w:t>
      </w:r>
    </w:p>
    <w:p w14:paraId="5419BEBE" w14:textId="77777777" w:rsidR="00F30B6A" w:rsidRDefault="00F30B6A" w:rsidP="00644E6A">
      <w:pPr>
        <w:pStyle w:val="GG-body"/>
        <w:spacing w:after="60"/>
        <w:ind w:left="851" w:hanging="142"/>
      </w:pPr>
      <w:r>
        <w:t>◦</w:t>
      </w:r>
      <w:r>
        <w:tab/>
        <w:t>resulted in you being unable to take water by means of, or pursuant to, your interest;</w:t>
      </w:r>
    </w:p>
    <w:p w14:paraId="7AB76705" w14:textId="77777777" w:rsidR="00F30B6A" w:rsidRDefault="00F30B6A" w:rsidP="00644E6A">
      <w:pPr>
        <w:pStyle w:val="GG-body"/>
        <w:spacing w:after="60"/>
        <w:ind w:left="567" w:hanging="142"/>
      </w:pPr>
      <w:r>
        <w:t>•</w:t>
      </w:r>
      <w:r>
        <w:tab/>
        <w:t xml:space="preserve">you make an application for compensation to the Authority under Section 26H of the </w:t>
      </w:r>
      <w:r w:rsidRPr="006F423D">
        <w:rPr>
          <w:i/>
          <w:iCs/>
        </w:rPr>
        <w:t>Land Acquisition Act 1969</w:t>
      </w:r>
      <w:r>
        <w:t>.</w:t>
      </w:r>
    </w:p>
    <w:p w14:paraId="68F82F83" w14:textId="77777777" w:rsidR="00F30B6A" w:rsidRPr="00302962" w:rsidRDefault="00F30B6A" w:rsidP="00644E6A">
      <w:pPr>
        <w:pStyle w:val="GG-body"/>
        <w:spacing w:after="60"/>
        <w:ind w:left="284" w:hanging="284"/>
        <w:rPr>
          <w:b/>
          <w:bCs/>
        </w:rPr>
      </w:pPr>
      <w:r w:rsidRPr="00302962">
        <w:rPr>
          <w:b/>
          <w:bCs/>
        </w:rPr>
        <w:t>3.</w:t>
      </w:r>
      <w:r w:rsidRPr="00302962">
        <w:rPr>
          <w:b/>
          <w:bCs/>
        </w:rPr>
        <w:tab/>
        <w:t xml:space="preserve">Application for compensation under </w:t>
      </w:r>
      <w:r>
        <w:rPr>
          <w:b/>
          <w:bCs/>
        </w:rPr>
        <w:t>S</w:t>
      </w:r>
      <w:r w:rsidRPr="00302962">
        <w:rPr>
          <w:b/>
          <w:bCs/>
        </w:rPr>
        <w:t>ection 26H</w:t>
      </w:r>
    </w:p>
    <w:p w14:paraId="1443A8CE" w14:textId="77777777" w:rsidR="00F30B6A" w:rsidRDefault="00F30B6A" w:rsidP="00644E6A">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02AFB61D" w14:textId="77777777" w:rsidR="00F30B6A" w:rsidRDefault="00F30B6A" w:rsidP="00644E6A">
      <w:pPr>
        <w:pStyle w:val="GG-body"/>
        <w:spacing w:after="60"/>
        <w:ind w:left="284"/>
      </w:pPr>
      <w:r>
        <w:t>The application must be in the following manner and form:</w:t>
      </w:r>
    </w:p>
    <w:p w14:paraId="29EA30C2" w14:textId="77777777" w:rsidR="00F30B6A" w:rsidRDefault="00F30B6A" w:rsidP="00644E6A">
      <w:pPr>
        <w:pStyle w:val="GG-body"/>
        <w:spacing w:after="60"/>
        <w:ind w:left="284"/>
      </w:pPr>
      <w:r>
        <w:t xml:space="preserve">“Application for Compensation for Acquisition of Underground Land” (enclosed) to be submitted by email to </w:t>
      </w:r>
      <w:hyperlink r:id="rId287" w:history="1">
        <w:r w:rsidRPr="0041455F">
          <w:rPr>
            <w:rStyle w:val="Hyperlink"/>
          </w:rPr>
          <w:t>DIT.ULAapplications@sa.gov.au</w:t>
        </w:r>
      </w:hyperlink>
      <w:r>
        <w:t xml:space="preserve"> or by mail marked attention: Property Acquisition c/- GPO Box 1533, Adelaide SA 5001.</w:t>
      </w:r>
    </w:p>
    <w:p w14:paraId="185D3B21" w14:textId="77777777" w:rsidR="00F30B6A" w:rsidRDefault="00F30B6A" w:rsidP="00644E6A">
      <w:pPr>
        <w:pStyle w:val="GG-body"/>
        <w:spacing w:after="60"/>
        <w:ind w:left="284"/>
      </w:pPr>
      <w:r>
        <w:t>The application must be accompanied by the following information or documents:</w:t>
      </w:r>
    </w:p>
    <w:p w14:paraId="4BB21164" w14:textId="77777777" w:rsidR="00F30B6A" w:rsidRDefault="00F30B6A" w:rsidP="00644E6A">
      <w:pPr>
        <w:pStyle w:val="GG-body"/>
        <w:spacing w:after="60"/>
        <w:ind w:left="284"/>
      </w:pPr>
      <w:r>
        <w:t>Any relevant supporting documentation including, but not limited to water licences, bore licences etc.</w:t>
      </w:r>
    </w:p>
    <w:p w14:paraId="09521035" w14:textId="77777777" w:rsidR="00F30B6A" w:rsidRPr="00727E38" w:rsidRDefault="00F30B6A" w:rsidP="00644E6A">
      <w:pPr>
        <w:pStyle w:val="GG-body"/>
        <w:spacing w:after="60"/>
        <w:ind w:left="284"/>
        <w:rPr>
          <w:spacing w:val="-4"/>
        </w:rPr>
      </w:pPr>
      <w:r w:rsidRPr="00727E38">
        <w:rPr>
          <w:spacing w:val="-4"/>
        </w:rPr>
        <w:t>After receiving your application, the Authority may (but is not required to) make you a written offer of compensation not exceeding $50,000.</w:t>
      </w:r>
    </w:p>
    <w:p w14:paraId="2C4483CB" w14:textId="77777777" w:rsidR="00F30B6A" w:rsidRDefault="00F30B6A" w:rsidP="00644E6A">
      <w:pPr>
        <w:pStyle w:val="GG-body"/>
        <w:spacing w:after="60"/>
        <w:ind w:left="284"/>
      </w:pPr>
      <w:r>
        <w:t xml:space="preserve">See Section 26H(4) of the </w:t>
      </w:r>
      <w:r w:rsidRPr="00727E38">
        <w:rPr>
          <w:i/>
          <w:iCs/>
        </w:rPr>
        <w:t>Land Acquisition Act 1969</w:t>
      </w:r>
      <w:r>
        <w:t xml:space="preserve"> for further details on the payment of compensation.</w:t>
      </w:r>
    </w:p>
    <w:p w14:paraId="5B80C19C" w14:textId="77777777" w:rsidR="00F30B6A" w:rsidRPr="00302962" w:rsidRDefault="00F30B6A" w:rsidP="00644E6A">
      <w:pPr>
        <w:pStyle w:val="GG-body"/>
        <w:spacing w:after="60"/>
        <w:ind w:left="284" w:hanging="284"/>
        <w:rPr>
          <w:b/>
          <w:bCs/>
        </w:rPr>
      </w:pPr>
      <w:r w:rsidRPr="00302962">
        <w:rPr>
          <w:b/>
          <w:bCs/>
        </w:rPr>
        <w:t>4.</w:t>
      </w:r>
      <w:r w:rsidRPr="00302962">
        <w:rPr>
          <w:b/>
          <w:bCs/>
        </w:rPr>
        <w:tab/>
        <w:t>Inquiries</w:t>
      </w:r>
    </w:p>
    <w:p w14:paraId="759066B8" w14:textId="77777777" w:rsidR="00F30B6A" w:rsidRDefault="00F30B6A" w:rsidP="00F30B6A">
      <w:pPr>
        <w:pStyle w:val="GG-body"/>
        <w:spacing w:after="0"/>
        <w:ind w:left="2552" w:hanging="2268"/>
      </w:pPr>
      <w:r>
        <w:t>Inquiries should be directed to:</w:t>
      </w:r>
      <w:r>
        <w:tab/>
        <w:t>T2D Project Team</w:t>
      </w:r>
    </w:p>
    <w:p w14:paraId="3FC19402" w14:textId="77777777" w:rsidR="00F30B6A" w:rsidRDefault="00F30B6A" w:rsidP="00F30B6A">
      <w:pPr>
        <w:pStyle w:val="GG-body"/>
        <w:spacing w:after="0"/>
        <w:ind w:left="2552"/>
      </w:pPr>
      <w:r>
        <w:t>GPO Box 1533</w:t>
      </w:r>
    </w:p>
    <w:p w14:paraId="0057F19D" w14:textId="77777777" w:rsidR="00F30B6A" w:rsidRDefault="00F30B6A" w:rsidP="00F30B6A">
      <w:pPr>
        <w:pStyle w:val="GG-body"/>
        <w:spacing w:after="0"/>
        <w:ind w:left="2552"/>
      </w:pPr>
      <w:r>
        <w:t>Adelaide SA 5001</w:t>
      </w:r>
    </w:p>
    <w:p w14:paraId="48DCC231" w14:textId="77777777" w:rsidR="00F30B6A" w:rsidRDefault="00F30B6A" w:rsidP="00F30B6A">
      <w:pPr>
        <w:pStyle w:val="GG-body"/>
        <w:ind w:left="2552"/>
      </w:pPr>
      <w:r>
        <w:t>Telephone: 1800 572 414</w:t>
      </w:r>
    </w:p>
    <w:p w14:paraId="5812A772" w14:textId="77777777" w:rsidR="00F30B6A" w:rsidRDefault="00F30B6A" w:rsidP="00644E6A">
      <w:pPr>
        <w:pStyle w:val="GG-SDated"/>
        <w:spacing w:after="60"/>
      </w:pPr>
      <w:r>
        <w:t xml:space="preserve">Dated: 11 August 2025 </w:t>
      </w:r>
    </w:p>
    <w:p w14:paraId="5EAE99E0" w14:textId="77777777" w:rsidR="00F30B6A" w:rsidRPr="00966D4D" w:rsidRDefault="00F30B6A" w:rsidP="00644E6A">
      <w:pPr>
        <w:pStyle w:val="GG-SDated"/>
        <w:spacing w:after="60"/>
        <w:rPr>
          <w:spacing w:val="-2"/>
        </w:rPr>
      </w:pPr>
      <w:r w:rsidRPr="00966D4D">
        <w:rPr>
          <w:spacing w:val="-2"/>
        </w:rPr>
        <w:t>The Common Seal of the COMMISSIONER OF HIGHWAYS was hereto affixed by authority of the Commissioner in the presence of:</w:t>
      </w:r>
    </w:p>
    <w:p w14:paraId="6B5221EE" w14:textId="77777777" w:rsidR="00F30B6A" w:rsidRDefault="00F30B6A" w:rsidP="00F30B6A">
      <w:pPr>
        <w:pStyle w:val="GG-SName"/>
      </w:pPr>
      <w:r>
        <w:t>Rocco Caruso</w:t>
      </w:r>
    </w:p>
    <w:p w14:paraId="48EC9575" w14:textId="77777777" w:rsidR="00F30B6A" w:rsidRDefault="00F30B6A" w:rsidP="00F30B6A">
      <w:pPr>
        <w:pStyle w:val="GG-Signature"/>
      </w:pPr>
      <w:r>
        <w:t>Director, Property Acquisition</w:t>
      </w:r>
    </w:p>
    <w:p w14:paraId="372E75DB" w14:textId="77777777" w:rsidR="00F30B6A" w:rsidRDefault="00F30B6A" w:rsidP="00F30B6A">
      <w:pPr>
        <w:pStyle w:val="GG-Signature"/>
      </w:pPr>
      <w:r>
        <w:t>(Authorised Officer)</w:t>
      </w:r>
    </w:p>
    <w:p w14:paraId="0C6C2FEC" w14:textId="77777777" w:rsidR="00F30B6A" w:rsidRDefault="00F30B6A" w:rsidP="00F30B6A">
      <w:pPr>
        <w:pStyle w:val="GG-Signature"/>
      </w:pPr>
      <w:r>
        <w:t>Department for Infrastructure and Transport</w:t>
      </w:r>
    </w:p>
    <w:p w14:paraId="737907E8" w14:textId="2D7730A6" w:rsidR="00521B1F" w:rsidRDefault="00F30B6A" w:rsidP="00F30B6A">
      <w:pPr>
        <w:pStyle w:val="GG-body"/>
      </w:pPr>
      <w:r>
        <w:t>DIT: 2024/07224/01</w:t>
      </w:r>
    </w:p>
    <w:p w14:paraId="723186C8" w14:textId="77777777" w:rsidR="00F30B6A" w:rsidRDefault="00F30B6A" w:rsidP="00F30B6A">
      <w:pPr>
        <w:pStyle w:val="GG-body"/>
        <w:pBdr>
          <w:bottom w:val="single" w:sz="4" w:space="1" w:color="auto"/>
        </w:pBdr>
        <w:spacing w:after="0" w:line="52" w:lineRule="exact"/>
        <w:jc w:val="center"/>
        <w:rPr>
          <w:lang w:val="en-US"/>
        </w:rPr>
      </w:pPr>
    </w:p>
    <w:p w14:paraId="0A8FF885" w14:textId="77777777" w:rsidR="00F30B6A" w:rsidRDefault="00F30B6A" w:rsidP="00F30B6A">
      <w:pPr>
        <w:pStyle w:val="GG-body"/>
        <w:pBdr>
          <w:top w:val="single" w:sz="4" w:space="1" w:color="auto"/>
        </w:pBdr>
        <w:spacing w:before="34" w:after="0" w:line="14" w:lineRule="exact"/>
        <w:jc w:val="center"/>
        <w:rPr>
          <w:lang w:val="en-US"/>
        </w:rPr>
      </w:pPr>
    </w:p>
    <w:p w14:paraId="6DAE1427" w14:textId="77777777" w:rsidR="00F30B6A" w:rsidRDefault="00F30B6A" w:rsidP="00644E6A">
      <w:pPr>
        <w:pStyle w:val="NoSpacing"/>
        <w:rPr>
          <w:lang w:val="en-US"/>
        </w:rPr>
      </w:pPr>
    </w:p>
    <w:p w14:paraId="71DBBD03" w14:textId="229FFCC3" w:rsidR="001503A0" w:rsidRPr="001503A0" w:rsidRDefault="00DA4D46" w:rsidP="00E34B09">
      <w:pPr>
        <w:pStyle w:val="Heading2"/>
      </w:pPr>
      <w:bookmarkStart w:id="509" w:name="_Toc206061766"/>
      <w:r w:rsidRPr="001503A0">
        <w:t>Landscape South Australia Act 2019</w:t>
      </w:r>
      <w:bookmarkEnd w:id="509"/>
    </w:p>
    <w:p w14:paraId="15EF2117" w14:textId="77777777" w:rsidR="001503A0" w:rsidRPr="001503A0" w:rsidRDefault="001503A0" w:rsidP="001503A0">
      <w:pPr>
        <w:jc w:val="center"/>
        <w:rPr>
          <w:i/>
          <w:szCs w:val="17"/>
        </w:rPr>
      </w:pPr>
      <w:r w:rsidRPr="001503A0">
        <w:rPr>
          <w:i/>
          <w:szCs w:val="17"/>
        </w:rPr>
        <w:t>Declaration of Penalty in Relation to the Unauthorised or Unlawful Taking of Water</w:t>
      </w:r>
      <w:r w:rsidRPr="001503A0">
        <w:rPr>
          <w:i/>
          <w:szCs w:val="17"/>
        </w:rPr>
        <w:br/>
        <w:t>from the River Murray Prescribed Watercourse</w:t>
      </w:r>
    </w:p>
    <w:p w14:paraId="11D532B8" w14:textId="77777777" w:rsidR="001503A0" w:rsidRPr="001503A0" w:rsidRDefault="001503A0" w:rsidP="00644E6A">
      <w:pPr>
        <w:spacing w:after="60"/>
      </w:pPr>
      <w:r w:rsidRPr="001503A0">
        <w:t xml:space="preserve">Pursuant to Section 88(1) of the </w:t>
      </w:r>
      <w:r w:rsidRPr="001503A0">
        <w:rPr>
          <w:i/>
          <w:iCs/>
        </w:rPr>
        <w:t>Landscape South Australia Act 2019</w:t>
      </w:r>
      <w:r w:rsidRPr="001503A0">
        <w:t xml:space="preserve"> (the Act), I, Sue Hutchings,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3B077BA2" w14:textId="77777777" w:rsidR="001503A0" w:rsidRPr="001503A0" w:rsidRDefault="001503A0" w:rsidP="00644E6A">
      <w:pPr>
        <w:spacing w:after="60"/>
        <w:ind w:left="426" w:hanging="284"/>
      </w:pPr>
      <w:r w:rsidRPr="001503A0">
        <w:t>1.</w:t>
      </w:r>
      <w:r w:rsidRPr="001503A0">
        <w:tab/>
        <w:t>Where a person who is the holder of a water allocation takes water from the River Murray Prescribed Watercourse in excess of the amount available under the allocation, the penalty declared pursuant to Section 88(1)(a) is:</w:t>
      </w:r>
    </w:p>
    <w:p w14:paraId="291ED7EF" w14:textId="77777777" w:rsidR="001503A0" w:rsidRPr="001503A0" w:rsidRDefault="001503A0" w:rsidP="00644E6A">
      <w:pPr>
        <w:spacing w:after="60"/>
        <w:ind w:left="709" w:hanging="284"/>
      </w:pPr>
      <w:r w:rsidRPr="001503A0">
        <w:t>(a)</w:t>
      </w:r>
      <w:r w:rsidRPr="001503A0">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1F4EBCC0" w14:textId="77777777" w:rsidR="001503A0" w:rsidRPr="001503A0" w:rsidRDefault="001503A0" w:rsidP="00644E6A">
      <w:pPr>
        <w:spacing w:after="60"/>
        <w:ind w:left="709" w:hanging="284"/>
      </w:pPr>
      <w:r w:rsidRPr="001503A0">
        <w:t>(b)</w:t>
      </w:r>
      <w:r w:rsidRPr="001503A0">
        <w:tab/>
        <w:t>the corresponding rate in Column 3 of Schedule 1 to this notice for all water taken in excess of the quantity of water referred to in paragraph (a) above 500,000 kilolitres.</w:t>
      </w:r>
    </w:p>
    <w:p w14:paraId="2AABCBD2" w14:textId="77777777" w:rsidR="001503A0" w:rsidRPr="001503A0" w:rsidRDefault="001503A0" w:rsidP="00644E6A">
      <w:pPr>
        <w:spacing w:after="60"/>
        <w:ind w:left="426" w:hanging="284"/>
      </w:pPr>
      <w:r w:rsidRPr="001503A0">
        <w:t>2.</w:t>
      </w:r>
      <w:r w:rsidRPr="001503A0">
        <w:tab/>
        <w:t>Where a person who is authorised under Section 105 of the Act takes water from the River Murray Prescribed Watercourse that exceeds the amount authorised under the terms of that authorisation the penalty declared pursuant to Section 88(1)(e) is:</w:t>
      </w:r>
    </w:p>
    <w:p w14:paraId="1BB7085D" w14:textId="77777777" w:rsidR="001503A0" w:rsidRPr="001503A0" w:rsidRDefault="001503A0" w:rsidP="00644E6A">
      <w:pPr>
        <w:spacing w:after="60"/>
        <w:ind w:left="709" w:hanging="284"/>
      </w:pPr>
      <w:r w:rsidRPr="001503A0">
        <w:t>(a)</w:t>
      </w:r>
      <w:r w:rsidRPr="001503A0">
        <w:tab/>
        <w:t>the corresponding rate in Column 2 of Schedule 1 to this notice for all water taken in excess of the amount authorised by a notice under Section 105 of the Act, up to and including 500,000 kilolitres; and</w:t>
      </w:r>
    </w:p>
    <w:p w14:paraId="57C89FCA" w14:textId="77777777" w:rsidR="001503A0" w:rsidRPr="001503A0" w:rsidRDefault="001503A0" w:rsidP="00644E6A">
      <w:pPr>
        <w:spacing w:after="60"/>
        <w:ind w:left="709" w:hanging="284"/>
      </w:pPr>
      <w:r w:rsidRPr="001503A0">
        <w:t>(b)</w:t>
      </w:r>
      <w:r w:rsidRPr="001503A0">
        <w:tab/>
        <w:t>the corresponding rate in Column 3 of Schedule 1 to this notice for all water taken in excess of the quantity referred to in paragraph (a) above 500,000 kilolitres.</w:t>
      </w:r>
    </w:p>
    <w:p w14:paraId="46A6F794" w14:textId="77777777" w:rsidR="001503A0" w:rsidRPr="001503A0" w:rsidRDefault="001503A0" w:rsidP="001503A0">
      <w:pPr>
        <w:ind w:left="426" w:hanging="284"/>
      </w:pPr>
      <w:r w:rsidRPr="001503A0">
        <w:t>3.</w:t>
      </w:r>
      <w:r w:rsidRPr="001503A0">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0E74B186" w14:textId="77777777" w:rsidR="001503A0" w:rsidRPr="001503A0" w:rsidRDefault="001503A0" w:rsidP="001503A0">
      <w:pPr>
        <w:ind w:left="426" w:hanging="284"/>
        <w:rPr>
          <w:spacing w:val="-4"/>
        </w:rPr>
      </w:pPr>
      <w:r w:rsidRPr="001503A0">
        <w:t>4.</w:t>
      </w:r>
      <w:r w:rsidRPr="001503A0">
        <w:tab/>
      </w:r>
      <w:r w:rsidRPr="001503A0">
        <w:rPr>
          <w:spacing w:val="-4"/>
        </w:rPr>
        <w:t>Where a person takes water from the River Murray Prescribed Watercourse in excess of the amount authorised for use under Section 109 of the Act the penalty declared pursuant to Section 88(1)(f) is:</w:t>
      </w:r>
    </w:p>
    <w:p w14:paraId="2DCB2378" w14:textId="77777777" w:rsidR="001503A0" w:rsidRPr="001503A0" w:rsidRDefault="001503A0" w:rsidP="001503A0">
      <w:pPr>
        <w:ind w:left="709" w:hanging="284"/>
      </w:pPr>
      <w:r w:rsidRPr="001503A0">
        <w:t>(a)</w:t>
      </w:r>
      <w:r w:rsidRPr="001503A0">
        <w:tab/>
        <w:t xml:space="preserve">the corresponding rate in Column 2 of Schedule 1 to this notice for all water taken in excess of the amount authorised for use by a notice under Section 109 of the Act, up to and including 500,000 kilolitres; and </w:t>
      </w:r>
    </w:p>
    <w:p w14:paraId="651C7880" w14:textId="77777777" w:rsidR="001503A0" w:rsidRPr="001503A0" w:rsidRDefault="001503A0" w:rsidP="001503A0">
      <w:pPr>
        <w:ind w:left="709" w:hanging="284"/>
      </w:pPr>
      <w:r w:rsidRPr="001503A0">
        <w:t>(b)</w:t>
      </w:r>
      <w:r w:rsidRPr="001503A0">
        <w:tab/>
        <w:t>the corresponding rate in Column 3 of Schedule 1 to this notice for all water taken in excess of the quantity referred to in paragraph (a) above 500,000 kilolitres.</w:t>
      </w:r>
    </w:p>
    <w:p w14:paraId="1047B266" w14:textId="77777777" w:rsidR="001503A0" w:rsidRPr="001503A0" w:rsidRDefault="001503A0" w:rsidP="001503A0">
      <w:pPr>
        <w:ind w:left="426" w:hanging="284"/>
        <w:rPr>
          <w:spacing w:val="-2"/>
        </w:rPr>
      </w:pPr>
      <w:r w:rsidRPr="001503A0">
        <w:t>5.</w:t>
      </w:r>
      <w:r w:rsidRPr="001503A0">
        <w:tab/>
      </w:r>
      <w:r w:rsidRPr="001503A0">
        <w:rPr>
          <w:spacing w:val="-2"/>
        </w:rPr>
        <w:t>Where water is taken from the River Murray Prescribed Watercourse subject to a notice under Section 109 of the Act by a person who is not authorised to use the water the penalty declared under Section 88(1)(f) is the corresponding rate in Column 4 of Schedule 1 to this notice per kilolitre of water determined or assessed to have been taken in accordance with Section 79 of the Act.</w:t>
      </w:r>
    </w:p>
    <w:p w14:paraId="2993BC1D" w14:textId="77777777" w:rsidR="001503A0" w:rsidRPr="001503A0" w:rsidRDefault="001503A0" w:rsidP="001503A0">
      <w:pPr>
        <w:ind w:left="426" w:hanging="284"/>
      </w:pPr>
      <w:r w:rsidRPr="001503A0">
        <w:t>6.</w:t>
      </w:r>
      <w:r w:rsidRPr="001503A0">
        <w:tab/>
        <w:t>Where a person may be subject to more than one penalty under Section 88, the penalty that is the greater shall be imposed.</w:t>
      </w:r>
    </w:p>
    <w:p w14:paraId="453047F7" w14:textId="77777777" w:rsidR="00B25CB3" w:rsidRDefault="00B25CB3">
      <w:pPr>
        <w:spacing w:after="0" w:line="240" w:lineRule="auto"/>
        <w:jc w:val="left"/>
        <w:rPr>
          <w:smallCaps/>
          <w:szCs w:val="17"/>
        </w:rPr>
      </w:pPr>
      <w:r>
        <w:rPr>
          <w:smallCaps/>
          <w:szCs w:val="17"/>
        </w:rPr>
        <w:br w:type="page"/>
      </w:r>
    </w:p>
    <w:p w14:paraId="23A45BD6" w14:textId="3F94A950" w:rsidR="001503A0" w:rsidRPr="001503A0" w:rsidRDefault="001503A0" w:rsidP="001503A0">
      <w:pPr>
        <w:jc w:val="center"/>
        <w:rPr>
          <w:smallCaps/>
          <w:szCs w:val="17"/>
        </w:rPr>
      </w:pPr>
      <w:r w:rsidRPr="001503A0">
        <w:rPr>
          <w:smallCaps/>
          <w:szCs w:val="17"/>
        </w:rPr>
        <w:lastRenderedPageBreak/>
        <w:t>Schedule 1</w:t>
      </w:r>
    </w:p>
    <w:p w14:paraId="7363D62A" w14:textId="77777777" w:rsidR="001503A0" w:rsidRPr="001503A0" w:rsidRDefault="001503A0" w:rsidP="001503A0">
      <w:r w:rsidRPr="001503A0">
        <w:t>Penalties for overuse from the River Murray Prescribed Watercourse between 1 July 2025 and 30 September 2025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2268"/>
        <w:gridCol w:w="2192"/>
        <w:gridCol w:w="2338"/>
      </w:tblGrid>
      <w:tr w:rsidR="001503A0" w:rsidRPr="001503A0" w14:paraId="5113587D" w14:textId="77777777" w:rsidTr="00911011">
        <w:tc>
          <w:tcPr>
            <w:tcW w:w="2552" w:type="dxa"/>
            <w:tcBorders>
              <w:top w:val="single" w:sz="4" w:space="0" w:color="auto"/>
              <w:bottom w:val="single" w:sz="4" w:space="0" w:color="auto"/>
            </w:tcBorders>
            <w:vAlign w:val="center"/>
          </w:tcPr>
          <w:p w14:paraId="581BF6A7" w14:textId="77777777" w:rsidR="001503A0" w:rsidRPr="001503A0" w:rsidRDefault="001503A0" w:rsidP="001503A0">
            <w:pPr>
              <w:spacing w:before="40" w:after="40"/>
              <w:jc w:val="center"/>
              <w:rPr>
                <w:b/>
                <w:bCs/>
              </w:rPr>
            </w:pPr>
            <w:r w:rsidRPr="001503A0">
              <w:rPr>
                <w:b/>
                <w:bCs/>
              </w:rPr>
              <w:t>Column 1</w:t>
            </w:r>
          </w:p>
        </w:tc>
        <w:tc>
          <w:tcPr>
            <w:tcW w:w="2268" w:type="dxa"/>
            <w:tcBorders>
              <w:top w:val="single" w:sz="4" w:space="0" w:color="auto"/>
              <w:bottom w:val="single" w:sz="4" w:space="0" w:color="auto"/>
            </w:tcBorders>
            <w:vAlign w:val="center"/>
          </w:tcPr>
          <w:p w14:paraId="43D24600" w14:textId="77777777" w:rsidR="001503A0" w:rsidRPr="001503A0" w:rsidRDefault="001503A0" w:rsidP="001503A0">
            <w:pPr>
              <w:spacing w:before="40" w:after="40"/>
              <w:jc w:val="center"/>
              <w:rPr>
                <w:b/>
                <w:bCs/>
              </w:rPr>
            </w:pPr>
            <w:r w:rsidRPr="001503A0">
              <w:rPr>
                <w:b/>
                <w:bCs/>
              </w:rPr>
              <w:t>Column 2</w:t>
            </w:r>
          </w:p>
        </w:tc>
        <w:tc>
          <w:tcPr>
            <w:tcW w:w="2192" w:type="dxa"/>
            <w:tcBorders>
              <w:top w:val="single" w:sz="4" w:space="0" w:color="auto"/>
              <w:bottom w:val="single" w:sz="4" w:space="0" w:color="auto"/>
            </w:tcBorders>
            <w:vAlign w:val="center"/>
          </w:tcPr>
          <w:p w14:paraId="74D445F7" w14:textId="77777777" w:rsidR="001503A0" w:rsidRPr="001503A0" w:rsidRDefault="001503A0" w:rsidP="001503A0">
            <w:pPr>
              <w:spacing w:before="40" w:after="40"/>
              <w:jc w:val="center"/>
              <w:rPr>
                <w:b/>
                <w:bCs/>
              </w:rPr>
            </w:pPr>
            <w:r w:rsidRPr="001503A0">
              <w:rPr>
                <w:b/>
                <w:bCs/>
              </w:rPr>
              <w:t>Column 3</w:t>
            </w:r>
          </w:p>
        </w:tc>
        <w:tc>
          <w:tcPr>
            <w:tcW w:w="2338" w:type="dxa"/>
            <w:tcBorders>
              <w:top w:val="single" w:sz="4" w:space="0" w:color="auto"/>
              <w:bottom w:val="single" w:sz="4" w:space="0" w:color="auto"/>
            </w:tcBorders>
            <w:vAlign w:val="center"/>
          </w:tcPr>
          <w:p w14:paraId="0E8CF804" w14:textId="77777777" w:rsidR="001503A0" w:rsidRPr="001503A0" w:rsidRDefault="001503A0" w:rsidP="001503A0">
            <w:pPr>
              <w:spacing w:before="40" w:after="40"/>
              <w:jc w:val="center"/>
              <w:rPr>
                <w:b/>
                <w:bCs/>
              </w:rPr>
            </w:pPr>
            <w:r w:rsidRPr="001503A0">
              <w:rPr>
                <w:b/>
                <w:bCs/>
              </w:rPr>
              <w:t>Column 4</w:t>
            </w:r>
          </w:p>
        </w:tc>
      </w:tr>
      <w:tr w:rsidR="001503A0" w:rsidRPr="001503A0" w14:paraId="2E2A34C3" w14:textId="77777777" w:rsidTr="00911011">
        <w:tc>
          <w:tcPr>
            <w:tcW w:w="2552" w:type="dxa"/>
            <w:tcBorders>
              <w:top w:val="single" w:sz="4" w:space="0" w:color="auto"/>
              <w:bottom w:val="single" w:sz="4" w:space="0" w:color="auto"/>
            </w:tcBorders>
            <w:vAlign w:val="center"/>
          </w:tcPr>
          <w:p w14:paraId="6E36A599" w14:textId="77777777" w:rsidR="001503A0" w:rsidRPr="001503A0" w:rsidRDefault="001503A0" w:rsidP="001503A0">
            <w:pPr>
              <w:spacing w:before="40" w:after="40"/>
              <w:jc w:val="center"/>
              <w:rPr>
                <w:b/>
                <w:bCs/>
              </w:rPr>
            </w:pPr>
            <w:r w:rsidRPr="001503A0">
              <w:rPr>
                <w:b/>
                <w:bCs/>
              </w:rPr>
              <w:t>Accounting Period</w:t>
            </w:r>
          </w:p>
        </w:tc>
        <w:tc>
          <w:tcPr>
            <w:tcW w:w="2268" w:type="dxa"/>
            <w:tcBorders>
              <w:top w:val="single" w:sz="4" w:space="0" w:color="auto"/>
              <w:bottom w:val="single" w:sz="4" w:space="0" w:color="auto"/>
            </w:tcBorders>
            <w:vAlign w:val="center"/>
          </w:tcPr>
          <w:p w14:paraId="417BD7E4" w14:textId="77777777" w:rsidR="001503A0" w:rsidRPr="001503A0" w:rsidRDefault="001503A0" w:rsidP="001503A0">
            <w:pPr>
              <w:spacing w:before="40" w:after="40"/>
              <w:jc w:val="center"/>
              <w:rPr>
                <w:b/>
                <w:bCs/>
              </w:rPr>
            </w:pPr>
            <w:r w:rsidRPr="001503A0">
              <w:rPr>
                <w:b/>
                <w:bCs/>
              </w:rPr>
              <w:t>Penalty for overuse up to and including 500,000 kL (per kL)</w:t>
            </w:r>
          </w:p>
        </w:tc>
        <w:tc>
          <w:tcPr>
            <w:tcW w:w="2192" w:type="dxa"/>
            <w:tcBorders>
              <w:top w:val="single" w:sz="4" w:space="0" w:color="auto"/>
              <w:bottom w:val="single" w:sz="4" w:space="0" w:color="auto"/>
            </w:tcBorders>
            <w:vAlign w:val="center"/>
          </w:tcPr>
          <w:p w14:paraId="471622AA" w14:textId="77777777" w:rsidR="001503A0" w:rsidRPr="001503A0" w:rsidRDefault="001503A0" w:rsidP="001503A0">
            <w:pPr>
              <w:spacing w:before="40" w:after="40"/>
              <w:jc w:val="center"/>
              <w:rPr>
                <w:b/>
                <w:bCs/>
              </w:rPr>
            </w:pPr>
            <w:r w:rsidRPr="001503A0">
              <w:rPr>
                <w:b/>
                <w:bCs/>
              </w:rPr>
              <w:t>Penalty for overuse above 500,000 kL (per kL)</w:t>
            </w:r>
          </w:p>
        </w:tc>
        <w:tc>
          <w:tcPr>
            <w:tcW w:w="2338" w:type="dxa"/>
            <w:tcBorders>
              <w:top w:val="single" w:sz="4" w:space="0" w:color="auto"/>
              <w:bottom w:val="single" w:sz="4" w:space="0" w:color="auto"/>
            </w:tcBorders>
            <w:vAlign w:val="center"/>
          </w:tcPr>
          <w:p w14:paraId="373CAF9F" w14:textId="77777777" w:rsidR="001503A0" w:rsidRPr="001503A0" w:rsidRDefault="001503A0" w:rsidP="001503A0">
            <w:pPr>
              <w:spacing w:before="40" w:after="40"/>
              <w:jc w:val="center"/>
              <w:rPr>
                <w:b/>
                <w:bCs/>
              </w:rPr>
            </w:pPr>
            <w:r w:rsidRPr="001503A0">
              <w:rPr>
                <w:b/>
                <w:bCs/>
              </w:rPr>
              <w:t>Penalty for unlawful taking or use of water (per kL)</w:t>
            </w:r>
          </w:p>
        </w:tc>
      </w:tr>
      <w:tr w:rsidR="001503A0" w:rsidRPr="001503A0" w14:paraId="757F5019" w14:textId="77777777" w:rsidTr="00911011">
        <w:tc>
          <w:tcPr>
            <w:tcW w:w="2552" w:type="dxa"/>
            <w:tcBorders>
              <w:top w:val="single" w:sz="4" w:space="0" w:color="auto"/>
              <w:bottom w:val="single" w:sz="4" w:space="0" w:color="auto"/>
            </w:tcBorders>
          </w:tcPr>
          <w:p w14:paraId="2436FA0D" w14:textId="77777777" w:rsidR="001503A0" w:rsidRPr="001503A0" w:rsidRDefault="001503A0" w:rsidP="001503A0">
            <w:pPr>
              <w:spacing w:before="40"/>
              <w:jc w:val="left"/>
              <w:rPr>
                <w:spacing w:val="-2"/>
              </w:rPr>
            </w:pPr>
            <w:r w:rsidRPr="001503A0">
              <w:t>1 July 2025 to 30 September 2025</w:t>
            </w:r>
          </w:p>
        </w:tc>
        <w:tc>
          <w:tcPr>
            <w:tcW w:w="2268" w:type="dxa"/>
            <w:tcBorders>
              <w:top w:val="single" w:sz="4" w:space="0" w:color="auto"/>
              <w:bottom w:val="single" w:sz="4" w:space="0" w:color="auto"/>
            </w:tcBorders>
          </w:tcPr>
          <w:p w14:paraId="6C239D10" w14:textId="77777777" w:rsidR="001503A0" w:rsidRPr="001503A0" w:rsidRDefault="001503A0" w:rsidP="001503A0">
            <w:pPr>
              <w:spacing w:before="40"/>
              <w:jc w:val="center"/>
            </w:pPr>
            <w:r w:rsidRPr="001503A0">
              <w:t>$1.05</w:t>
            </w:r>
          </w:p>
        </w:tc>
        <w:tc>
          <w:tcPr>
            <w:tcW w:w="2192" w:type="dxa"/>
            <w:tcBorders>
              <w:top w:val="single" w:sz="4" w:space="0" w:color="auto"/>
              <w:bottom w:val="single" w:sz="4" w:space="0" w:color="auto"/>
            </w:tcBorders>
          </w:tcPr>
          <w:p w14:paraId="2D4D4E93" w14:textId="77777777" w:rsidR="001503A0" w:rsidRPr="001503A0" w:rsidRDefault="001503A0" w:rsidP="001503A0">
            <w:pPr>
              <w:spacing w:before="40"/>
              <w:jc w:val="center"/>
            </w:pPr>
            <w:r w:rsidRPr="001503A0">
              <w:t>$1.40</w:t>
            </w:r>
          </w:p>
        </w:tc>
        <w:tc>
          <w:tcPr>
            <w:tcW w:w="2338" w:type="dxa"/>
            <w:tcBorders>
              <w:top w:val="single" w:sz="4" w:space="0" w:color="auto"/>
              <w:bottom w:val="single" w:sz="4" w:space="0" w:color="auto"/>
            </w:tcBorders>
          </w:tcPr>
          <w:p w14:paraId="09CC1647" w14:textId="77777777" w:rsidR="001503A0" w:rsidRPr="001503A0" w:rsidRDefault="001503A0" w:rsidP="001503A0">
            <w:pPr>
              <w:spacing w:before="40"/>
              <w:jc w:val="center"/>
            </w:pPr>
            <w:r w:rsidRPr="001503A0">
              <w:t>$1.40</w:t>
            </w:r>
          </w:p>
        </w:tc>
      </w:tr>
    </w:tbl>
    <w:p w14:paraId="3030B2AA" w14:textId="77777777" w:rsidR="001503A0" w:rsidRPr="001503A0" w:rsidRDefault="001503A0" w:rsidP="001503A0">
      <w:pPr>
        <w:spacing w:before="80"/>
      </w:pPr>
      <w:r w:rsidRPr="001503A0">
        <w:t>Unit of measure kL is the abbreviation of kilolitre.</w:t>
      </w:r>
    </w:p>
    <w:p w14:paraId="5742E6AB" w14:textId="77777777" w:rsidR="001503A0" w:rsidRPr="001503A0" w:rsidRDefault="001503A0" w:rsidP="001503A0">
      <w:r w:rsidRPr="001503A0">
        <w:t>For the purposes of this notice:</w:t>
      </w:r>
    </w:p>
    <w:p w14:paraId="3C980FD4" w14:textId="77777777" w:rsidR="001503A0" w:rsidRPr="001503A0" w:rsidRDefault="001503A0" w:rsidP="001503A0">
      <w:pPr>
        <w:ind w:left="142"/>
      </w:pPr>
      <w:r w:rsidRPr="001503A0">
        <w:t xml:space="preserve">‘the River Murray Prescribed Watercourse’ means the watercourses and lakes declared to be the River Murray Proclaimed Watercourse by proclamation under Section 25 of the </w:t>
      </w:r>
      <w:r w:rsidRPr="001503A0">
        <w:rPr>
          <w:i/>
          <w:iCs/>
        </w:rPr>
        <w:t>Water Resources Act 1976</w:t>
      </w:r>
      <w:r w:rsidRPr="001503A0">
        <w:t xml:space="preserve"> (see Gazette 10 August 1978, p. 467)</w:t>
      </w:r>
    </w:p>
    <w:p w14:paraId="30A40C76" w14:textId="77777777" w:rsidR="001503A0" w:rsidRPr="001503A0" w:rsidRDefault="001503A0" w:rsidP="001503A0">
      <w:pPr>
        <w:ind w:left="142"/>
      </w:pPr>
      <w:r w:rsidRPr="001503A0">
        <w:t>‘accounting period’ means the period determined by the Minister from time to time by notice in the Gazette (with the period not necessarily being the same period as the accounting period under Division 2).</w:t>
      </w:r>
    </w:p>
    <w:p w14:paraId="207ED98B" w14:textId="77777777" w:rsidR="001503A0" w:rsidRPr="001503A0" w:rsidRDefault="001503A0" w:rsidP="001503A0">
      <w:pPr>
        <w:ind w:left="142"/>
      </w:pPr>
      <w:r w:rsidRPr="001503A0">
        <w:t>‘consumption period’ in relation to an accounting period means a period of approximately the same length as the accounting period that commences or terminates during the accounting period and during which water is taken or used.</w:t>
      </w:r>
    </w:p>
    <w:p w14:paraId="3D6C78B2" w14:textId="77777777" w:rsidR="001503A0" w:rsidRPr="001503A0" w:rsidRDefault="001503A0" w:rsidP="001503A0">
      <w:r w:rsidRPr="001503A0">
        <w:t>Words used in this notice that are defined in the Act shall have the meanings as set out in the Act.</w:t>
      </w:r>
    </w:p>
    <w:p w14:paraId="055F1E48" w14:textId="77777777" w:rsidR="001503A0" w:rsidRPr="001503A0" w:rsidRDefault="001503A0" w:rsidP="001503A0">
      <w:pPr>
        <w:spacing w:after="0"/>
        <w:rPr>
          <w:rFonts w:eastAsia="Times New Roman"/>
          <w:szCs w:val="17"/>
        </w:rPr>
      </w:pPr>
      <w:r w:rsidRPr="001503A0">
        <w:rPr>
          <w:rFonts w:eastAsia="Times New Roman"/>
          <w:szCs w:val="17"/>
        </w:rPr>
        <w:t>Dated: 8 August 2025</w:t>
      </w:r>
    </w:p>
    <w:p w14:paraId="2D196CED" w14:textId="77777777" w:rsidR="001503A0" w:rsidRPr="001503A0" w:rsidRDefault="001503A0" w:rsidP="001503A0">
      <w:pPr>
        <w:spacing w:after="0"/>
        <w:jc w:val="right"/>
        <w:rPr>
          <w:rFonts w:eastAsia="Times New Roman"/>
          <w:smallCaps/>
          <w:szCs w:val="20"/>
        </w:rPr>
      </w:pPr>
      <w:r w:rsidRPr="001503A0">
        <w:rPr>
          <w:rFonts w:eastAsia="Times New Roman"/>
          <w:smallCaps/>
          <w:szCs w:val="20"/>
        </w:rPr>
        <w:t>Sue Hutchings</w:t>
      </w:r>
    </w:p>
    <w:p w14:paraId="43747F7D" w14:textId="77777777" w:rsidR="001503A0" w:rsidRPr="001503A0" w:rsidRDefault="001503A0" w:rsidP="001503A0">
      <w:pPr>
        <w:spacing w:after="0"/>
        <w:jc w:val="right"/>
        <w:rPr>
          <w:rFonts w:eastAsia="Times New Roman"/>
          <w:szCs w:val="17"/>
        </w:rPr>
      </w:pPr>
      <w:r w:rsidRPr="001503A0">
        <w:rPr>
          <w:rFonts w:eastAsia="Times New Roman"/>
          <w:szCs w:val="17"/>
        </w:rPr>
        <w:t>Executive Director, Water and River Murray</w:t>
      </w:r>
    </w:p>
    <w:p w14:paraId="674BAB82" w14:textId="77777777" w:rsidR="001503A0" w:rsidRPr="001503A0" w:rsidRDefault="001503A0" w:rsidP="001503A0">
      <w:pPr>
        <w:spacing w:after="0"/>
        <w:jc w:val="right"/>
        <w:rPr>
          <w:rFonts w:eastAsia="Times New Roman"/>
          <w:szCs w:val="17"/>
        </w:rPr>
      </w:pPr>
      <w:r w:rsidRPr="001503A0">
        <w:rPr>
          <w:rFonts w:eastAsia="Times New Roman"/>
          <w:szCs w:val="17"/>
        </w:rPr>
        <w:t>Department for Environment and Water</w:t>
      </w:r>
    </w:p>
    <w:p w14:paraId="5CFF96E8" w14:textId="77777777" w:rsidR="001503A0" w:rsidRDefault="001503A0" w:rsidP="001503A0">
      <w:pPr>
        <w:spacing w:after="0"/>
        <w:jc w:val="right"/>
        <w:rPr>
          <w:rFonts w:eastAsia="Times New Roman"/>
          <w:szCs w:val="17"/>
        </w:rPr>
      </w:pPr>
      <w:r w:rsidRPr="001503A0">
        <w:rPr>
          <w:rFonts w:eastAsia="Times New Roman"/>
          <w:szCs w:val="17"/>
        </w:rPr>
        <w:t>Delegate of the Minister for Climate, Environment and Water</w:t>
      </w:r>
    </w:p>
    <w:p w14:paraId="49ABA475" w14:textId="77777777" w:rsidR="001503A0" w:rsidRDefault="001503A0" w:rsidP="001503A0">
      <w:pPr>
        <w:pBdr>
          <w:bottom w:val="single" w:sz="4" w:space="1" w:color="auto"/>
        </w:pBdr>
        <w:spacing w:after="0" w:line="52" w:lineRule="exact"/>
        <w:jc w:val="center"/>
        <w:rPr>
          <w:rFonts w:eastAsia="Times New Roman"/>
          <w:szCs w:val="17"/>
        </w:rPr>
      </w:pPr>
    </w:p>
    <w:p w14:paraId="65396C1C" w14:textId="77777777" w:rsidR="001503A0" w:rsidRDefault="001503A0" w:rsidP="001503A0">
      <w:pPr>
        <w:pBdr>
          <w:top w:val="single" w:sz="4" w:space="1" w:color="auto"/>
        </w:pBdr>
        <w:spacing w:before="34" w:after="0" w:line="14" w:lineRule="exact"/>
        <w:jc w:val="center"/>
        <w:rPr>
          <w:rFonts w:eastAsia="Times New Roman"/>
          <w:szCs w:val="17"/>
        </w:rPr>
      </w:pPr>
    </w:p>
    <w:p w14:paraId="6F4219EF" w14:textId="77777777" w:rsidR="001503A0" w:rsidRDefault="001503A0" w:rsidP="00B25CB3">
      <w:pPr>
        <w:pStyle w:val="NoSpacing"/>
      </w:pPr>
    </w:p>
    <w:p w14:paraId="217970DA" w14:textId="05B66E10" w:rsidR="005168CE" w:rsidRDefault="00DA4D46" w:rsidP="00E34B09">
      <w:pPr>
        <w:pStyle w:val="Heading2"/>
      </w:pPr>
      <w:bookmarkStart w:id="510" w:name="_Toc206061767"/>
      <w:r>
        <w:t>Mental Health Act 2009</w:t>
      </w:r>
      <w:bookmarkEnd w:id="510"/>
    </w:p>
    <w:p w14:paraId="4AEB2573" w14:textId="77777777" w:rsidR="005168CE" w:rsidRDefault="005168CE" w:rsidP="005168CE">
      <w:pPr>
        <w:pStyle w:val="GG-Title3"/>
      </w:pPr>
      <w:r>
        <w:t>Authorised Medical Practitioner</w:t>
      </w:r>
    </w:p>
    <w:p w14:paraId="3A0886D8" w14:textId="77777777" w:rsidR="005168CE" w:rsidRPr="00D575B0" w:rsidRDefault="005168CE" w:rsidP="005168CE">
      <w:pPr>
        <w:pStyle w:val="GG-body"/>
        <w:rPr>
          <w:spacing w:val="-2"/>
        </w:rPr>
      </w:pPr>
      <w:r w:rsidRPr="00D575B0">
        <w:rPr>
          <w:spacing w:val="-2"/>
        </w:rPr>
        <w:t xml:space="preserve">Notice is hereby given in accordance with Section 93(1) of the </w:t>
      </w:r>
      <w:r w:rsidRPr="00D575B0">
        <w:rPr>
          <w:i/>
          <w:iCs/>
          <w:spacing w:val="-2"/>
        </w:rPr>
        <w:t>Mental Health Act 2009</w:t>
      </w:r>
      <w:r w:rsidRPr="00D575B0">
        <w:rPr>
          <w:spacing w:val="-2"/>
        </w:rPr>
        <w:t xml:space="preserve"> that the Chief Psychiatrist has determined the following person as an Authorised Medical Practitioner:</w:t>
      </w:r>
    </w:p>
    <w:p w14:paraId="7429CCAE" w14:textId="77777777" w:rsidR="005168CE" w:rsidRDefault="005168CE" w:rsidP="005168CE">
      <w:pPr>
        <w:pStyle w:val="GG-body"/>
        <w:ind w:left="142"/>
      </w:pPr>
      <w:r>
        <w:t>Wei Lam Winifred Woo</w:t>
      </w:r>
    </w:p>
    <w:p w14:paraId="029E229B" w14:textId="77777777" w:rsidR="005168CE" w:rsidRPr="003C1C03" w:rsidRDefault="005168CE" w:rsidP="005168CE">
      <w:pPr>
        <w:pStyle w:val="GG-body"/>
        <w:rPr>
          <w:spacing w:val="-2"/>
        </w:rPr>
      </w:pPr>
      <w:r w:rsidRPr="003C1C03">
        <w:rPr>
          <w:spacing w:val="-2"/>
        </w:rPr>
        <w:t>A determination will be automatically revoked upon the person being registered as a specialist psychiatrist with the Australian Health Practitioner Regulation Agency and as a fellow of the Royal Australian and New Zealand College of Psychiatrists.</w:t>
      </w:r>
    </w:p>
    <w:p w14:paraId="07A23D4C" w14:textId="77777777" w:rsidR="005168CE" w:rsidRDefault="005168CE" w:rsidP="005168CE">
      <w:pPr>
        <w:pStyle w:val="GG-body"/>
      </w:pPr>
      <w:r>
        <w:t>The Chief Psychiatrist may vary or revoke this determination at any time.</w:t>
      </w:r>
    </w:p>
    <w:p w14:paraId="76164DCC" w14:textId="77777777" w:rsidR="005168CE" w:rsidRDefault="005168CE" w:rsidP="005168CE">
      <w:pPr>
        <w:pStyle w:val="GG-SDated"/>
      </w:pPr>
      <w:r>
        <w:t>Dated: 14 August 2025</w:t>
      </w:r>
    </w:p>
    <w:p w14:paraId="50B37CFE" w14:textId="77777777" w:rsidR="005168CE" w:rsidRDefault="005168CE" w:rsidP="005168CE">
      <w:pPr>
        <w:pStyle w:val="GG-SName"/>
      </w:pPr>
      <w:r>
        <w:t>Dr John Brayley</w:t>
      </w:r>
    </w:p>
    <w:p w14:paraId="10CEEA94" w14:textId="77777777" w:rsidR="005168CE" w:rsidRDefault="005168CE" w:rsidP="005168CE">
      <w:pPr>
        <w:pStyle w:val="GG-Signature"/>
      </w:pPr>
      <w:r>
        <w:t>Chief Psychiatrist</w:t>
      </w:r>
    </w:p>
    <w:p w14:paraId="796FBF0E" w14:textId="77777777" w:rsidR="005168CE" w:rsidRDefault="005168CE" w:rsidP="005168CE">
      <w:pPr>
        <w:pStyle w:val="GG-Signature"/>
        <w:pBdr>
          <w:bottom w:val="single" w:sz="4" w:space="1" w:color="auto"/>
        </w:pBdr>
        <w:spacing w:line="52" w:lineRule="exact"/>
        <w:jc w:val="center"/>
      </w:pPr>
    </w:p>
    <w:p w14:paraId="084066AB" w14:textId="77777777" w:rsidR="005168CE" w:rsidRDefault="005168CE" w:rsidP="005168CE">
      <w:pPr>
        <w:pStyle w:val="GG-Signature"/>
        <w:pBdr>
          <w:top w:val="single" w:sz="4" w:space="1" w:color="auto"/>
        </w:pBdr>
        <w:spacing w:before="34" w:line="14" w:lineRule="exact"/>
        <w:jc w:val="center"/>
      </w:pPr>
    </w:p>
    <w:p w14:paraId="45C4B8D6" w14:textId="77777777" w:rsidR="005168CE" w:rsidRDefault="005168CE" w:rsidP="005168C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96579A2" w14:textId="6BF2CD96" w:rsidR="00B221A2" w:rsidRDefault="00DA4D46" w:rsidP="00E34B09">
      <w:pPr>
        <w:pStyle w:val="Heading2"/>
      </w:pPr>
      <w:bookmarkStart w:id="511" w:name="_Toc206061768"/>
      <w:r>
        <w:t>Mining Act 1971</w:t>
      </w:r>
      <w:bookmarkEnd w:id="511"/>
    </w:p>
    <w:p w14:paraId="74F8183C" w14:textId="77777777" w:rsidR="00B221A2" w:rsidRPr="00E25E91" w:rsidRDefault="00B221A2" w:rsidP="00B221A2">
      <w:pPr>
        <w:pStyle w:val="GG-Title3"/>
      </w:pPr>
      <w:r>
        <w:t>Application for a Change in Operations</w:t>
      </w:r>
    </w:p>
    <w:p w14:paraId="6CC6B493" w14:textId="77777777" w:rsidR="00B221A2" w:rsidRPr="005D4E03" w:rsidRDefault="00B221A2" w:rsidP="00B221A2">
      <w:pPr>
        <w:pStyle w:val="GG-body"/>
        <w:rPr>
          <w:spacing w:val="-4"/>
        </w:rPr>
      </w:pPr>
      <w:r w:rsidRPr="005D4E03">
        <w:rPr>
          <w:spacing w:val="-4"/>
        </w:rPr>
        <w:t xml:space="preserve">Notice is hereby given in accordance with Section 56H of the </w:t>
      </w:r>
      <w:r w:rsidRPr="005D4E03">
        <w:rPr>
          <w:i/>
          <w:iCs/>
          <w:spacing w:val="-4"/>
        </w:rPr>
        <w:t>Mining Act 1971</w:t>
      </w:r>
      <w:r w:rsidRPr="005D4E03">
        <w:rPr>
          <w:spacing w:val="-4"/>
        </w:rPr>
        <w:t>, that an application for a change in operations of the undermentioned mineral tenement(s) has been received:</w:t>
      </w:r>
    </w:p>
    <w:p w14:paraId="1E0A5222" w14:textId="77777777" w:rsidR="00B221A2" w:rsidRDefault="00B221A2" w:rsidP="00B221A2">
      <w:pPr>
        <w:pStyle w:val="GG-body"/>
        <w:ind w:left="1560" w:hanging="1418"/>
      </w:pPr>
      <w:r>
        <w:t>Applicant:</w:t>
      </w:r>
      <w:r>
        <w:tab/>
        <w:t>G.W Piggott and W.T Piggott</w:t>
      </w:r>
    </w:p>
    <w:p w14:paraId="0CFD9708" w14:textId="77777777" w:rsidR="00B221A2" w:rsidRDefault="00B221A2" w:rsidP="00B221A2">
      <w:pPr>
        <w:pStyle w:val="GG-body"/>
        <w:ind w:left="1560" w:hanging="1418"/>
      </w:pPr>
      <w:r>
        <w:t xml:space="preserve">Operation </w:t>
      </w:r>
      <w:r>
        <w:tab/>
        <w:t>MO6230.017</w:t>
      </w:r>
    </w:p>
    <w:p w14:paraId="7797B59D" w14:textId="77777777" w:rsidR="00B221A2" w:rsidRDefault="00B221A2" w:rsidP="00B221A2">
      <w:pPr>
        <w:pStyle w:val="GG-body"/>
        <w:ind w:left="1560" w:hanging="1418"/>
      </w:pPr>
      <w:r>
        <w:t>Mining Lease:</w:t>
      </w:r>
      <w:r>
        <w:tab/>
        <w:t>6526</w:t>
      </w:r>
    </w:p>
    <w:p w14:paraId="121F5295" w14:textId="77777777" w:rsidR="00B221A2" w:rsidRDefault="00B221A2" w:rsidP="00B221A2">
      <w:pPr>
        <w:pStyle w:val="GG-body"/>
        <w:ind w:left="1560" w:hanging="1418"/>
      </w:pPr>
      <w:r>
        <w:t xml:space="preserve">Area: </w:t>
      </w:r>
      <w:r>
        <w:tab/>
        <w:t>4.7 hectares approximately</w:t>
      </w:r>
    </w:p>
    <w:p w14:paraId="56AFCC0F" w14:textId="77777777" w:rsidR="00B221A2" w:rsidRDefault="00B221A2" w:rsidP="00B221A2">
      <w:pPr>
        <w:pStyle w:val="GG-body"/>
        <w:ind w:left="1560" w:hanging="1418"/>
      </w:pPr>
      <w:r>
        <w:t>Location:</w:t>
      </w:r>
      <w:r>
        <w:tab/>
        <w:t>CT5159/20, Miltalie area, approximately 12km northwest of Cowell</w:t>
      </w:r>
    </w:p>
    <w:p w14:paraId="3134428D" w14:textId="77777777" w:rsidR="00B221A2" w:rsidRDefault="00B221A2" w:rsidP="00B221A2">
      <w:pPr>
        <w:pStyle w:val="GG-body"/>
        <w:ind w:left="1560" w:hanging="1418"/>
      </w:pPr>
      <w:r>
        <w:t xml:space="preserve">Purpose: </w:t>
      </w:r>
      <w:r>
        <w:tab/>
        <w:t>Change in Operations</w:t>
      </w:r>
    </w:p>
    <w:p w14:paraId="3CE9F2AA" w14:textId="77777777" w:rsidR="00B221A2" w:rsidRDefault="00B221A2" w:rsidP="00B221A2">
      <w:pPr>
        <w:pStyle w:val="GG-body"/>
        <w:ind w:left="1560" w:hanging="1418"/>
      </w:pPr>
      <w:r>
        <w:t>Reference:</w:t>
      </w:r>
      <w:r>
        <w:tab/>
        <w:t>2020/000294</w:t>
      </w:r>
    </w:p>
    <w:p w14:paraId="760F3C9F" w14:textId="77777777" w:rsidR="00B221A2" w:rsidRDefault="00B221A2" w:rsidP="00B221A2">
      <w:pPr>
        <w:pStyle w:val="GG-body"/>
      </w:pPr>
      <w:r>
        <w:t>To arrange an inspection of the proposal at the Department for Energy and Mining, please call the Department on (08) 8463 3103.</w:t>
      </w:r>
    </w:p>
    <w:p w14:paraId="419589EF" w14:textId="694E4436" w:rsidR="00B221A2" w:rsidRDefault="00B221A2" w:rsidP="00B221A2">
      <w:pPr>
        <w:pStyle w:val="GG-body"/>
      </w:pPr>
      <w:r>
        <w:t xml:space="preserve">An electronic copy of the proposal can be found on the Department for Energy and Mining website: </w:t>
      </w:r>
    </w:p>
    <w:p w14:paraId="20D97E80" w14:textId="77777777" w:rsidR="00B221A2" w:rsidRDefault="00B221A2" w:rsidP="00B221A2">
      <w:pPr>
        <w:pStyle w:val="GG-body"/>
        <w:ind w:left="142"/>
      </w:pPr>
      <w:hyperlink r:id="rId288" w:history="1">
        <w:r w:rsidRPr="00D16601">
          <w:rPr>
            <w:rStyle w:val="Hyperlink"/>
          </w:rPr>
          <w:t>https://www.energymining.sa.gov.au/industry/minerals-and-mining/mining/community-engagement-opportunities</w:t>
        </w:r>
      </w:hyperlink>
    </w:p>
    <w:p w14:paraId="52D6C4D3" w14:textId="77777777" w:rsidR="00B221A2" w:rsidRPr="00046668" w:rsidRDefault="00B221A2" w:rsidP="00B221A2">
      <w:pPr>
        <w:pStyle w:val="GG-body"/>
        <w:rPr>
          <w:spacing w:val="-2"/>
        </w:rPr>
      </w:pPr>
      <w:r w:rsidRPr="00D16601">
        <w:rPr>
          <w:spacing w:val="-2"/>
        </w:rPr>
        <w:t>Written submissions in relation to this application are invited to be received at the Department for Energy and Mining, Mining Regulation, Attn: Business Support Officer, GPO Box 618</w:t>
      </w:r>
      <w:r>
        <w:rPr>
          <w:spacing w:val="-2"/>
        </w:rPr>
        <w:t>,</w:t>
      </w:r>
      <w:r w:rsidRPr="00D16601">
        <w:rPr>
          <w:spacing w:val="-2"/>
        </w:rPr>
        <w:t xml:space="preserve"> Adelaide SA 5001 or </w:t>
      </w:r>
      <w:hyperlink r:id="rId289" w:history="1">
        <w:r w:rsidRPr="00D16601">
          <w:rPr>
            <w:rStyle w:val="Hyperlink"/>
            <w:spacing w:val="-2"/>
          </w:rPr>
          <w:t>dem.miningregrehab@sa.gov.au</w:t>
        </w:r>
      </w:hyperlink>
      <w:r w:rsidRPr="00D16601">
        <w:rPr>
          <w:spacing w:val="-2"/>
        </w:rPr>
        <w:t xml:space="preserve"> by no later than </w:t>
      </w:r>
      <w:r w:rsidRPr="00D16601">
        <w:rPr>
          <w:b/>
          <w:bCs/>
          <w:spacing w:val="-2"/>
        </w:rPr>
        <w:t>11 September 2025.</w:t>
      </w:r>
    </w:p>
    <w:p w14:paraId="1449A1B4" w14:textId="77777777" w:rsidR="00B221A2" w:rsidRDefault="00B221A2" w:rsidP="00B221A2">
      <w:pPr>
        <w:pStyle w:val="GG-body"/>
      </w:pPr>
      <w:r>
        <w:t xml:space="preserve">The delegate of the Minister for Energy and Mining is required to have regard to these submissions in determining whether to grant or refuse the application and, if granted, if there is a requirement to add, vary or revoke a term or condition of the relevant mineral tenement(s) under Section 56U of the </w:t>
      </w:r>
      <w:r w:rsidRPr="00046668">
        <w:rPr>
          <w:i/>
          <w:iCs/>
        </w:rPr>
        <w:t>Mining Act 1971</w:t>
      </w:r>
      <w:r>
        <w:t>.</w:t>
      </w:r>
    </w:p>
    <w:p w14:paraId="67CD4211" w14:textId="77777777" w:rsidR="00B221A2" w:rsidRDefault="00B221A2" w:rsidP="00B221A2">
      <w:pPr>
        <w:pStyle w:val="GG-body"/>
      </w:pPr>
      <w:r>
        <w:t>When you make a written submission, that submission becomes a public record. Your submission will be provided to the applicant and may be made available for public inspection.</w:t>
      </w:r>
    </w:p>
    <w:p w14:paraId="486C718C" w14:textId="77777777" w:rsidR="00B221A2" w:rsidRDefault="00B221A2" w:rsidP="00B221A2">
      <w:pPr>
        <w:pStyle w:val="GG-SDated"/>
      </w:pPr>
      <w:r>
        <w:t>Dated: 14 August 2025</w:t>
      </w:r>
    </w:p>
    <w:p w14:paraId="034CECDE" w14:textId="77777777" w:rsidR="00B221A2" w:rsidRDefault="00B221A2" w:rsidP="00B221A2">
      <w:pPr>
        <w:pStyle w:val="GG-SName"/>
      </w:pPr>
      <w:r>
        <w:t>C. Andrews</w:t>
      </w:r>
    </w:p>
    <w:p w14:paraId="3927AE6E" w14:textId="77777777" w:rsidR="00B221A2" w:rsidRDefault="00B221A2" w:rsidP="00B221A2">
      <w:pPr>
        <w:pStyle w:val="GG-Signature"/>
      </w:pPr>
      <w:r>
        <w:t>Mining Registrar</w:t>
      </w:r>
    </w:p>
    <w:p w14:paraId="425B8B21" w14:textId="77777777" w:rsidR="00B221A2" w:rsidRDefault="00B221A2" w:rsidP="00B221A2">
      <w:pPr>
        <w:pStyle w:val="GG-Signature"/>
      </w:pPr>
      <w:r>
        <w:t>Delegate for the Minister for Energy and Mining</w:t>
      </w:r>
    </w:p>
    <w:p w14:paraId="62EDC5D8" w14:textId="25E6E091" w:rsidR="00B221A2" w:rsidRDefault="00B221A2" w:rsidP="000754F5">
      <w:pPr>
        <w:pStyle w:val="GG-Signature"/>
      </w:pPr>
      <w:r>
        <w:t>Department for Energy and Mining</w:t>
      </w:r>
    </w:p>
    <w:p w14:paraId="6E1A7FF3" w14:textId="77777777" w:rsidR="000754F5" w:rsidRDefault="000754F5" w:rsidP="000754F5">
      <w:pPr>
        <w:pStyle w:val="GG-Signature"/>
        <w:pBdr>
          <w:top w:val="single" w:sz="4" w:space="1" w:color="auto"/>
        </w:pBdr>
        <w:spacing w:before="100" w:line="14" w:lineRule="exact"/>
        <w:jc w:val="center"/>
      </w:pPr>
    </w:p>
    <w:p w14:paraId="14EC7E9B" w14:textId="77777777" w:rsidR="000754F5" w:rsidRDefault="000754F5" w:rsidP="000754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429F5E7" w14:textId="77777777" w:rsidR="00DA27B6" w:rsidRPr="00DA27B6" w:rsidRDefault="00DA27B6" w:rsidP="00DA27B6">
      <w:pPr>
        <w:jc w:val="center"/>
        <w:rPr>
          <w:caps/>
          <w:szCs w:val="17"/>
        </w:rPr>
      </w:pPr>
      <w:r w:rsidRPr="00DA27B6">
        <w:rPr>
          <w:caps/>
          <w:szCs w:val="17"/>
        </w:rPr>
        <w:lastRenderedPageBreak/>
        <w:t>MINING ACT 1971</w:t>
      </w:r>
    </w:p>
    <w:p w14:paraId="68CB75D5" w14:textId="77777777" w:rsidR="00DA27B6" w:rsidRPr="00DA27B6" w:rsidRDefault="00DA27B6" w:rsidP="00DA27B6">
      <w:pPr>
        <w:jc w:val="center"/>
        <w:rPr>
          <w:i/>
          <w:szCs w:val="17"/>
        </w:rPr>
      </w:pPr>
      <w:r w:rsidRPr="00DA27B6">
        <w:rPr>
          <w:i/>
          <w:szCs w:val="17"/>
        </w:rPr>
        <w:t>Application for a Mining Lease</w:t>
      </w:r>
    </w:p>
    <w:p w14:paraId="60746131" w14:textId="77777777" w:rsidR="00DA27B6" w:rsidRPr="00DA27B6" w:rsidRDefault="00DA27B6" w:rsidP="00DA27B6">
      <w:r w:rsidRPr="00DA27B6">
        <w:t xml:space="preserve">Notice is hereby given in accordance with Section 56H of the </w:t>
      </w:r>
      <w:r w:rsidRPr="00DA27B6">
        <w:rPr>
          <w:i/>
          <w:iCs/>
        </w:rPr>
        <w:t>Mining Act 1971</w:t>
      </w:r>
      <w:r w:rsidRPr="00DA27B6">
        <w:t>, that an application for a Mining Lease over the undermentioned mineral claim has been received:</w:t>
      </w:r>
    </w:p>
    <w:p w14:paraId="6BC17575" w14:textId="77777777" w:rsidR="00DA27B6" w:rsidRPr="00DA27B6" w:rsidRDefault="00DA27B6" w:rsidP="00DA27B6">
      <w:pPr>
        <w:ind w:left="1560" w:hanging="1418"/>
      </w:pPr>
      <w:r w:rsidRPr="00DA27B6">
        <w:t>Applicant:</w:t>
      </w:r>
      <w:r w:rsidRPr="00DA27B6">
        <w:tab/>
        <w:t>K.D. &amp; H.M. Gericke Proprietary Limited (ACN 007 688 146)</w:t>
      </w:r>
    </w:p>
    <w:p w14:paraId="77C3EF7A" w14:textId="77777777" w:rsidR="00DA27B6" w:rsidRPr="00DA27B6" w:rsidRDefault="00DA27B6" w:rsidP="00DA27B6">
      <w:pPr>
        <w:ind w:left="1560" w:hanging="1418"/>
      </w:pPr>
      <w:r w:rsidRPr="00DA27B6">
        <w:t>Claim Number:</w:t>
      </w:r>
      <w:r w:rsidRPr="00DA27B6">
        <w:tab/>
        <w:t>4575</w:t>
      </w:r>
    </w:p>
    <w:p w14:paraId="32C723C4" w14:textId="77777777" w:rsidR="00DA27B6" w:rsidRPr="00DA27B6" w:rsidRDefault="00DA27B6" w:rsidP="00DA27B6">
      <w:pPr>
        <w:ind w:left="1560" w:hanging="1418"/>
      </w:pPr>
      <w:r w:rsidRPr="00DA27B6">
        <w:t>Location:</w:t>
      </w:r>
      <w:r w:rsidRPr="00DA27B6">
        <w:tab/>
        <w:t>CT6141/622, Coombe area, approximately 9km northwest of Keith.</w:t>
      </w:r>
    </w:p>
    <w:p w14:paraId="1CB3E734" w14:textId="77777777" w:rsidR="00DA27B6" w:rsidRPr="00DA27B6" w:rsidRDefault="00DA27B6" w:rsidP="00DA27B6">
      <w:pPr>
        <w:ind w:left="1560" w:hanging="1418"/>
      </w:pPr>
      <w:r w:rsidRPr="00DA27B6">
        <w:t>Area:</w:t>
      </w:r>
      <w:r w:rsidRPr="00DA27B6">
        <w:tab/>
        <w:t>17.75 hectares approximately</w:t>
      </w:r>
    </w:p>
    <w:p w14:paraId="3CB976EE" w14:textId="77777777" w:rsidR="00DA27B6" w:rsidRPr="00DA27B6" w:rsidRDefault="00DA27B6" w:rsidP="00DA27B6">
      <w:pPr>
        <w:ind w:left="1560" w:hanging="1418"/>
      </w:pPr>
      <w:r w:rsidRPr="00DA27B6">
        <w:t xml:space="preserve">Purpose: </w:t>
      </w:r>
      <w:r w:rsidRPr="00DA27B6">
        <w:tab/>
        <w:t>Extractive Minerals (Limestone)</w:t>
      </w:r>
    </w:p>
    <w:p w14:paraId="3214556A" w14:textId="77777777" w:rsidR="00DA27B6" w:rsidRPr="00DA27B6" w:rsidRDefault="00DA27B6" w:rsidP="00DA27B6">
      <w:pPr>
        <w:ind w:left="1560" w:hanging="1418"/>
      </w:pPr>
      <w:r w:rsidRPr="00DA27B6">
        <w:t>Reference:</w:t>
      </w:r>
      <w:r w:rsidRPr="00DA27B6">
        <w:tab/>
        <w:t>2024/000083</w:t>
      </w:r>
    </w:p>
    <w:p w14:paraId="511D8BE3" w14:textId="77777777" w:rsidR="00DA27B6" w:rsidRPr="00DA27B6" w:rsidRDefault="00DA27B6" w:rsidP="00DA27B6">
      <w:r w:rsidRPr="00DA27B6">
        <w:t>To arrange an inspection of the proposal at the Department for Energy and Mining, please call the Department on (08) 8463 3103.</w:t>
      </w:r>
    </w:p>
    <w:p w14:paraId="758C6F22" w14:textId="77777777" w:rsidR="00DA27B6" w:rsidRPr="00DA27B6" w:rsidRDefault="00DA27B6" w:rsidP="00DA27B6">
      <w:r w:rsidRPr="00DA27B6">
        <w:t>An electronic copy of the proposal can be found on the Department for Energy and Mining website:</w:t>
      </w:r>
    </w:p>
    <w:p w14:paraId="27906C3B" w14:textId="77777777" w:rsidR="00DA27B6" w:rsidRPr="00DA27B6" w:rsidRDefault="00DA27B6" w:rsidP="00DA27B6">
      <w:pPr>
        <w:ind w:left="142"/>
      </w:pPr>
      <w:hyperlink r:id="rId290" w:history="1">
        <w:r w:rsidRPr="00DA27B6">
          <w:rPr>
            <w:color w:val="0000FF"/>
            <w:u w:val="single"/>
          </w:rPr>
          <w:t>https://www.energymining.sa.gov.au/industry/minerals-and-mining/mining/community-engagement-opportunities</w:t>
        </w:r>
      </w:hyperlink>
    </w:p>
    <w:p w14:paraId="6A94D717" w14:textId="77777777" w:rsidR="00DA27B6" w:rsidRPr="00DA27B6" w:rsidRDefault="00DA27B6" w:rsidP="00DA27B6">
      <w:r w:rsidRPr="00DA27B6">
        <w:t xml:space="preserve">Written submissions in relation to this application are invited to be received at the Department for Energy and Mining, Mining Regulation, Attn: Business Support Officer, GPO Box 618, Adelaide SA 5001 or </w:t>
      </w:r>
      <w:hyperlink r:id="rId291" w:history="1">
        <w:r w:rsidRPr="00DA27B6">
          <w:rPr>
            <w:color w:val="0000FF"/>
            <w:u w:val="single"/>
          </w:rPr>
          <w:t>dem.miningregrehab@sa.gov.au</w:t>
        </w:r>
      </w:hyperlink>
      <w:r w:rsidRPr="00DA27B6">
        <w:t xml:space="preserve"> by no later than </w:t>
      </w:r>
      <w:r w:rsidRPr="00DA27B6">
        <w:rPr>
          <w:b/>
          <w:bCs/>
        </w:rPr>
        <w:t>28 August 2025</w:t>
      </w:r>
      <w:r w:rsidRPr="00DA27B6">
        <w:t>.</w:t>
      </w:r>
    </w:p>
    <w:p w14:paraId="6B0C8E61" w14:textId="77777777" w:rsidR="00DA27B6" w:rsidRPr="00DA27B6" w:rsidRDefault="00DA27B6" w:rsidP="00DA27B6">
      <w:r w:rsidRPr="00DA27B6">
        <w:t>The delegate of the Minister for Energy and Mining is required to have regard to these submissions in determining whether to grant or refuse the application and, if granted, the terms and conditions on which it should be granted.</w:t>
      </w:r>
    </w:p>
    <w:p w14:paraId="5BBF1732" w14:textId="77777777" w:rsidR="00DA27B6" w:rsidRPr="00DA27B6" w:rsidRDefault="00DA27B6" w:rsidP="00DA27B6">
      <w:r w:rsidRPr="00DA27B6">
        <w:t>When you make a written submission, that submission becomes a public record. Your submission will be provided to the applicant and may be made available for public inspection.</w:t>
      </w:r>
    </w:p>
    <w:p w14:paraId="4CE9D206" w14:textId="77777777" w:rsidR="00DA27B6" w:rsidRPr="00DA27B6" w:rsidRDefault="00DA27B6" w:rsidP="00DA27B6">
      <w:pPr>
        <w:spacing w:after="0"/>
        <w:rPr>
          <w:rFonts w:eastAsia="Times New Roman"/>
          <w:szCs w:val="17"/>
        </w:rPr>
      </w:pPr>
      <w:r w:rsidRPr="00DA27B6">
        <w:rPr>
          <w:rFonts w:eastAsia="Times New Roman"/>
          <w:szCs w:val="17"/>
        </w:rPr>
        <w:t>Dated: 14 August 2025</w:t>
      </w:r>
    </w:p>
    <w:p w14:paraId="412B097F" w14:textId="77777777" w:rsidR="00DA27B6" w:rsidRPr="00DA27B6" w:rsidRDefault="00DA27B6" w:rsidP="00DA27B6">
      <w:pPr>
        <w:spacing w:after="0"/>
        <w:jc w:val="right"/>
        <w:rPr>
          <w:rFonts w:eastAsia="Times New Roman"/>
          <w:smallCaps/>
          <w:szCs w:val="20"/>
        </w:rPr>
      </w:pPr>
      <w:r w:rsidRPr="00DA27B6">
        <w:rPr>
          <w:rFonts w:eastAsia="Times New Roman"/>
          <w:smallCaps/>
          <w:szCs w:val="20"/>
        </w:rPr>
        <w:t xml:space="preserve">C. Andrews </w:t>
      </w:r>
    </w:p>
    <w:p w14:paraId="2B181465" w14:textId="77777777" w:rsidR="00DA27B6" w:rsidRPr="00DA27B6" w:rsidRDefault="00DA27B6" w:rsidP="00DA27B6">
      <w:pPr>
        <w:spacing w:after="0"/>
        <w:jc w:val="right"/>
        <w:rPr>
          <w:rFonts w:eastAsia="Times New Roman"/>
          <w:szCs w:val="17"/>
        </w:rPr>
      </w:pPr>
      <w:r w:rsidRPr="00DA27B6">
        <w:rPr>
          <w:rFonts w:eastAsia="Times New Roman"/>
          <w:szCs w:val="17"/>
        </w:rPr>
        <w:t>Mining Registrar</w:t>
      </w:r>
    </w:p>
    <w:p w14:paraId="55D33690" w14:textId="77777777" w:rsidR="00DA27B6" w:rsidRPr="00DA27B6" w:rsidRDefault="00DA27B6" w:rsidP="00DA27B6">
      <w:pPr>
        <w:spacing w:after="0"/>
        <w:jc w:val="right"/>
        <w:rPr>
          <w:rFonts w:eastAsia="Times New Roman"/>
          <w:szCs w:val="17"/>
        </w:rPr>
      </w:pPr>
      <w:r w:rsidRPr="00DA27B6">
        <w:rPr>
          <w:rFonts w:eastAsia="Times New Roman"/>
          <w:szCs w:val="17"/>
        </w:rPr>
        <w:t>Delegate for the Minister for Energy and Mining</w:t>
      </w:r>
    </w:p>
    <w:p w14:paraId="22E12448" w14:textId="77777777" w:rsidR="00DA27B6" w:rsidRDefault="00DA27B6" w:rsidP="00DA27B6">
      <w:pPr>
        <w:spacing w:after="0"/>
        <w:jc w:val="right"/>
        <w:rPr>
          <w:rFonts w:eastAsia="Times New Roman"/>
          <w:szCs w:val="17"/>
        </w:rPr>
      </w:pPr>
      <w:r w:rsidRPr="00DA27B6">
        <w:rPr>
          <w:rFonts w:eastAsia="Times New Roman"/>
          <w:szCs w:val="17"/>
        </w:rPr>
        <w:t>Department for Energy and Mining</w:t>
      </w:r>
    </w:p>
    <w:p w14:paraId="0FDC9D0E" w14:textId="77777777" w:rsidR="00DA27B6" w:rsidRDefault="00DA27B6" w:rsidP="00DA27B6">
      <w:pPr>
        <w:pBdr>
          <w:bottom w:val="single" w:sz="4" w:space="1" w:color="auto"/>
        </w:pBdr>
        <w:spacing w:after="0" w:line="52" w:lineRule="exact"/>
        <w:jc w:val="center"/>
        <w:rPr>
          <w:rFonts w:eastAsia="Times New Roman"/>
          <w:szCs w:val="17"/>
        </w:rPr>
      </w:pPr>
    </w:p>
    <w:p w14:paraId="1B912877" w14:textId="77777777" w:rsidR="00DA27B6" w:rsidRDefault="00DA27B6" w:rsidP="00DA27B6">
      <w:pPr>
        <w:pBdr>
          <w:top w:val="single" w:sz="4" w:space="1" w:color="auto"/>
        </w:pBdr>
        <w:spacing w:before="34" w:after="0" w:line="14" w:lineRule="exact"/>
        <w:jc w:val="center"/>
        <w:rPr>
          <w:rFonts w:eastAsia="Times New Roman"/>
          <w:szCs w:val="17"/>
        </w:rPr>
      </w:pPr>
    </w:p>
    <w:p w14:paraId="2898D744" w14:textId="77777777" w:rsidR="00DA27B6" w:rsidRPr="00DA27B6" w:rsidRDefault="00DA27B6" w:rsidP="00F925DD">
      <w:pPr>
        <w:pStyle w:val="NoSpacing"/>
      </w:pPr>
    </w:p>
    <w:p w14:paraId="52C73208" w14:textId="2D9C2E05" w:rsidR="00662F55" w:rsidRPr="00662F55" w:rsidRDefault="00DA4D46" w:rsidP="00E34B09">
      <w:pPr>
        <w:pStyle w:val="Heading2"/>
      </w:pPr>
      <w:bookmarkStart w:id="512" w:name="_Toc206061769"/>
      <w:r w:rsidRPr="00662F55">
        <w:t>Motor Vehicles Act 1959</w:t>
      </w:r>
      <w:bookmarkEnd w:id="512"/>
    </w:p>
    <w:p w14:paraId="3ED74462" w14:textId="77777777" w:rsidR="00662F55" w:rsidRPr="00662F55" w:rsidRDefault="00662F55" w:rsidP="00662F55">
      <w:pPr>
        <w:keepLines/>
        <w:autoSpaceDE w:val="0"/>
        <w:autoSpaceDN w:val="0"/>
        <w:adjustRightInd w:val="0"/>
        <w:spacing w:before="240" w:after="0" w:line="240" w:lineRule="auto"/>
        <w:jc w:val="left"/>
        <w:rPr>
          <w:sz w:val="28"/>
          <w:szCs w:val="28"/>
        </w:rPr>
      </w:pPr>
      <w:r w:rsidRPr="00662F55">
        <w:rPr>
          <w:rFonts w:eastAsia="Times New Roman"/>
          <w:color w:val="000000"/>
          <w:sz w:val="28"/>
          <w:szCs w:val="28"/>
          <w:lang w:eastAsia="en-AU"/>
        </w:rPr>
        <w:t>South</w:t>
      </w:r>
      <w:r w:rsidRPr="00662F55">
        <w:rPr>
          <w:sz w:val="28"/>
          <w:szCs w:val="28"/>
        </w:rPr>
        <w:t xml:space="preserve"> Australia</w:t>
      </w:r>
    </w:p>
    <w:p w14:paraId="63673785" w14:textId="77777777" w:rsidR="00662F55" w:rsidRPr="00662F55" w:rsidRDefault="00662F55" w:rsidP="00662F55">
      <w:pPr>
        <w:keepLines/>
        <w:autoSpaceDE w:val="0"/>
        <w:autoSpaceDN w:val="0"/>
        <w:adjustRightInd w:val="0"/>
        <w:spacing w:before="120" w:after="200" w:line="240" w:lineRule="auto"/>
        <w:jc w:val="left"/>
        <w:rPr>
          <w:rFonts w:eastAsia="Times New Roman"/>
          <w:b/>
          <w:bCs/>
          <w:color w:val="000000"/>
          <w:sz w:val="36"/>
          <w:szCs w:val="36"/>
          <w:lang w:eastAsia="en-AU"/>
        </w:rPr>
      </w:pPr>
      <w:r w:rsidRPr="00662F55">
        <w:rPr>
          <w:rFonts w:eastAsia="Times New Roman"/>
          <w:b/>
          <w:bCs/>
          <w:color w:val="000000"/>
          <w:sz w:val="36"/>
          <w:szCs w:val="36"/>
          <w:lang w:eastAsia="en-AU"/>
        </w:rPr>
        <w:t xml:space="preserve">Motor Vehicles (Conditional Registration—Recognition of Motor Vehicle Clubs) Notice 2025—XDU Adventure Crew SA Incorporated </w:t>
      </w:r>
    </w:p>
    <w:p w14:paraId="09C9D3F1" w14:textId="77777777" w:rsidR="00662F55" w:rsidRPr="00662F55" w:rsidRDefault="00662F55" w:rsidP="00662F55">
      <w:pPr>
        <w:spacing w:before="120" w:after="200" w:line="240" w:lineRule="auto"/>
        <w:rPr>
          <w:rFonts w:eastAsia="Times New Roman"/>
          <w:i/>
          <w:iCs/>
          <w:sz w:val="24"/>
          <w:szCs w:val="24"/>
          <w:lang w:eastAsia="en-AU"/>
        </w:rPr>
      </w:pPr>
      <w:r w:rsidRPr="00662F55">
        <w:rPr>
          <w:rFonts w:eastAsia="Times New Roman"/>
          <w:sz w:val="24"/>
          <w:szCs w:val="24"/>
          <w:lang w:eastAsia="en-AU"/>
        </w:rPr>
        <w:t>under the</w:t>
      </w:r>
      <w:r w:rsidRPr="00662F55">
        <w:rPr>
          <w:rFonts w:eastAsia="Times New Roman"/>
          <w:i/>
          <w:iCs/>
          <w:sz w:val="24"/>
          <w:szCs w:val="24"/>
          <w:lang w:eastAsia="en-AU"/>
        </w:rPr>
        <w:t xml:space="preserve"> Motor Vehicles Act 1959</w:t>
      </w:r>
    </w:p>
    <w:p w14:paraId="1ED48A3D" w14:textId="77777777" w:rsidR="00662F55" w:rsidRPr="00662F55" w:rsidRDefault="00662F55" w:rsidP="00662F55">
      <w:pPr>
        <w:spacing w:before="160" w:after="0" w:line="240" w:lineRule="auto"/>
        <w:rPr>
          <w:rFonts w:eastAsia="Times New Roman"/>
          <w:b/>
          <w:bCs/>
          <w:color w:val="000000"/>
          <w:sz w:val="26"/>
          <w:szCs w:val="26"/>
          <w:lang w:eastAsia="en-AU"/>
        </w:rPr>
      </w:pPr>
      <w:r w:rsidRPr="00662F55">
        <w:rPr>
          <w:rFonts w:eastAsia="Times New Roman"/>
          <w:b/>
          <w:bCs/>
          <w:sz w:val="26"/>
          <w:szCs w:val="26"/>
        </w:rPr>
        <w:t>1—</w:t>
      </w:r>
      <w:r w:rsidRPr="00662F55">
        <w:rPr>
          <w:rFonts w:eastAsia="Times New Roman"/>
          <w:b/>
          <w:bCs/>
          <w:color w:val="000000"/>
          <w:sz w:val="26"/>
          <w:szCs w:val="26"/>
          <w:lang w:eastAsia="en-AU"/>
        </w:rPr>
        <w:t>Short title</w:t>
      </w:r>
    </w:p>
    <w:p w14:paraId="5AC7F6CA" w14:textId="77777777" w:rsidR="00662F55" w:rsidRPr="00662F55" w:rsidRDefault="00662F55" w:rsidP="00662F55">
      <w:pPr>
        <w:spacing w:before="120" w:after="0" w:line="240" w:lineRule="auto"/>
        <w:ind w:left="794"/>
        <w:rPr>
          <w:rFonts w:eastAsia="Times New Roman"/>
          <w:i/>
          <w:iCs/>
          <w:sz w:val="23"/>
          <w:szCs w:val="23"/>
        </w:rPr>
      </w:pPr>
      <w:r w:rsidRPr="00662F55">
        <w:rPr>
          <w:rFonts w:eastAsia="Times New Roman"/>
          <w:sz w:val="23"/>
          <w:szCs w:val="23"/>
        </w:rPr>
        <w:t xml:space="preserve">This notice may be cited as the </w:t>
      </w:r>
      <w:r w:rsidRPr="00662F55">
        <w:rPr>
          <w:rFonts w:eastAsia="Times New Roman"/>
          <w:i/>
          <w:iCs/>
          <w:sz w:val="23"/>
          <w:szCs w:val="23"/>
        </w:rPr>
        <w:t xml:space="preserve">Motor Vehicles (Conditional Registration—Recognition of Motor Vehicle Clubs) Notice 2025—XDU Adventure Crew SA Incorporated. </w:t>
      </w:r>
    </w:p>
    <w:p w14:paraId="445378CD" w14:textId="4490F85A" w:rsidR="00662F55" w:rsidRPr="00662F55" w:rsidRDefault="00662F55" w:rsidP="00662F55">
      <w:pPr>
        <w:spacing w:before="160" w:after="0" w:line="240" w:lineRule="auto"/>
        <w:rPr>
          <w:rFonts w:eastAsia="Times New Roman"/>
          <w:b/>
          <w:bCs/>
          <w:sz w:val="26"/>
          <w:szCs w:val="26"/>
        </w:rPr>
      </w:pPr>
      <w:r w:rsidRPr="00662F55">
        <w:rPr>
          <w:rFonts w:eastAsia="Times New Roman"/>
          <w:b/>
          <w:bCs/>
          <w:sz w:val="26"/>
          <w:szCs w:val="26"/>
        </w:rPr>
        <w:t>2—Commencement</w:t>
      </w:r>
    </w:p>
    <w:p w14:paraId="514E2D02"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spacing w:val="-4"/>
          <w:sz w:val="23"/>
          <w:szCs w:val="23"/>
        </w:rPr>
        <w:t>This notice takes effect from the date it is published in the Gazette and replaces any previous</w:t>
      </w:r>
      <w:r w:rsidRPr="00662F55">
        <w:rPr>
          <w:rFonts w:eastAsia="Times New Roman"/>
          <w:sz w:val="23"/>
          <w:szCs w:val="23"/>
        </w:rPr>
        <w:t xml:space="preserve"> </w:t>
      </w:r>
      <w:r w:rsidRPr="00662F55">
        <w:rPr>
          <w:rFonts w:eastAsia="Times New Roman"/>
          <w:spacing w:val="4"/>
          <w:sz w:val="23"/>
          <w:szCs w:val="23"/>
        </w:rPr>
        <w:t>recognition made by the Registrar of a motor vehicle club that is specified in Schedule 1 of this notice.</w:t>
      </w:r>
    </w:p>
    <w:p w14:paraId="3F218C14" w14:textId="77777777" w:rsidR="00662F55" w:rsidRPr="00662F55" w:rsidRDefault="00662F55" w:rsidP="00662F55">
      <w:pPr>
        <w:spacing w:before="160" w:after="0" w:line="240" w:lineRule="auto"/>
        <w:rPr>
          <w:rFonts w:eastAsia="Times New Roman"/>
          <w:b/>
          <w:bCs/>
          <w:sz w:val="26"/>
          <w:szCs w:val="26"/>
        </w:rPr>
      </w:pPr>
      <w:r w:rsidRPr="00662F55">
        <w:rPr>
          <w:rFonts w:eastAsia="Times New Roman"/>
          <w:b/>
          <w:bCs/>
          <w:sz w:val="26"/>
          <w:szCs w:val="26"/>
        </w:rPr>
        <w:t>3—Interpretation</w:t>
      </w:r>
    </w:p>
    <w:p w14:paraId="0507B9C1"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sz w:val="23"/>
          <w:szCs w:val="23"/>
        </w:rPr>
        <w:t>In this notice—</w:t>
      </w:r>
    </w:p>
    <w:p w14:paraId="146DD677"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Act</w:t>
      </w:r>
      <w:r w:rsidRPr="00662F55">
        <w:rPr>
          <w:rFonts w:eastAsia="Times New Roman"/>
          <w:sz w:val="23"/>
          <w:szCs w:val="23"/>
        </w:rPr>
        <w:t xml:space="preserve"> means the </w:t>
      </w:r>
      <w:r w:rsidRPr="00662F55">
        <w:rPr>
          <w:rFonts w:eastAsia="Times New Roman"/>
          <w:i/>
          <w:iCs/>
          <w:sz w:val="23"/>
          <w:szCs w:val="23"/>
        </w:rPr>
        <w:t>Motor Vehicles Act 1959;</w:t>
      </w:r>
    </w:p>
    <w:p w14:paraId="54C9534B"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Code of Practice</w:t>
      </w:r>
      <w:r w:rsidRPr="00662F55">
        <w:rPr>
          <w:rFonts w:eastAsia="Times New Roman"/>
          <w:sz w:val="23"/>
          <w:szCs w:val="23"/>
        </w:rPr>
        <w:t xml:space="preserve"> means the ‘Code of Practice—Conditional Registration Scheme for Historic, Individually Constructed, Left-Hand Drive and Street Rod Vehicles’ published by the Department for Infrastructure and Transport;</w:t>
      </w:r>
    </w:p>
    <w:p w14:paraId="4A8D49B3"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lastRenderedPageBreak/>
        <w:t xml:space="preserve">Conditional Registration Scheme </w:t>
      </w:r>
      <w:r w:rsidRPr="00662F55">
        <w:rPr>
          <w:rFonts w:eastAsia="Times New Roman"/>
          <w:sz w:val="23"/>
          <w:szCs w:val="23"/>
        </w:rPr>
        <w:t>or</w:t>
      </w:r>
      <w:r w:rsidRPr="00662F55">
        <w:rPr>
          <w:rFonts w:eastAsia="Times New Roman"/>
          <w:b/>
          <w:bCs/>
          <w:i/>
          <w:iCs/>
          <w:sz w:val="23"/>
          <w:szCs w:val="23"/>
        </w:rPr>
        <w:t xml:space="preserve"> Scheme</w:t>
      </w:r>
      <w:r w:rsidRPr="00662F55">
        <w:rPr>
          <w:rFonts w:eastAsia="Times New Roman"/>
          <w:sz w:val="23"/>
          <w:szCs w:val="23"/>
        </w:rPr>
        <w:t xml:space="preserve"> means the scheme for conditional registration of historic, individually constructed, left hand drive, street rod and vehicles under Section 25 of the Act and Regulations 15 and 16 of the </w:t>
      </w:r>
      <w:r w:rsidRPr="00662F55">
        <w:rPr>
          <w:rFonts w:eastAsia="Times New Roman"/>
          <w:i/>
          <w:iCs/>
          <w:sz w:val="23"/>
          <w:szCs w:val="23"/>
        </w:rPr>
        <w:t>Motor Vehicles Regulations 2010</w:t>
      </w:r>
      <w:r w:rsidRPr="00662F55">
        <w:rPr>
          <w:rFonts w:eastAsia="Times New Roman"/>
          <w:sz w:val="23"/>
          <w:szCs w:val="23"/>
        </w:rPr>
        <w:t>;</w:t>
      </w:r>
    </w:p>
    <w:p w14:paraId="29512F9F"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Department</w:t>
      </w:r>
      <w:r w:rsidRPr="00662F55">
        <w:rPr>
          <w:rFonts w:eastAsia="Times New Roman"/>
          <w:sz w:val="23"/>
          <w:szCs w:val="23"/>
        </w:rPr>
        <w:t xml:space="preserve"> means the Department for Infrastructure and Transport;</w:t>
      </w:r>
    </w:p>
    <w:p w14:paraId="2A9CA734"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Federation</w:t>
      </w:r>
      <w:r w:rsidRPr="00662F55">
        <w:rPr>
          <w:rFonts w:eastAsia="Times New Roman"/>
          <w:sz w:val="23"/>
          <w:szCs w:val="23"/>
        </w:rPr>
        <w:t xml:space="preserve"> means the Federation of Historic Motoring Clubs SA Incorporated;</w:t>
      </w:r>
    </w:p>
    <w:p w14:paraId="56C73175"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MR334 form</w:t>
      </w:r>
      <w:r w:rsidRPr="00662F55">
        <w:rPr>
          <w:rFonts w:eastAsia="Times New Roman"/>
          <w:sz w:val="23"/>
          <w:szCs w:val="23"/>
        </w:rPr>
        <w:t xml:space="preserve"> means an ‘Approval for Registration of Vehicle on the Conditional Registration Scheme (MR334)’;</w:t>
      </w:r>
    </w:p>
    <w:p w14:paraId="32C13EDB"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Prescribed log book</w:t>
      </w:r>
      <w:r w:rsidRPr="00662F55">
        <w:rPr>
          <w:rFonts w:eastAsia="Times New Roman"/>
          <w:sz w:val="23"/>
          <w:szCs w:val="23"/>
        </w:rPr>
        <w:t xml:space="preserve"> means a log book in a form approved by the Registrar;</w:t>
      </w:r>
    </w:p>
    <w:p w14:paraId="3A9519DF"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Registrar</w:t>
      </w:r>
      <w:r w:rsidRPr="00662F55">
        <w:rPr>
          <w:rFonts w:eastAsia="Times New Roman"/>
          <w:sz w:val="23"/>
          <w:szCs w:val="23"/>
        </w:rPr>
        <w:t xml:space="preserve"> means the Registrar of Motor Vehicles;</w:t>
      </w:r>
    </w:p>
    <w:p w14:paraId="050E5057"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b/>
          <w:bCs/>
          <w:i/>
          <w:iCs/>
          <w:sz w:val="23"/>
          <w:szCs w:val="23"/>
        </w:rPr>
        <w:t>Regulations</w:t>
      </w:r>
      <w:r w:rsidRPr="00662F55">
        <w:rPr>
          <w:rFonts w:eastAsia="Times New Roman"/>
          <w:sz w:val="23"/>
          <w:szCs w:val="23"/>
        </w:rPr>
        <w:t xml:space="preserve"> means the </w:t>
      </w:r>
      <w:r w:rsidRPr="00662F55">
        <w:rPr>
          <w:rFonts w:eastAsia="Times New Roman"/>
          <w:i/>
          <w:iCs/>
          <w:sz w:val="23"/>
          <w:szCs w:val="23"/>
        </w:rPr>
        <w:t>Motor Vehicles Regulations 2010.</w:t>
      </w:r>
    </w:p>
    <w:p w14:paraId="112CC24B" w14:textId="77777777" w:rsidR="00662F55" w:rsidRPr="00662F55" w:rsidRDefault="00662F55" w:rsidP="00662F55">
      <w:pPr>
        <w:spacing w:before="160" w:after="0" w:line="240" w:lineRule="auto"/>
        <w:rPr>
          <w:rFonts w:eastAsia="Times New Roman"/>
          <w:b/>
          <w:bCs/>
          <w:sz w:val="26"/>
          <w:szCs w:val="26"/>
        </w:rPr>
      </w:pPr>
      <w:r w:rsidRPr="00662F55">
        <w:rPr>
          <w:rFonts w:eastAsia="Times New Roman"/>
          <w:b/>
          <w:bCs/>
          <w:sz w:val="26"/>
          <w:szCs w:val="26"/>
        </w:rPr>
        <w:t>4—Recognition of motor vehicles clubs</w:t>
      </w:r>
    </w:p>
    <w:p w14:paraId="7D2682EC"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sz w:val="23"/>
          <w:szCs w:val="23"/>
        </w:rPr>
        <w:t>The motor vehicle club specified in Schedule 1 is, subject to the conditions set out in Clause 5, recognised for the purposes of Regulation 16 of the Regulations.</w:t>
      </w:r>
    </w:p>
    <w:p w14:paraId="4979831B" w14:textId="77777777" w:rsidR="00662F55" w:rsidRPr="00662F55" w:rsidRDefault="00662F55" w:rsidP="00662F55">
      <w:pPr>
        <w:spacing w:before="160" w:after="0" w:line="240" w:lineRule="auto"/>
        <w:rPr>
          <w:rFonts w:eastAsia="Times New Roman"/>
          <w:b/>
          <w:bCs/>
          <w:sz w:val="26"/>
          <w:szCs w:val="26"/>
        </w:rPr>
      </w:pPr>
      <w:r w:rsidRPr="00662F55">
        <w:rPr>
          <w:rFonts w:eastAsia="Times New Roman"/>
          <w:b/>
          <w:bCs/>
          <w:sz w:val="26"/>
          <w:szCs w:val="26"/>
        </w:rPr>
        <w:t>5—Conditions of recognition</w:t>
      </w:r>
    </w:p>
    <w:p w14:paraId="55A787E3" w14:textId="77777777" w:rsidR="00662F55" w:rsidRPr="00662F55" w:rsidRDefault="00662F55" w:rsidP="00662F55">
      <w:pPr>
        <w:spacing w:before="120" w:after="0" w:line="240" w:lineRule="auto"/>
        <w:ind w:left="794"/>
        <w:rPr>
          <w:rFonts w:eastAsia="Times New Roman"/>
          <w:sz w:val="23"/>
          <w:szCs w:val="23"/>
        </w:rPr>
      </w:pPr>
      <w:r w:rsidRPr="00662F55">
        <w:rPr>
          <w:rFonts w:eastAsia="Times New Roman"/>
          <w:sz w:val="23"/>
          <w:szCs w:val="23"/>
        </w:rPr>
        <w:t>A motor vehicle club specified in Schedule 1 must comply with the following conditions:</w:t>
      </w:r>
    </w:p>
    <w:p w14:paraId="1714EA95"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(a)</w:t>
      </w:r>
      <w:r w:rsidRPr="00662F55">
        <w:rPr>
          <w:rFonts w:eastAsia="Times New Roman"/>
          <w:sz w:val="23"/>
          <w:szCs w:val="23"/>
        </w:rPr>
        <w:tab/>
        <w:t>the club must maintain a constitution approved by the Registrar;</w:t>
      </w:r>
    </w:p>
    <w:p w14:paraId="187804D0"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(b)</w:t>
      </w:r>
      <w:r w:rsidRPr="00662F55">
        <w:rPr>
          <w:rFonts w:eastAsia="Times New Roman"/>
          <w:sz w:val="23"/>
          <w:szCs w:val="23"/>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4F5D5942"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(c)</w:t>
      </w:r>
      <w:r w:rsidRPr="00662F55">
        <w:rPr>
          <w:rFonts w:eastAsia="Times New Roman"/>
          <w:sz w:val="23"/>
          <w:szCs w:val="23"/>
        </w:rPr>
        <w:tab/>
        <w:t>the club must issue a prescribed log book to club members for each of their vehicles to record vehicle use;</w:t>
      </w:r>
    </w:p>
    <w:p w14:paraId="4B360D92"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(d)</w:t>
      </w:r>
      <w:r w:rsidRPr="00662F55">
        <w:rPr>
          <w:rFonts w:eastAsia="Times New Roman"/>
          <w:sz w:val="23"/>
          <w:szCs w:val="23"/>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73B376A6"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(e)</w:t>
      </w:r>
      <w:r w:rsidRPr="00662F55">
        <w:rPr>
          <w:rFonts w:eastAsia="Times New Roman"/>
          <w:sz w:val="23"/>
          <w:szCs w:val="23"/>
        </w:rPr>
        <w:tab/>
        <w:t xml:space="preserve">the club must create and maintain records detailing all its financial members, its </w:t>
      </w:r>
      <w:r w:rsidRPr="00662F55">
        <w:rPr>
          <w:rFonts w:eastAsia="Times New Roman"/>
          <w:spacing w:val="-4"/>
          <w:sz w:val="23"/>
          <w:szCs w:val="23"/>
        </w:rPr>
        <w:t>authorised persons, all vehicles for which an MR334 form has been issued, all statutory</w:t>
      </w:r>
      <w:r w:rsidRPr="00662F55">
        <w:rPr>
          <w:rFonts w:eastAsia="Times New Roman"/>
          <w:sz w:val="23"/>
          <w:szCs w:val="23"/>
        </w:rPr>
        <w:t xml:space="preserve"> declarations received and prescribed log books issued and returned to the club;</w:t>
      </w:r>
    </w:p>
    <w:p w14:paraId="46DBABA0"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(f)</w:t>
      </w:r>
      <w:r w:rsidRPr="00662F55">
        <w:rPr>
          <w:rFonts w:eastAsia="Times New Roman"/>
          <w:sz w:val="23"/>
          <w:szCs w:val="23"/>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7453F390"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(g)</w:t>
      </w:r>
      <w:r w:rsidRPr="00662F55">
        <w:rPr>
          <w:rFonts w:eastAsia="Times New Roman"/>
          <w:sz w:val="23"/>
          <w:szCs w:val="23"/>
        </w:rPr>
        <w:tab/>
        <w:t>the club must ensure, as far as practicable, that all members comply with the Code of Practice;</w:t>
      </w:r>
    </w:p>
    <w:p w14:paraId="53B3BE5E"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lastRenderedPageBreak/>
        <w:t>(h)</w:t>
      </w:r>
      <w:r w:rsidRPr="00662F55">
        <w:rPr>
          <w:rFonts w:eastAsia="Times New Roman"/>
          <w:sz w:val="23"/>
          <w:szCs w:val="23"/>
        </w:rPr>
        <w:tab/>
        <w:t xml:space="preserve">the club, as far as practicable, must report to the Registrar or the Federation details of members and motor vehicles not complying with the conditions and criteria set out in the Code of Practice for the Scheme; </w:t>
      </w:r>
    </w:p>
    <w:p w14:paraId="319AFB15"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(i)</w:t>
      </w:r>
      <w:r w:rsidRPr="00662F55">
        <w:rPr>
          <w:rFonts w:eastAsia="Times New Roman"/>
          <w:sz w:val="23"/>
          <w:szCs w:val="23"/>
        </w:rPr>
        <w:tab/>
      </w:r>
      <w:r w:rsidRPr="00662F55">
        <w:rPr>
          <w:rFonts w:eastAsia="Times New Roman"/>
          <w:spacing w:val="-4"/>
          <w:sz w:val="23"/>
          <w:szCs w:val="23"/>
        </w:rPr>
        <w:t>the club must provide to the Registrar, within 2 months of the end of the club’s financial year, an annual report detailing members from that financial year with</w:t>
      </w:r>
      <w:r w:rsidRPr="00662F55">
        <w:rPr>
          <w:rFonts w:eastAsia="Times New Roman"/>
          <w:sz w:val="23"/>
          <w:szCs w:val="23"/>
        </w:rPr>
        <w:t xml:space="preserve"> </w:t>
      </w:r>
      <w:r w:rsidRPr="00662F55">
        <w:rPr>
          <w:rFonts w:eastAsia="Times New Roman"/>
          <w:spacing w:val="-4"/>
          <w:sz w:val="23"/>
          <w:szCs w:val="23"/>
        </w:rPr>
        <w:t>vehicles registered under the Scheme who are no longer financial members of the club;</w:t>
      </w:r>
    </w:p>
    <w:p w14:paraId="219F33CA" w14:textId="77777777" w:rsidR="00662F55" w:rsidRPr="00662F55" w:rsidRDefault="00662F55" w:rsidP="00662F55">
      <w:pPr>
        <w:spacing w:before="120" w:after="0" w:line="240" w:lineRule="auto"/>
        <w:ind w:left="1559" w:hanging="493"/>
        <w:rPr>
          <w:rFonts w:eastAsia="Times New Roman"/>
          <w:sz w:val="23"/>
          <w:szCs w:val="23"/>
        </w:rPr>
      </w:pPr>
      <w:r w:rsidRPr="00662F55">
        <w:rPr>
          <w:rFonts w:eastAsia="Times New Roman"/>
          <w:sz w:val="23"/>
          <w:szCs w:val="23"/>
        </w:rPr>
        <w:t>(j)</w:t>
      </w:r>
      <w:r w:rsidRPr="00662F55">
        <w:rPr>
          <w:rFonts w:eastAsia="Times New Roman"/>
          <w:sz w:val="23"/>
          <w:szCs w:val="23"/>
        </w:rPr>
        <w:tab/>
        <w:t xml:space="preserve">the club must notify the Registrar, in writing, within 14 days of resolution to cease operation as a club and must provide the club records specified in paragraph (f) to </w:t>
      </w:r>
      <w:r w:rsidRPr="00662F55">
        <w:rPr>
          <w:rFonts w:eastAsia="Times New Roman"/>
          <w:spacing w:val="-4"/>
          <w:sz w:val="23"/>
          <w:szCs w:val="23"/>
        </w:rPr>
        <w:t>the Registrar within 14 days of its dissolution;</w:t>
      </w:r>
    </w:p>
    <w:p w14:paraId="73929A15" w14:textId="77777777" w:rsidR="00662F55" w:rsidRPr="00662F55" w:rsidRDefault="00662F55" w:rsidP="00662F55">
      <w:pPr>
        <w:spacing w:before="120" w:after="0" w:line="240" w:lineRule="auto"/>
        <w:ind w:left="794"/>
        <w:rPr>
          <w:rFonts w:eastAsia="Times New Roman"/>
          <w:b/>
          <w:bCs/>
          <w:sz w:val="20"/>
          <w:szCs w:val="20"/>
        </w:rPr>
      </w:pPr>
      <w:r w:rsidRPr="00662F55">
        <w:rPr>
          <w:rFonts w:eastAsia="Times New Roman"/>
          <w:b/>
          <w:bCs/>
          <w:sz w:val="20"/>
          <w:szCs w:val="20"/>
        </w:rPr>
        <w:t>Note—</w:t>
      </w:r>
    </w:p>
    <w:p w14:paraId="5A2DFF54" w14:textId="77777777" w:rsidR="00662F55" w:rsidRPr="00662F55" w:rsidRDefault="00662F55" w:rsidP="00662F55">
      <w:pPr>
        <w:spacing w:before="120" w:after="0" w:line="240" w:lineRule="auto"/>
        <w:ind w:left="1588"/>
        <w:rPr>
          <w:rFonts w:eastAsia="Times New Roman"/>
          <w:sz w:val="20"/>
          <w:szCs w:val="20"/>
        </w:rPr>
      </w:pPr>
      <w:r w:rsidRPr="00662F55">
        <w:rPr>
          <w:rFonts w:eastAsia="Times New Roman"/>
          <w:sz w:val="20"/>
          <w:szCs w:val="20"/>
        </w:rPr>
        <w:t xml:space="preserve">Under Regulation 16(3)(c) of the </w:t>
      </w:r>
      <w:r w:rsidRPr="00662F55">
        <w:rPr>
          <w:rFonts w:eastAsia="Times New Roman"/>
          <w:i/>
          <w:iCs/>
          <w:sz w:val="20"/>
          <w:szCs w:val="20"/>
        </w:rPr>
        <w:t>Motor Vehicles Regulations 2010</w:t>
      </w:r>
      <w:r w:rsidRPr="00662F55">
        <w:rPr>
          <w:rFonts w:eastAsia="Times New Roman"/>
          <w:sz w:val="20"/>
          <w:szCs w:val="20"/>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31A92257" w14:textId="77777777" w:rsidR="00662F55" w:rsidRPr="00662F55" w:rsidRDefault="00662F55" w:rsidP="00662F55">
      <w:pPr>
        <w:spacing w:before="120" w:after="120" w:line="240" w:lineRule="auto"/>
        <w:ind w:left="567" w:hanging="567"/>
        <w:rPr>
          <w:rFonts w:eastAsia="Times New Roman"/>
          <w:b/>
          <w:bCs/>
          <w:sz w:val="32"/>
          <w:szCs w:val="32"/>
        </w:rPr>
      </w:pPr>
      <w:r w:rsidRPr="00662F55">
        <w:rPr>
          <w:rFonts w:eastAsia="Times New Roman"/>
          <w:b/>
          <w:bCs/>
          <w:sz w:val="32"/>
          <w:szCs w:val="32"/>
        </w:rPr>
        <w:t>Schedule 1—Recognised motor vehicle clubs</w:t>
      </w:r>
    </w:p>
    <w:p w14:paraId="409741DE" w14:textId="77777777" w:rsidR="00662F55" w:rsidRPr="00662F55" w:rsidRDefault="00662F55" w:rsidP="00662F55">
      <w:pPr>
        <w:spacing w:before="120" w:after="120" w:line="240" w:lineRule="auto"/>
        <w:rPr>
          <w:rFonts w:eastAsia="Times New Roman"/>
          <w:b/>
          <w:bCs/>
          <w:sz w:val="23"/>
          <w:szCs w:val="23"/>
        </w:rPr>
      </w:pPr>
      <w:r w:rsidRPr="00662F55">
        <w:rPr>
          <w:rFonts w:eastAsia="Times New Roman"/>
          <w:b/>
          <w:bCs/>
          <w:sz w:val="23"/>
          <w:szCs w:val="23"/>
        </w:rPr>
        <w:t>Historic, individually constructed, left-hand drive and street rod vehicles motor vehicle clubs</w:t>
      </w:r>
    </w:p>
    <w:p w14:paraId="05C6A876" w14:textId="77777777" w:rsidR="00662F55" w:rsidRPr="00662F55" w:rsidRDefault="00662F55" w:rsidP="00662F55">
      <w:pPr>
        <w:spacing w:before="120" w:after="120" w:line="240" w:lineRule="auto"/>
        <w:rPr>
          <w:rFonts w:eastAsia="Times New Roman"/>
          <w:sz w:val="23"/>
          <w:szCs w:val="23"/>
        </w:rPr>
      </w:pPr>
      <w:r w:rsidRPr="00662F55">
        <w:rPr>
          <w:rFonts w:eastAsia="Times New Roman"/>
          <w:sz w:val="23"/>
          <w:szCs w:val="23"/>
        </w:rPr>
        <w:t>XDU Adventure Crew SA Incorporated</w:t>
      </w:r>
    </w:p>
    <w:p w14:paraId="31395CEF" w14:textId="77777777" w:rsidR="00662F55" w:rsidRPr="00662F55" w:rsidRDefault="00662F55" w:rsidP="00662F55">
      <w:pPr>
        <w:spacing w:before="120" w:after="120" w:line="240" w:lineRule="auto"/>
        <w:rPr>
          <w:rFonts w:eastAsia="Times New Roman"/>
          <w:b/>
          <w:bCs/>
          <w:sz w:val="26"/>
          <w:szCs w:val="26"/>
        </w:rPr>
      </w:pPr>
      <w:r w:rsidRPr="00662F55">
        <w:rPr>
          <w:rFonts w:eastAsia="Times New Roman"/>
          <w:b/>
          <w:bCs/>
          <w:sz w:val="26"/>
          <w:szCs w:val="26"/>
        </w:rPr>
        <w:t>Made by the Deputy Registrar of Motor Vehicles</w:t>
      </w:r>
    </w:p>
    <w:p w14:paraId="53D7F98A" w14:textId="37BFAAE9" w:rsidR="00662F55" w:rsidRDefault="00662F55" w:rsidP="00662F55">
      <w:pPr>
        <w:spacing w:after="0" w:line="240" w:lineRule="auto"/>
        <w:rPr>
          <w:rFonts w:eastAsia="Times New Roman"/>
          <w:sz w:val="23"/>
          <w:szCs w:val="23"/>
        </w:rPr>
      </w:pPr>
      <w:r w:rsidRPr="00662F55">
        <w:rPr>
          <w:rFonts w:eastAsia="Times New Roman"/>
          <w:sz w:val="23"/>
          <w:szCs w:val="23"/>
        </w:rPr>
        <w:t>On 5 August 2025</w:t>
      </w:r>
    </w:p>
    <w:p w14:paraId="320CF337" w14:textId="77777777" w:rsidR="00662F55" w:rsidRDefault="00662F55" w:rsidP="00662F55">
      <w:pPr>
        <w:pBdr>
          <w:bottom w:val="single" w:sz="4" w:space="1" w:color="auto"/>
        </w:pBdr>
        <w:spacing w:after="0" w:line="52" w:lineRule="exact"/>
        <w:jc w:val="center"/>
        <w:rPr>
          <w:rFonts w:eastAsia="Times New Roman"/>
          <w:szCs w:val="17"/>
        </w:rPr>
      </w:pPr>
    </w:p>
    <w:p w14:paraId="3B5015C8" w14:textId="77777777" w:rsidR="00662F55" w:rsidRDefault="00662F55" w:rsidP="00662F55">
      <w:pPr>
        <w:pBdr>
          <w:top w:val="single" w:sz="4" w:space="1" w:color="auto"/>
        </w:pBdr>
        <w:spacing w:before="34" w:after="0" w:line="14" w:lineRule="exact"/>
        <w:jc w:val="center"/>
        <w:rPr>
          <w:rFonts w:eastAsia="Times New Roman"/>
          <w:szCs w:val="17"/>
        </w:rPr>
      </w:pPr>
    </w:p>
    <w:p w14:paraId="30360C94" w14:textId="77777777" w:rsidR="00662F55" w:rsidRPr="00662F55" w:rsidRDefault="00662F55" w:rsidP="00644E6A">
      <w:pPr>
        <w:pStyle w:val="NoSpacing"/>
      </w:pPr>
    </w:p>
    <w:p w14:paraId="7FE0AD3E" w14:textId="2DC40F8B" w:rsidR="00836F15" w:rsidRPr="00836F15" w:rsidRDefault="00DA4D46" w:rsidP="00E34B09">
      <w:pPr>
        <w:pStyle w:val="Heading2"/>
      </w:pPr>
      <w:bookmarkStart w:id="513" w:name="_Toc206061770"/>
      <w:r w:rsidRPr="00836F15">
        <w:t xml:space="preserve">National Parks </w:t>
      </w:r>
      <w:r>
        <w:t>a</w:t>
      </w:r>
      <w:r w:rsidRPr="00836F15">
        <w:t>nd Wildlife Act 1972</w:t>
      </w:r>
      <w:bookmarkEnd w:id="513"/>
    </w:p>
    <w:p w14:paraId="69631CC1" w14:textId="77777777" w:rsidR="00836F15" w:rsidRPr="00836F15" w:rsidRDefault="00836F15" w:rsidP="00836F15">
      <w:pPr>
        <w:jc w:val="center"/>
        <w:rPr>
          <w:i/>
          <w:szCs w:val="17"/>
        </w:rPr>
      </w:pPr>
      <w:r w:rsidRPr="00836F15">
        <w:rPr>
          <w:i/>
          <w:szCs w:val="17"/>
        </w:rPr>
        <w:t>Upper Eyre Hills and Mallee Parks Management Plan 2025</w:t>
      </w:r>
    </w:p>
    <w:p w14:paraId="1A53146C" w14:textId="77777777" w:rsidR="00836F15" w:rsidRPr="00836F15" w:rsidRDefault="00836F15" w:rsidP="00836F15">
      <w:pPr>
        <w:rPr>
          <w:spacing w:val="-4"/>
        </w:rPr>
      </w:pPr>
      <w:r w:rsidRPr="00836F15">
        <w:t xml:space="preserve">I, Susan Close, Minister for Climate, Environment and Water, hereby give notice under the provisions of Section 38 of the </w:t>
      </w:r>
      <w:r w:rsidRPr="00836F15">
        <w:rPr>
          <w:i/>
          <w:iCs/>
        </w:rPr>
        <w:t>National Parks and Wildlife Act 1972</w:t>
      </w:r>
      <w:r w:rsidRPr="00836F15">
        <w:t xml:space="preserve"> that, on 5 August 2025, I adopted a plan of management for the Caralue Bluff Conservation Park, </w:t>
      </w:r>
      <w:r w:rsidRPr="00836F15">
        <w:rPr>
          <w:spacing w:val="-4"/>
        </w:rPr>
        <w:t>Carappee Hill Conservation Park, Darke Range Conservation Park, Middlecamp Hills Conservation Park, Rudall Conservation Park and Yeldulknie Conservation Park.</w:t>
      </w:r>
    </w:p>
    <w:p w14:paraId="004333D4" w14:textId="77777777" w:rsidR="00836F15" w:rsidRPr="00836F15" w:rsidRDefault="00836F15" w:rsidP="00836F15">
      <w:r w:rsidRPr="00836F15">
        <w:t>Copies of the plan may be obtained from:</w:t>
      </w:r>
    </w:p>
    <w:p w14:paraId="2D27EF29" w14:textId="77777777" w:rsidR="00836F15" w:rsidRPr="00836F15" w:rsidRDefault="00836F15" w:rsidP="00836F15">
      <w:pPr>
        <w:spacing w:after="20"/>
        <w:ind w:left="284" w:hanging="142"/>
      </w:pPr>
      <w:r w:rsidRPr="00836F15">
        <w:t>•</w:t>
      </w:r>
      <w:r w:rsidRPr="00836F15">
        <w:tab/>
      </w:r>
      <w:hyperlink r:id="rId292" w:history="1">
        <w:r w:rsidRPr="00836F15">
          <w:rPr>
            <w:color w:val="0000FF"/>
            <w:u w:val="single"/>
          </w:rPr>
          <w:t>https://www.environment.sa.gov.au/topics/park-management/statewide-park-strategies/park-management-plans</w:t>
        </w:r>
      </w:hyperlink>
    </w:p>
    <w:p w14:paraId="700EB2A3" w14:textId="77777777" w:rsidR="00836F15" w:rsidRPr="00836F15" w:rsidRDefault="00836F15" w:rsidP="00836F15">
      <w:pPr>
        <w:spacing w:after="20"/>
        <w:ind w:left="284" w:hanging="142"/>
      </w:pPr>
      <w:r w:rsidRPr="00836F15">
        <w:t>•</w:t>
      </w:r>
      <w:r w:rsidRPr="00836F15">
        <w:tab/>
        <w:t>Department for Environment and Water Customer Service Centre, ground floor, 81-95 Waymouth Street, Adelaide SA 5000</w:t>
      </w:r>
    </w:p>
    <w:p w14:paraId="7EE80F06" w14:textId="77777777" w:rsidR="00836F15" w:rsidRPr="00836F15" w:rsidRDefault="00836F15" w:rsidP="00836F15">
      <w:pPr>
        <w:ind w:left="284" w:hanging="142"/>
      </w:pPr>
      <w:r w:rsidRPr="00836F15">
        <w:t>•</w:t>
      </w:r>
      <w:r w:rsidRPr="00836F15">
        <w:tab/>
        <w:t>Port Lincoln National Parks and Wildlife Service Office, 86 Tasman Terrace, Port Lincoln SA 5606</w:t>
      </w:r>
    </w:p>
    <w:p w14:paraId="2795441B" w14:textId="77777777" w:rsidR="00836F15" w:rsidRPr="00836F15" w:rsidRDefault="00836F15" w:rsidP="00836F15">
      <w:pPr>
        <w:spacing w:after="0"/>
        <w:rPr>
          <w:rFonts w:eastAsia="Times New Roman"/>
          <w:szCs w:val="17"/>
        </w:rPr>
      </w:pPr>
      <w:r w:rsidRPr="00836F15">
        <w:rPr>
          <w:rFonts w:eastAsia="Times New Roman"/>
          <w:szCs w:val="17"/>
        </w:rPr>
        <w:t>Dated: 5 August 2025</w:t>
      </w:r>
    </w:p>
    <w:p w14:paraId="24627B14" w14:textId="77777777" w:rsidR="00836F15" w:rsidRPr="00836F15" w:rsidRDefault="00836F15" w:rsidP="00836F15">
      <w:pPr>
        <w:spacing w:after="0"/>
        <w:jc w:val="right"/>
        <w:rPr>
          <w:rFonts w:eastAsia="Times New Roman"/>
          <w:smallCaps/>
          <w:szCs w:val="20"/>
        </w:rPr>
      </w:pPr>
      <w:r w:rsidRPr="00836F15">
        <w:rPr>
          <w:rFonts w:eastAsia="Times New Roman"/>
          <w:smallCaps/>
          <w:szCs w:val="20"/>
        </w:rPr>
        <w:t>Hon Susan Close MP</w:t>
      </w:r>
    </w:p>
    <w:p w14:paraId="71187BBD" w14:textId="77777777" w:rsidR="00836F15" w:rsidRDefault="00836F15" w:rsidP="00836F15">
      <w:pPr>
        <w:spacing w:after="0"/>
        <w:jc w:val="right"/>
        <w:rPr>
          <w:rFonts w:eastAsia="Times New Roman"/>
          <w:szCs w:val="17"/>
        </w:rPr>
      </w:pPr>
      <w:r w:rsidRPr="00836F15">
        <w:rPr>
          <w:rFonts w:eastAsia="Times New Roman"/>
          <w:szCs w:val="17"/>
        </w:rPr>
        <w:t>Minister for Climate, Environment and Water</w:t>
      </w:r>
    </w:p>
    <w:p w14:paraId="176A7A6D" w14:textId="77777777" w:rsidR="00836F15" w:rsidRDefault="00836F15" w:rsidP="00836F15">
      <w:pPr>
        <w:pBdr>
          <w:bottom w:val="single" w:sz="4" w:space="1" w:color="auto"/>
        </w:pBdr>
        <w:spacing w:after="0" w:line="52" w:lineRule="exact"/>
        <w:jc w:val="center"/>
        <w:rPr>
          <w:rFonts w:eastAsia="Times New Roman"/>
          <w:szCs w:val="17"/>
        </w:rPr>
      </w:pPr>
    </w:p>
    <w:p w14:paraId="4BB9F5C0" w14:textId="77777777" w:rsidR="00836F15" w:rsidRDefault="00836F15" w:rsidP="00836F15">
      <w:pPr>
        <w:pBdr>
          <w:top w:val="single" w:sz="4" w:space="1" w:color="auto"/>
        </w:pBdr>
        <w:spacing w:before="34" w:after="0" w:line="14" w:lineRule="exact"/>
        <w:jc w:val="center"/>
        <w:rPr>
          <w:rFonts w:eastAsia="Times New Roman"/>
          <w:szCs w:val="17"/>
        </w:rPr>
      </w:pPr>
    </w:p>
    <w:p w14:paraId="32178302" w14:textId="5EB5D0A3" w:rsidR="00644E6A" w:rsidRDefault="00644E6A">
      <w:pPr>
        <w:spacing w:after="0" w:line="240" w:lineRule="auto"/>
        <w:jc w:val="left"/>
        <w:rPr>
          <w:rFonts w:eastAsia="Times New Roman"/>
          <w:szCs w:val="17"/>
        </w:rPr>
      </w:pPr>
    </w:p>
    <w:p w14:paraId="639B74E8" w14:textId="00621B1D" w:rsidR="00894A26" w:rsidRPr="00894A26" w:rsidRDefault="00DA4D46" w:rsidP="00E34B09">
      <w:pPr>
        <w:pStyle w:val="Heading2"/>
      </w:pPr>
      <w:bookmarkStart w:id="514" w:name="_Toc206061771"/>
      <w:r w:rsidRPr="00894A26">
        <w:t xml:space="preserve">Planning, Development </w:t>
      </w:r>
      <w:r>
        <w:t>a</w:t>
      </w:r>
      <w:r w:rsidRPr="00894A26">
        <w:t>nd Infrastructure Act 2016</w:t>
      </w:r>
      <w:bookmarkEnd w:id="514"/>
    </w:p>
    <w:p w14:paraId="5DE0C7BD" w14:textId="77777777" w:rsidR="00894A26" w:rsidRPr="00894A26" w:rsidRDefault="00894A26" w:rsidP="00894A26">
      <w:pPr>
        <w:jc w:val="center"/>
        <w:rPr>
          <w:smallCaps/>
          <w:szCs w:val="17"/>
        </w:rPr>
      </w:pPr>
      <w:r w:rsidRPr="00894A26">
        <w:rPr>
          <w:smallCaps/>
          <w:szCs w:val="17"/>
        </w:rPr>
        <w:t>Section 43</w:t>
      </w:r>
    </w:p>
    <w:p w14:paraId="135B873D" w14:textId="77777777" w:rsidR="00894A26" w:rsidRPr="00894A26" w:rsidRDefault="00894A26" w:rsidP="00894A26">
      <w:pPr>
        <w:jc w:val="center"/>
        <w:rPr>
          <w:i/>
          <w:szCs w:val="17"/>
        </w:rPr>
      </w:pPr>
      <w:r w:rsidRPr="00894A26">
        <w:rPr>
          <w:i/>
          <w:szCs w:val="17"/>
        </w:rPr>
        <w:t>Practice Guidelines</w:t>
      </w:r>
    </w:p>
    <w:p w14:paraId="395FE004" w14:textId="77777777" w:rsidR="00894A26" w:rsidRPr="00894A26" w:rsidRDefault="00894A26" w:rsidP="00894A26">
      <w:pPr>
        <w:rPr>
          <w:i/>
          <w:iCs/>
        </w:rPr>
      </w:pPr>
      <w:r w:rsidRPr="00894A26">
        <w:rPr>
          <w:i/>
          <w:iCs/>
        </w:rPr>
        <w:t>Preamble</w:t>
      </w:r>
    </w:p>
    <w:p w14:paraId="2E21BD6A" w14:textId="77777777" w:rsidR="00894A26" w:rsidRPr="00894A26" w:rsidRDefault="00894A26" w:rsidP="00894A26">
      <w:r w:rsidRPr="00894A26">
        <w:t>The Commission may, with the approval of the Minister, make practice guidelines with respect to the interpretation, use or application of the Planning and Design Code.</w:t>
      </w:r>
    </w:p>
    <w:p w14:paraId="5F6C5BAE" w14:textId="77777777" w:rsidR="00894A26" w:rsidRPr="00894A26" w:rsidRDefault="00894A26" w:rsidP="00894A26">
      <w:pPr>
        <w:rPr>
          <w:spacing w:val="-4"/>
        </w:rPr>
      </w:pPr>
      <w:r w:rsidRPr="00894A26">
        <w:rPr>
          <w:spacing w:val="-4"/>
        </w:rPr>
        <w:t>A practice guideline may make a declaration as to the effect of a provision of the Planning and Design Code in a particular set of circumstances.</w:t>
      </w:r>
    </w:p>
    <w:p w14:paraId="5B0609B0" w14:textId="77777777" w:rsidR="00894A26" w:rsidRPr="00894A26" w:rsidRDefault="00894A26" w:rsidP="00894A26">
      <w:r w:rsidRPr="00894A26">
        <w:t>A practice guideline must be notified in the Gazette and published on the SA Planning Portal.</w:t>
      </w:r>
    </w:p>
    <w:p w14:paraId="11AE78DC" w14:textId="77777777" w:rsidR="00894A26" w:rsidRPr="00894A26" w:rsidRDefault="00894A26" w:rsidP="00894A26">
      <w:pPr>
        <w:jc w:val="center"/>
        <w:rPr>
          <w:smallCaps/>
          <w:szCs w:val="17"/>
        </w:rPr>
      </w:pPr>
      <w:r w:rsidRPr="00894A26">
        <w:rPr>
          <w:smallCaps/>
          <w:szCs w:val="17"/>
        </w:rPr>
        <w:t>Notice</w:t>
      </w:r>
    </w:p>
    <w:p w14:paraId="6D5F542E" w14:textId="77777777" w:rsidR="00894A26" w:rsidRPr="00894A26" w:rsidRDefault="00894A26" w:rsidP="00894A26">
      <w:r w:rsidRPr="00894A26">
        <w:rPr>
          <w:spacing w:val="-4"/>
        </w:rPr>
        <w:t xml:space="preserve">Pursuant to Section 43(4)(a) of the </w:t>
      </w:r>
      <w:r w:rsidRPr="00894A26">
        <w:rPr>
          <w:i/>
          <w:iCs/>
          <w:spacing w:val="-4"/>
        </w:rPr>
        <w:t>Planning, Development and Infrastructure Act 2016</w:t>
      </w:r>
      <w:r w:rsidRPr="00894A26">
        <w:rPr>
          <w:spacing w:val="-4"/>
        </w:rPr>
        <w:t>, I, Craig Holden, Chair of the State Planning Commission,</w:t>
      </w:r>
      <w:r w:rsidRPr="00894A26">
        <w:t xml:space="preserve"> with the approval of the Minister for Planning:</w:t>
      </w:r>
    </w:p>
    <w:p w14:paraId="7D2D54C1" w14:textId="77777777" w:rsidR="00894A26" w:rsidRPr="00894A26" w:rsidRDefault="00894A26" w:rsidP="00894A26">
      <w:pPr>
        <w:ind w:left="426" w:hanging="284"/>
      </w:pPr>
      <w:r w:rsidRPr="00894A26">
        <w:t>(a)</w:t>
      </w:r>
      <w:r w:rsidRPr="00894A26">
        <w:tab/>
        <w:t>issue State Planning Commission Practice Guideline 3 (Historic Area Overlay)</w:t>
      </w:r>
    </w:p>
    <w:p w14:paraId="4F196D9E" w14:textId="77777777" w:rsidR="00894A26" w:rsidRPr="00894A26" w:rsidRDefault="00894A26" w:rsidP="00894A26">
      <w:pPr>
        <w:ind w:left="426" w:hanging="284"/>
      </w:pPr>
      <w:r w:rsidRPr="00894A26">
        <w:t>(b)</w:t>
      </w:r>
      <w:r w:rsidRPr="00894A26">
        <w:tab/>
        <w:t>fix the day on which the practice guideline is published on the SA Planning Portal as the day on which the practice guideline will come into operation.</w:t>
      </w:r>
    </w:p>
    <w:p w14:paraId="1D8F29D5" w14:textId="77777777" w:rsidR="00894A26" w:rsidRPr="00894A26" w:rsidRDefault="00894A26" w:rsidP="00894A26">
      <w:pPr>
        <w:spacing w:after="0"/>
        <w:rPr>
          <w:rFonts w:eastAsia="Times New Roman"/>
          <w:szCs w:val="17"/>
        </w:rPr>
      </w:pPr>
      <w:r w:rsidRPr="00894A26">
        <w:rPr>
          <w:rFonts w:eastAsia="Times New Roman"/>
          <w:szCs w:val="17"/>
        </w:rPr>
        <w:t>Dated: 14 August 2025</w:t>
      </w:r>
    </w:p>
    <w:p w14:paraId="18448548" w14:textId="77777777" w:rsidR="00894A26" w:rsidRPr="00894A26" w:rsidRDefault="00894A26" w:rsidP="00894A26">
      <w:pPr>
        <w:spacing w:after="0"/>
        <w:jc w:val="right"/>
        <w:rPr>
          <w:rFonts w:eastAsia="Times New Roman"/>
          <w:smallCaps/>
          <w:szCs w:val="20"/>
        </w:rPr>
      </w:pPr>
      <w:r w:rsidRPr="00894A26">
        <w:rPr>
          <w:rFonts w:eastAsia="Times New Roman"/>
          <w:smallCaps/>
          <w:szCs w:val="20"/>
        </w:rPr>
        <w:t>Craig Holden</w:t>
      </w:r>
    </w:p>
    <w:p w14:paraId="17B9D7C7" w14:textId="77777777" w:rsidR="00894A26" w:rsidRPr="00894A26" w:rsidRDefault="00894A26" w:rsidP="00894A26">
      <w:pPr>
        <w:spacing w:after="0"/>
        <w:jc w:val="right"/>
        <w:rPr>
          <w:rFonts w:eastAsia="Times New Roman"/>
          <w:szCs w:val="17"/>
        </w:rPr>
      </w:pPr>
      <w:r w:rsidRPr="00894A26">
        <w:rPr>
          <w:rFonts w:eastAsia="Times New Roman"/>
          <w:szCs w:val="17"/>
        </w:rPr>
        <w:t>Chair, State Planning Commission</w:t>
      </w:r>
    </w:p>
    <w:p w14:paraId="4F979EBF" w14:textId="77777777" w:rsidR="00894A26" w:rsidRPr="00894A26" w:rsidRDefault="00894A26" w:rsidP="00894A26">
      <w:pPr>
        <w:pBdr>
          <w:top w:val="single" w:sz="4" w:space="1" w:color="auto"/>
        </w:pBdr>
        <w:spacing w:before="100" w:after="0" w:line="14" w:lineRule="exact"/>
        <w:jc w:val="center"/>
        <w:rPr>
          <w:rFonts w:eastAsia="Times New Roman"/>
          <w:szCs w:val="17"/>
        </w:rPr>
      </w:pPr>
    </w:p>
    <w:p w14:paraId="06B1DABC" w14:textId="77777777" w:rsidR="00894A26" w:rsidRPr="00894A26" w:rsidRDefault="00894A26" w:rsidP="00644E6A">
      <w:pPr>
        <w:pStyle w:val="NoSpacing"/>
      </w:pPr>
    </w:p>
    <w:p w14:paraId="7B0B1071" w14:textId="77777777" w:rsidR="00BF2721" w:rsidRPr="00BF2721" w:rsidRDefault="00BF2721" w:rsidP="00BF2721">
      <w:pPr>
        <w:jc w:val="center"/>
        <w:rPr>
          <w:caps/>
          <w:szCs w:val="17"/>
        </w:rPr>
      </w:pPr>
      <w:r w:rsidRPr="00BF2721">
        <w:rPr>
          <w:caps/>
          <w:szCs w:val="17"/>
        </w:rPr>
        <w:lastRenderedPageBreak/>
        <w:t>PLANNING, DEVELOPMENT AND INFRASTRUCTURE ACT 2016</w:t>
      </w:r>
    </w:p>
    <w:p w14:paraId="7282A9E5" w14:textId="77777777" w:rsidR="00BF2721" w:rsidRPr="00BF2721" w:rsidRDefault="00BF2721" w:rsidP="00BF2721">
      <w:pPr>
        <w:jc w:val="center"/>
        <w:rPr>
          <w:smallCaps/>
          <w:szCs w:val="17"/>
        </w:rPr>
      </w:pPr>
      <w:r w:rsidRPr="00BF2721">
        <w:rPr>
          <w:smallCaps/>
          <w:szCs w:val="17"/>
        </w:rPr>
        <w:t>Section 63</w:t>
      </w:r>
    </w:p>
    <w:p w14:paraId="19BCB74C" w14:textId="77777777" w:rsidR="00BF2721" w:rsidRPr="00BF2721" w:rsidRDefault="00BF2721" w:rsidP="00BF2721">
      <w:pPr>
        <w:jc w:val="center"/>
        <w:rPr>
          <w:i/>
          <w:szCs w:val="17"/>
        </w:rPr>
      </w:pPr>
      <w:r w:rsidRPr="00BF2721">
        <w:rPr>
          <w:i/>
          <w:szCs w:val="17"/>
        </w:rPr>
        <w:t>Special Legislative Schemes</w:t>
      </w:r>
    </w:p>
    <w:p w14:paraId="77D090E2" w14:textId="77777777" w:rsidR="00BF2721" w:rsidRPr="00BF2721" w:rsidRDefault="00BF2721" w:rsidP="00BF2721">
      <w:pPr>
        <w:rPr>
          <w:i/>
          <w:iCs/>
        </w:rPr>
      </w:pPr>
      <w:r w:rsidRPr="00BF2721">
        <w:rPr>
          <w:i/>
          <w:iCs/>
        </w:rPr>
        <w:t>Preamble</w:t>
      </w:r>
    </w:p>
    <w:p w14:paraId="175329BC" w14:textId="77777777" w:rsidR="00BF2721" w:rsidRPr="00BF2721" w:rsidRDefault="00BF2721" w:rsidP="00BF2721">
      <w:r w:rsidRPr="00BF2721">
        <w:t>Section 11 of the Act defines what constitutes a special legislative scheme.</w:t>
      </w:r>
    </w:p>
    <w:p w14:paraId="6C74E00B" w14:textId="77777777" w:rsidR="00BF2721" w:rsidRPr="00BF2721" w:rsidRDefault="00BF2721" w:rsidP="00BF2721">
      <w:pPr>
        <w:rPr>
          <w:spacing w:val="-4"/>
        </w:rPr>
      </w:pPr>
      <w:r w:rsidRPr="00BF2721">
        <w:rPr>
          <w:spacing w:val="-4"/>
        </w:rPr>
        <w:t>Section 63 of the Act sets out that the Minister for Planning must establish a state planning policy with respect to each special legislative scheme.</w:t>
      </w:r>
    </w:p>
    <w:p w14:paraId="5AC40287" w14:textId="77777777" w:rsidR="00BF2721" w:rsidRPr="00BF2721" w:rsidRDefault="00BF2721" w:rsidP="00BF2721">
      <w:r w:rsidRPr="00BF2721">
        <w:t>A state planning policy for a special legislative scheme may be amended by the Minister for Planning from time to time by a notice published in the Gazette, with the amendment to be published on the SA Planning Portal.</w:t>
      </w:r>
    </w:p>
    <w:p w14:paraId="2CA1CAB0" w14:textId="77777777" w:rsidR="00BF2721" w:rsidRPr="00BF2721" w:rsidRDefault="00BF2721" w:rsidP="00BF2721">
      <w:pPr>
        <w:jc w:val="center"/>
        <w:rPr>
          <w:smallCaps/>
          <w:szCs w:val="17"/>
        </w:rPr>
      </w:pPr>
      <w:r w:rsidRPr="00BF2721">
        <w:rPr>
          <w:smallCaps/>
          <w:szCs w:val="17"/>
        </w:rPr>
        <w:t>Notice</w:t>
      </w:r>
    </w:p>
    <w:p w14:paraId="55E98D04" w14:textId="77777777" w:rsidR="00BF2721" w:rsidRPr="00BF2721" w:rsidRDefault="00BF2721" w:rsidP="00BF2721">
      <w:r w:rsidRPr="00BF2721">
        <w:t xml:space="preserve">Pursuant to Section 63(2) of the </w:t>
      </w:r>
      <w:r w:rsidRPr="00BF2721">
        <w:rPr>
          <w:i/>
          <w:iCs/>
        </w:rPr>
        <w:t>Planning, Development and Infrastructure Act 2016</w:t>
      </w:r>
      <w:r w:rsidRPr="00BF2721">
        <w:t>, I, Nick Champion, Minister for Planning:</w:t>
      </w:r>
    </w:p>
    <w:p w14:paraId="7BD3AC70" w14:textId="77777777" w:rsidR="00BF2721" w:rsidRPr="00BF2721" w:rsidRDefault="00BF2721" w:rsidP="00BF2721">
      <w:pPr>
        <w:ind w:left="426" w:hanging="284"/>
      </w:pPr>
      <w:r w:rsidRPr="00BF2721">
        <w:t>(a)</w:t>
      </w:r>
      <w:r w:rsidRPr="00BF2721">
        <w:tab/>
        <w:t>amend the State Planning Policies for South Australia—Special Legislative Schemes; and</w:t>
      </w:r>
    </w:p>
    <w:p w14:paraId="028B4AAA" w14:textId="77777777" w:rsidR="00BF2721" w:rsidRPr="00BF2721" w:rsidRDefault="00BF2721" w:rsidP="00BF2721">
      <w:pPr>
        <w:ind w:left="426" w:hanging="284"/>
      </w:pPr>
      <w:r w:rsidRPr="00BF2721">
        <w:t>(b)</w:t>
      </w:r>
      <w:r w:rsidRPr="00BF2721">
        <w:tab/>
        <w:t>fix the day on which the amended State Planning Policies for South Australia—Special Legislative Schemes are published on the SA Planning Portal as the day on which they will come into operation.</w:t>
      </w:r>
    </w:p>
    <w:p w14:paraId="34BC068B" w14:textId="77777777" w:rsidR="00BF2721" w:rsidRPr="00BF2721" w:rsidRDefault="00BF2721" w:rsidP="00BF2721">
      <w:r w:rsidRPr="00BF2721">
        <w:t>Dated: 14 August 2025</w:t>
      </w:r>
    </w:p>
    <w:p w14:paraId="2C53D179" w14:textId="77777777" w:rsidR="00BF2721" w:rsidRPr="00BF2721" w:rsidRDefault="00BF2721" w:rsidP="00BF2721">
      <w:pPr>
        <w:spacing w:after="0"/>
        <w:jc w:val="right"/>
        <w:rPr>
          <w:rFonts w:eastAsia="Times New Roman"/>
          <w:smallCaps/>
          <w:szCs w:val="20"/>
        </w:rPr>
      </w:pPr>
      <w:r w:rsidRPr="00BF2721">
        <w:rPr>
          <w:rFonts w:eastAsia="Times New Roman"/>
          <w:smallCaps/>
          <w:szCs w:val="20"/>
        </w:rPr>
        <w:t>Hon Nick Champion MP</w:t>
      </w:r>
    </w:p>
    <w:p w14:paraId="2697EAAC" w14:textId="77777777" w:rsidR="00BF2721" w:rsidRPr="00BF2721" w:rsidRDefault="00BF2721" w:rsidP="00BF2721">
      <w:pPr>
        <w:spacing w:after="0"/>
        <w:jc w:val="right"/>
        <w:rPr>
          <w:rFonts w:eastAsia="Times New Roman"/>
          <w:szCs w:val="17"/>
        </w:rPr>
      </w:pPr>
      <w:r w:rsidRPr="00BF2721">
        <w:rPr>
          <w:rFonts w:eastAsia="Times New Roman"/>
          <w:szCs w:val="17"/>
        </w:rPr>
        <w:t>Minister for Planning</w:t>
      </w:r>
    </w:p>
    <w:p w14:paraId="2D12888D" w14:textId="77777777" w:rsidR="00BF2721" w:rsidRPr="00BF2721" w:rsidRDefault="00BF2721" w:rsidP="00BF2721">
      <w:pPr>
        <w:pBdr>
          <w:top w:val="single" w:sz="4" w:space="1" w:color="auto"/>
        </w:pBdr>
        <w:spacing w:before="100" w:after="0" w:line="14" w:lineRule="exact"/>
        <w:jc w:val="center"/>
        <w:rPr>
          <w:rFonts w:eastAsia="Times New Roman"/>
          <w:szCs w:val="17"/>
        </w:rPr>
      </w:pPr>
    </w:p>
    <w:p w14:paraId="3B0D4850" w14:textId="77777777" w:rsidR="00BF2721" w:rsidRPr="00BF2721" w:rsidRDefault="00BF2721" w:rsidP="00644E6A">
      <w:pPr>
        <w:pStyle w:val="NoSpacing"/>
      </w:pPr>
    </w:p>
    <w:p w14:paraId="1DCCA6C8" w14:textId="77777777" w:rsidR="00D30640" w:rsidRDefault="00D30640" w:rsidP="00D30640">
      <w:pPr>
        <w:pStyle w:val="GG-Title1"/>
      </w:pPr>
      <w:r>
        <w:t>Planning, Development and Infrastructure Act 2016</w:t>
      </w:r>
    </w:p>
    <w:p w14:paraId="4F270140" w14:textId="77777777" w:rsidR="00D30640" w:rsidRDefault="00D30640" w:rsidP="00D30640">
      <w:pPr>
        <w:pStyle w:val="GG-Title2"/>
      </w:pPr>
      <w:r>
        <w:t>Section 76</w:t>
      </w:r>
    </w:p>
    <w:p w14:paraId="2667CFBD" w14:textId="77777777" w:rsidR="00D30640" w:rsidRDefault="00D30640" w:rsidP="00D30640">
      <w:pPr>
        <w:pStyle w:val="GG-Title3"/>
      </w:pPr>
      <w:r>
        <w:t>Amendment to the Planning and Design Code</w:t>
      </w:r>
    </w:p>
    <w:p w14:paraId="7799572E" w14:textId="77777777" w:rsidR="00D30640" w:rsidRPr="005D1AA0" w:rsidRDefault="00D30640" w:rsidP="00E445BE">
      <w:pPr>
        <w:pStyle w:val="GG-body"/>
        <w:rPr>
          <w:i/>
          <w:iCs/>
        </w:rPr>
      </w:pPr>
      <w:r w:rsidRPr="005D1AA0">
        <w:rPr>
          <w:i/>
          <w:iCs/>
        </w:rPr>
        <w:t>Preamble</w:t>
      </w:r>
    </w:p>
    <w:p w14:paraId="50B27187" w14:textId="77777777" w:rsidR="00D30640" w:rsidRPr="0042567A" w:rsidRDefault="00D30640" w:rsidP="00E445BE">
      <w:pPr>
        <w:pStyle w:val="GG-body"/>
        <w:rPr>
          <w:spacing w:val="-2"/>
        </w:rPr>
      </w:pPr>
      <w:r w:rsidRPr="0042567A">
        <w:rPr>
          <w:spacing w:val="-2"/>
        </w:rPr>
        <w:t xml:space="preserve">It is necessary to amend the Planning and Design Code (the Code) in operation at 31 July 2025 (Version 2025.14)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 </w:t>
      </w:r>
    </w:p>
    <w:p w14:paraId="68BA1E95" w14:textId="77777777" w:rsidR="00D30640" w:rsidRDefault="00D30640" w:rsidP="00E445BE">
      <w:pPr>
        <w:pStyle w:val="GG-body"/>
        <w:ind w:left="284" w:hanging="284"/>
      </w:pPr>
      <w:r>
        <w:t>1.</w:t>
      </w:r>
      <w:r>
        <w:tab/>
        <w:t xml:space="preserve">Pursuant to Section 76 of the </w:t>
      </w:r>
      <w:r w:rsidRPr="0042567A">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47343277" w14:textId="77777777" w:rsidR="00D30640" w:rsidRDefault="00D30640" w:rsidP="00E445BE">
      <w:pPr>
        <w:pStyle w:val="GG-body"/>
        <w:ind w:left="568" w:hanging="284"/>
      </w:pPr>
      <w:r>
        <w:t>(a)</w:t>
      </w:r>
      <w:r>
        <w:tab/>
        <w:t>Undertake minor alterations to the geometry of the spatial layers and data in the Code to maintain the current relationship between the parcel boundaries and Code data as a result of the following:</w:t>
      </w:r>
    </w:p>
    <w:p w14:paraId="3880CE21" w14:textId="77777777" w:rsidR="00D30640" w:rsidRDefault="00D30640" w:rsidP="00E445BE">
      <w:pPr>
        <w:pStyle w:val="GG-body"/>
        <w:ind w:left="851" w:hanging="284"/>
      </w:pPr>
      <w:r>
        <w:t>(i)</w:t>
      </w:r>
      <w:r>
        <w:tab/>
      </w:r>
      <w:r w:rsidRPr="00F06CFD">
        <w:rPr>
          <w:spacing w:val="-2"/>
        </w:rPr>
        <w:t>New plans of division deposited in the Land Titles Office between 23 July 2025 and 5 August 2025 affecting the following spatial and data layers in the Code:</w:t>
      </w:r>
    </w:p>
    <w:p w14:paraId="4070AC18" w14:textId="77777777" w:rsidR="00D30640" w:rsidRDefault="00D30640" w:rsidP="00644E6A">
      <w:pPr>
        <w:pStyle w:val="GG-body"/>
        <w:spacing w:after="60"/>
        <w:ind w:left="1135" w:hanging="284"/>
      </w:pPr>
      <w:r>
        <w:t>A.</w:t>
      </w:r>
      <w:r>
        <w:tab/>
        <w:t>Zones and subzones</w:t>
      </w:r>
    </w:p>
    <w:p w14:paraId="3D86E1F8" w14:textId="77777777" w:rsidR="00D30640" w:rsidRDefault="00D30640" w:rsidP="00644E6A">
      <w:pPr>
        <w:pStyle w:val="GG-body"/>
        <w:spacing w:after="60"/>
        <w:ind w:left="1135" w:hanging="284"/>
      </w:pPr>
      <w:r>
        <w:t>B.</w:t>
      </w:r>
      <w:r>
        <w:tab/>
        <w:t>Technical and Numeric Variations</w:t>
      </w:r>
    </w:p>
    <w:p w14:paraId="7A97CB58" w14:textId="77777777" w:rsidR="00D30640" w:rsidRDefault="00D30640" w:rsidP="00E445BE">
      <w:pPr>
        <w:pStyle w:val="GG-body"/>
        <w:spacing w:after="60"/>
        <w:ind w:left="1276" w:hanging="142"/>
      </w:pPr>
      <w:r>
        <w:t>•</w:t>
      </w:r>
      <w:r>
        <w:tab/>
        <w:t>Building Heights (Levels)</w:t>
      </w:r>
    </w:p>
    <w:p w14:paraId="2C60F085" w14:textId="77777777" w:rsidR="00D30640" w:rsidRDefault="00D30640" w:rsidP="00E445BE">
      <w:pPr>
        <w:pStyle w:val="GG-body"/>
        <w:spacing w:after="60"/>
        <w:ind w:left="1276" w:hanging="142"/>
      </w:pPr>
      <w:r>
        <w:t>•</w:t>
      </w:r>
      <w:r>
        <w:tab/>
        <w:t>Building Heights (Metres)</w:t>
      </w:r>
    </w:p>
    <w:p w14:paraId="1DF7FA68" w14:textId="77777777" w:rsidR="00D30640" w:rsidRDefault="00D30640" w:rsidP="00E445BE">
      <w:pPr>
        <w:pStyle w:val="GG-body"/>
        <w:spacing w:after="60"/>
        <w:ind w:left="1276" w:hanging="142"/>
      </w:pPr>
      <w:r>
        <w:t>•</w:t>
      </w:r>
      <w:r>
        <w:tab/>
        <w:t>Concept Plan</w:t>
      </w:r>
    </w:p>
    <w:p w14:paraId="4D4E2453" w14:textId="77777777" w:rsidR="00D30640" w:rsidRDefault="00D30640" w:rsidP="00E445BE">
      <w:pPr>
        <w:pStyle w:val="GG-body"/>
        <w:spacing w:after="60"/>
        <w:ind w:left="1276" w:hanging="142"/>
      </w:pPr>
      <w:r>
        <w:t>•</w:t>
      </w:r>
      <w:r>
        <w:tab/>
        <w:t>Interface Height</w:t>
      </w:r>
    </w:p>
    <w:p w14:paraId="49D45500" w14:textId="77777777" w:rsidR="00D30640" w:rsidRDefault="00D30640" w:rsidP="00E445BE">
      <w:pPr>
        <w:pStyle w:val="GG-body"/>
        <w:spacing w:after="60"/>
        <w:ind w:left="1276" w:hanging="142"/>
      </w:pPr>
      <w:r>
        <w:t>•</w:t>
      </w:r>
      <w:r>
        <w:tab/>
        <w:t>Minimum Dwelling Allotment Size</w:t>
      </w:r>
    </w:p>
    <w:p w14:paraId="71CDBA76" w14:textId="77777777" w:rsidR="00D30640" w:rsidRDefault="00D30640" w:rsidP="00E445BE">
      <w:pPr>
        <w:pStyle w:val="GG-body"/>
        <w:spacing w:after="60"/>
        <w:ind w:left="1276" w:hanging="142"/>
      </w:pPr>
      <w:r>
        <w:t>•</w:t>
      </w:r>
      <w:r>
        <w:tab/>
        <w:t>Minimum Frontage</w:t>
      </w:r>
    </w:p>
    <w:p w14:paraId="7C773C6C" w14:textId="77777777" w:rsidR="00D30640" w:rsidRDefault="00D30640" w:rsidP="00E445BE">
      <w:pPr>
        <w:pStyle w:val="GG-body"/>
        <w:spacing w:after="60"/>
        <w:ind w:left="1276" w:hanging="142"/>
      </w:pPr>
      <w:r>
        <w:t>•</w:t>
      </w:r>
      <w:r>
        <w:tab/>
        <w:t>Minimum Site Area</w:t>
      </w:r>
    </w:p>
    <w:p w14:paraId="0555E94F" w14:textId="77777777" w:rsidR="00D30640" w:rsidRDefault="00D30640" w:rsidP="00E445BE">
      <w:pPr>
        <w:pStyle w:val="GG-body"/>
        <w:spacing w:after="60"/>
        <w:ind w:left="1276" w:hanging="142"/>
      </w:pPr>
      <w:r>
        <w:t>•</w:t>
      </w:r>
      <w:r>
        <w:tab/>
        <w:t>Minimum Primary Street Setback</w:t>
      </w:r>
    </w:p>
    <w:p w14:paraId="4BE428BB" w14:textId="77777777" w:rsidR="00D30640" w:rsidRDefault="00D30640" w:rsidP="00E445BE">
      <w:pPr>
        <w:pStyle w:val="GG-body"/>
        <w:spacing w:after="60"/>
        <w:ind w:left="1276" w:hanging="142"/>
      </w:pPr>
      <w:r>
        <w:t>•</w:t>
      </w:r>
      <w:r>
        <w:tab/>
        <w:t>Minimum Side Boundary Setback</w:t>
      </w:r>
    </w:p>
    <w:p w14:paraId="0AFB6E25" w14:textId="77777777" w:rsidR="00D30640" w:rsidRDefault="00D30640" w:rsidP="00E445BE">
      <w:pPr>
        <w:pStyle w:val="GG-body"/>
        <w:spacing w:after="60"/>
        <w:ind w:left="1276" w:hanging="142"/>
      </w:pPr>
      <w:r>
        <w:t>•</w:t>
      </w:r>
      <w:r>
        <w:tab/>
        <w:t>Future Local Road Widening Setback</w:t>
      </w:r>
    </w:p>
    <w:p w14:paraId="6ABD3D9B" w14:textId="77777777" w:rsidR="00D30640" w:rsidRDefault="00D30640" w:rsidP="00D30640">
      <w:pPr>
        <w:pStyle w:val="GG-body"/>
        <w:ind w:left="1276" w:hanging="142"/>
      </w:pPr>
      <w:r>
        <w:t>•</w:t>
      </w:r>
      <w:r>
        <w:tab/>
        <w:t>Site Coverage</w:t>
      </w:r>
    </w:p>
    <w:p w14:paraId="78F15E0A" w14:textId="77777777" w:rsidR="00D30640" w:rsidRDefault="00D30640" w:rsidP="00D30640">
      <w:pPr>
        <w:pStyle w:val="GG-body"/>
        <w:ind w:left="1135" w:hanging="284"/>
      </w:pPr>
      <w:r>
        <w:t>C.</w:t>
      </w:r>
      <w:r>
        <w:tab/>
        <w:t>Overlays</w:t>
      </w:r>
    </w:p>
    <w:p w14:paraId="5EB193B3" w14:textId="77777777" w:rsidR="00D30640" w:rsidRDefault="00D30640" w:rsidP="00E445BE">
      <w:pPr>
        <w:pStyle w:val="GG-body"/>
        <w:spacing w:after="60"/>
        <w:ind w:left="1276" w:hanging="142"/>
      </w:pPr>
      <w:r>
        <w:t>•</w:t>
      </w:r>
      <w:r>
        <w:tab/>
        <w:t>Affordable Housing</w:t>
      </w:r>
    </w:p>
    <w:p w14:paraId="5D7C33C9" w14:textId="77777777" w:rsidR="00D30640" w:rsidRDefault="00D30640" w:rsidP="00E445BE">
      <w:pPr>
        <w:pStyle w:val="GG-body"/>
        <w:spacing w:after="60"/>
        <w:ind w:left="1276" w:hanging="142"/>
      </w:pPr>
      <w:r>
        <w:t>•</w:t>
      </w:r>
      <w:r>
        <w:tab/>
        <w:t>Character Area</w:t>
      </w:r>
    </w:p>
    <w:p w14:paraId="00DB863B" w14:textId="77777777" w:rsidR="00D30640" w:rsidRDefault="00D30640" w:rsidP="00E445BE">
      <w:pPr>
        <w:pStyle w:val="GG-body"/>
        <w:spacing w:after="60"/>
        <w:ind w:left="1276" w:hanging="142"/>
      </w:pPr>
      <w:r>
        <w:t>•</w:t>
      </w:r>
      <w:r>
        <w:tab/>
        <w:t>Defence Aviation Area</w:t>
      </w:r>
    </w:p>
    <w:p w14:paraId="00B9419B" w14:textId="77777777" w:rsidR="00D30640" w:rsidRDefault="00D30640" w:rsidP="00E445BE">
      <w:pPr>
        <w:pStyle w:val="GG-body"/>
        <w:spacing w:after="60"/>
        <w:ind w:left="1276" w:hanging="142"/>
      </w:pPr>
      <w:r>
        <w:t>•</w:t>
      </w:r>
      <w:r>
        <w:tab/>
        <w:t>Dwelling Excision</w:t>
      </w:r>
    </w:p>
    <w:p w14:paraId="5E168550" w14:textId="77777777" w:rsidR="00D30640" w:rsidRDefault="00D30640" w:rsidP="00E445BE">
      <w:pPr>
        <w:pStyle w:val="GG-body"/>
        <w:spacing w:after="60"/>
        <w:ind w:left="1276" w:hanging="142"/>
      </w:pPr>
      <w:r>
        <w:t>•</w:t>
      </w:r>
      <w:r>
        <w:tab/>
        <w:t>Future Local Road Widening</w:t>
      </w:r>
    </w:p>
    <w:p w14:paraId="210547A2" w14:textId="77777777" w:rsidR="00D30640" w:rsidRDefault="00D30640" w:rsidP="00E445BE">
      <w:pPr>
        <w:pStyle w:val="GG-body"/>
        <w:spacing w:after="60"/>
        <w:ind w:left="1276" w:hanging="142"/>
      </w:pPr>
      <w:r>
        <w:t>•</w:t>
      </w:r>
      <w:r>
        <w:tab/>
        <w:t>Future Road Widening</w:t>
      </w:r>
    </w:p>
    <w:p w14:paraId="6299DCDA" w14:textId="77777777" w:rsidR="00D30640" w:rsidRDefault="00D30640" w:rsidP="00E445BE">
      <w:pPr>
        <w:pStyle w:val="GG-body"/>
        <w:spacing w:after="60"/>
        <w:ind w:left="1276" w:hanging="142"/>
      </w:pPr>
      <w:r>
        <w:t>•</w:t>
      </w:r>
      <w:r>
        <w:tab/>
        <w:t>Hazards (Bushfire—High Risk)</w:t>
      </w:r>
    </w:p>
    <w:p w14:paraId="43BA9094" w14:textId="77777777" w:rsidR="00D30640" w:rsidRDefault="00D30640" w:rsidP="00E445BE">
      <w:pPr>
        <w:pStyle w:val="GG-body"/>
        <w:spacing w:after="60"/>
        <w:ind w:left="1276" w:hanging="142"/>
      </w:pPr>
      <w:r>
        <w:t>•</w:t>
      </w:r>
      <w:r>
        <w:tab/>
        <w:t>Hazards (Bushfire—Medium Risk)</w:t>
      </w:r>
    </w:p>
    <w:p w14:paraId="6749617E" w14:textId="77777777" w:rsidR="00D30640" w:rsidRDefault="00D30640" w:rsidP="00E445BE">
      <w:pPr>
        <w:pStyle w:val="GG-body"/>
        <w:spacing w:after="60"/>
        <w:ind w:left="1276" w:hanging="142"/>
      </w:pPr>
      <w:r>
        <w:t>•</w:t>
      </w:r>
      <w:r>
        <w:tab/>
        <w:t>Hazards (Bushfire—General Risk)</w:t>
      </w:r>
    </w:p>
    <w:p w14:paraId="052E15EA" w14:textId="77777777" w:rsidR="00D30640" w:rsidRDefault="00D30640" w:rsidP="00E445BE">
      <w:pPr>
        <w:pStyle w:val="GG-body"/>
        <w:spacing w:after="60"/>
        <w:ind w:left="1276" w:hanging="142"/>
      </w:pPr>
      <w:r>
        <w:t>•</w:t>
      </w:r>
      <w:r>
        <w:tab/>
        <w:t>Hazards (Bushfire—Urban Interface)</w:t>
      </w:r>
    </w:p>
    <w:p w14:paraId="540B5E24" w14:textId="77777777" w:rsidR="00D30640" w:rsidRDefault="00D30640" w:rsidP="00E445BE">
      <w:pPr>
        <w:pStyle w:val="GG-body"/>
        <w:spacing w:after="60"/>
        <w:ind w:left="1276" w:hanging="142"/>
      </w:pPr>
      <w:r>
        <w:t>•</w:t>
      </w:r>
      <w:r>
        <w:tab/>
        <w:t>Hazards (Bushfire—Regional)</w:t>
      </w:r>
    </w:p>
    <w:p w14:paraId="53276464" w14:textId="77777777" w:rsidR="00D30640" w:rsidRDefault="00D30640" w:rsidP="00E445BE">
      <w:pPr>
        <w:pStyle w:val="GG-body"/>
        <w:spacing w:after="60"/>
        <w:ind w:left="1276" w:hanging="142"/>
      </w:pPr>
      <w:r>
        <w:t>•</w:t>
      </w:r>
      <w:r>
        <w:tab/>
        <w:t>Hazards (Bushfire—Outback)</w:t>
      </w:r>
    </w:p>
    <w:p w14:paraId="29433DF3" w14:textId="77777777" w:rsidR="00D30640" w:rsidRDefault="00D30640" w:rsidP="00E445BE">
      <w:pPr>
        <w:pStyle w:val="GG-body"/>
        <w:spacing w:after="60"/>
        <w:ind w:left="1276" w:hanging="142"/>
      </w:pPr>
      <w:r>
        <w:t>•</w:t>
      </w:r>
      <w:r>
        <w:tab/>
        <w:t>Heritage Adjacency</w:t>
      </w:r>
    </w:p>
    <w:p w14:paraId="13AC6327" w14:textId="77777777" w:rsidR="00D30640" w:rsidRDefault="00D30640" w:rsidP="00E445BE">
      <w:pPr>
        <w:pStyle w:val="GG-body"/>
        <w:spacing w:after="60"/>
        <w:ind w:left="1276" w:hanging="142"/>
      </w:pPr>
      <w:r>
        <w:t>•</w:t>
      </w:r>
      <w:r>
        <w:tab/>
        <w:t>Historic Area</w:t>
      </w:r>
    </w:p>
    <w:p w14:paraId="57649AC5" w14:textId="77777777" w:rsidR="00D30640" w:rsidRDefault="00D30640" w:rsidP="00E445BE">
      <w:pPr>
        <w:pStyle w:val="GG-body"/>
        <w:spacing w:after="60"/>
        <w:ind w:left="1276" w:hanging="142"/>
      </w:pPr>
      <w:r>
        <w:t>•</w:t>
      </w:r>
      <w:r>
        <w:tab/>
        <w:t>Local Heritage Place</w:t>
      </w:r>
    </w:p>
    <w:p w14:paraId="49925BF8" w14:textId="77777777" w:rsidR="00D30640" w:rsidRDefault="00D30640" w:rsidP="00E445BE">
      <w:pPr>
        <w:pStyle w:val="GG-body"/>
        <w:spacing w:after="60"/>
        <w:ind w:left="1276" w:hanging="142"/>
      </w:pPr>
      <w:r>
        <w:lastRenderedPageBreak/>
        <w:t>•</w:t>
      </w:r>
      <w:r>
        <w:tab/>
        <w:t>Noise and Air Emissions</w:t>
      </w:r>
    </w:p>
    <w:p w14:paraId="0EDF2239" w14:textId="77777777" w:rsidR="00D30640" w:rsidRDefault="00D30640" w:rsidP="00E445BE">
      <w:pPr>
        <w:pStyle w:val="GG-body"/>
        <w:spacing w:after="60"/>
        <w:ind w:left="1276" w:hanging="142"/>
      </w:pPr>
      <w:r>
        <w:t>•</w:t>
      </w:r>
      <w:r>
        <w:tab/>
        <w:t>State Heritage Place</w:t>
      </w:r>
    </w:p>
    <w:p w14:paraId="2130921E" w14:textId="77777777" w:rsidR="00D30640" w:rsidRDefault="00D30640" w:rsidP="00E445BE">
      <w:pPr>
        <w:pStyle w:val="GG-body"/>
        <w:spacing w:after="60"/>
        <w:ind w:left="1276" w:hanging="142"/>
      </w:pPr>
      <w:r>
        <w:t>•</w:t>
      </w:r>
      <w:r>
        <w:tab/>
        <w:t>Stormwater Management</w:t>
      </w:r>
    </w:p>
    <w:p w14:paraId="5F623F38" w14:textId="77777777" w:rsidR="00D30640" w:rsidRDefault="00D30640" w:rsidP="00E445BE">
      <w:pPr>
        <w:pStyle w:val="GG-body"/>
        <w:ind w:left="1276" w:hanging="142"/>
      </w:pPr>
      <w:r>
        <w:t>•</w:t>
      </w:r>
      <w:r>
        <w:tab/>
        <w:t>Urban Tree Canopy</w:t>
      </w:r>
    </w:p>
    <w:p w14:paraId="57203BA2" w14:textId="77777777" w:rsidR="00D30640" w:rsidRDefault="00D30640" w:rsidP="00D30640">
      <w:pPr>
        <w:pStyle w:val="GG-body"/>
        <w:ind w:left="568" w:hanging="284"/>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0A9C8C19" w14:textId="77777777" w:rsidR="00D30640" w:rsidRDefault="00D30640" w:rsidP="00D30640">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32B7512E" w14:textId="77777777" w:rsidR="00D30640" w:rsidRPr="00067461" w:rsidRDefault="00D30640" w:rsidP="00D30640">
      <w:pPr>
        <w:pStyle w:val="GG-SDated"/>
      </w:pPr>
      <w:r w:rsidRPr="00067461">
        <w:t xml:space="preserve">Dated: 7 August 2025 </w:t>
      </w:r>
    </w:p>
    <w:p w14:paraId="3DB23118" w14:textId="77777777" w:rsidR="00D30640" w:rsidRDefault="00D30640" w:rsidP="00D30640">
      <w:pPr>
        <w:pStyle w:val="GG-SName"/>
      </w:pPr>
      <w:r>
        <w:t>Greg Van Gaans</w:t>
      </w:r>
    </w:p>
    <w:p w14:paraId="78124852" w14:textId="77777777" w:rsidR="00D30640" w:rsidRDefault="00D30640" w:rsidP="00D30640">
      <w:pPr>
        <w:pStyle w:val="GG-Signature"/>
      </w:pPr>
      <w:r>
        <w:t>Director, Geospatial, Data Science and Analytics,</w:t>
      </w:r>
    </w:p>
    <w:p w14:paraId="706D737D" w14:textId="77777777" w:rsidR="00D30640" w:rsidRDefault="00D30640" w:rsidP="00D30640">
      <w:pPr>
        <w:pStyle w:val="GG-Signature"/>
      </w:pPr>
      <w:r>
        <w:t>Department for Housing and Urban Development</w:t>
      </w:r>
    </w:p>
    <w:p w14:paraId="31F46C6F" w14:textId="77777777" w:rsidR="00D30640" w:rsidRDefault="00D30640" w:rsidP="00D30640">
      <w:pPr>
        <w:pStyle w:val="GG-Signature"/>
      </w:pPr>
      <w:r>
        <w:t>Delegate of the Minister for Planning</w:t>
      </w:r>
    </w:p>
    <w:p w14:paraId="08F0B911" w14:textId="77777777" w:rsidR="00D30640" w:rsidRDefault="00D30640" w:rsidP="00D30640">
      <w:pPr>
        <w:pStyle w:val="GG-Signature"/>
        <w:pBdr>
          <w:top w:val="single" w:sz="4" w:space="1" w:color="auto"/>
        </w:pBdr>
        <w:spacing w:before="100" w:line="14" w:lineRule="exact"/>
        <w:jc w:val="center"/>
      </w:pPr>
    </w:p>
    <w:p w14:paraId="15F87361" w14:textId="77777777" w:rsidR="00D30640" w:rsidRPr="003D4C75" w:rsidRDefault="00D30640" w:rsidP="00644E6A">
      <w:pPr>
        <w:pStyle w:val="NoSpacing"/>
      </w:pPr>
    </w:p>
    <w:p w14:paraId="15CFD03D" w14:textId="77777777" w:rsidR="00C30469" w:rsidRPr="00C30469" w:rsidRDefault="00C30469" w:rsidP="00C30469">
      <w:pPr>
        <w:jc w:val="center"/>
        <w:rPr>
          <w:caps/>
          <w:szCs w:val="17"/>
        </w:rPr>
      </w:pPr>
      <w:r w:rsidRPr="00C30469">
        <w:rPr>
          <w:caps/>
          <w:szCs w:val="17"/>
        </w:rPr>
        <w:t>PLANNING, DEVELOPMENT AND INFRASTRUCTURE ACT 2016</w:t>
      </w:r>
    </w:p>
    <w:p w14:paraId="607460BE" w14:textId="77777777" w:rsidR="00C30469" w:rsidRPr="00C30469" w:rsidRDefault="00C30469" w:rsidP="00C30469">
      <w:pPr>
        <w:jc w:val="center"/>
        <w:rPr>
          <w:smallCaps/>
          <w:szCs w:val="17"/>
        </w:rPr>
      </w:pPr>
      <w:r w:rsidRPr="00C30469">
        <w:rPr>
          <w:smallCaps/>
          <w:szCs w:val="17"/>
        </w:rPr>
        <w:t>Section 76</w:t>
      </w:r>
    </w:p>
    <w:p w14:paraId="6BB035C8" w14:textId="77777777" w:rsidR="00C30469" w:rsidRPr="00C30469" w:rsidRDefault="00C30469" w:rsidP="00C30469">
      <w:pPr>
        <w:jc w:val="center"/>
        <w:rPr>
          <w:i/>
          <w:szCs w:val="17"/>
        </w:rPr>
      </w:pPr>
      <w:r w:rsidRPr="00C30469">
        <w:rPr>
          <w:i/>
          <w:szCs w:val="17"/>
        </w:rPr>
        <w:t>Amendment to the Planning and Design Code</w:t>
      </w:r>
    </w:p>
    <w:p w14:paraId="620C34E9" w14:textId="77777777" w:rsidR="00C30469" w:rsidRPr="00C30469" w:rsidRDefault="00C30469" w:rsidP="00E445BE">
      <w:pPr>
        <w:rPr>
          <w:i/>
          <w:iCs/>
        </w:rPr>
      </w:pPr>
      <w:r w:rsidRPr="00C30469">
        <w:rPr>
          <w:i/>
          <w:iCs/>
        </w:rPr>
        <w:t>Preamble</w:t>
      </w:r>
    </w:p>
    <w:p w14:paraId="0956C735" w14:textId="77777777" w:rsidR="00C30469" w:rsidRPr="00C30469" w:rsidRDefault="00C30469" w:rsidP="00E445BE">
      <w:r w:rsidRPr="00C30469">
        <w:t>It is necessary to amend the Planning and Design Code (the Code) in operation at 31 July 2025 (Version 2025.14) in order to make the following minor or operational amendments:</w:t>
      </w:r>
    </w:p>
    <w:p w14:paraId="6124F9B2" w14:textId="77777777" w:rsidR="00C30469" w:rsidRPr="00C30469" w:rsidRDefault="00C30469" w:rsidP="00E445BE">
      <w:pPr>
        <w:ind w:left="284" w:hanging="142"/>
      </w:pPr>
      <w:r w:rsidRPr="00C30469">
        <w:t>•</w:t>
      </w:r>
      <w:r w:rsidRPr="00C30469">
        <w:tab/>
        <w:t>to correct errors relating to:</w:t>
      </w:r>
    </w:p>
    <w:p w14:paraId="628BF967" w14:textId="77777777" w:rsidR="00C30469" w:rsidRPr="00C30469" w:rsidRDefault="00C30469" w:rsidP="00E445BE">
      <w:pPr>
        <w:ind w:left="426" w:hanging="142"/>
      </w:pPr>
      <w:r w:rsidRPr="00C30469">
        <w:t>◦</w:t>
      </w:r>
      <w:r w:rsidRPr="00C30469">
        <w:tab/>
      </w:r>
      <w:r w:rsidRPr="00C30469">
        <w:rPr>
          <w:spacing w:val="-4"/>
        </w:rPr>
        <w:t>the misapplication of the Local Heritage Place Overlay over incorrect properties at Old Noarlunga / Mclaren Vale, Penola, and Callington</w:t>
      </w:r>
    </w:p>
    <w:p w14:paraId="2EEBD928" w14:textId="77777777" w:rsidR="00C30469" w:rsidRPr="00C30469" w:rsidRDefault="00C30469" w:rsidP="00E445BE">
      <w:pPr>
        <w:ind w:left="426" w:hanging="142"/>
      </w:pPr>
      <w:r w:rsidRPr="00C30469">
        <w:t>◦</w:t>
      </w:r>
      <w:r w:rsidRPr="00C30469">
        <w:tab/>
        <w:t>incorrect address details for a Local Heritage Place at Keith.</w:t>
      </w:r>
    </w:p>
    <w:p w14:paraId="28F6AD39" w14:textId="77777777" w:rsidR="00C30469" w:rsidRPr="00C30469" w:rsidRDefault="00C30469" w:rsidP="00E445BE">
      <w:pPr>
        <w:ind w:left="284" w:hanging="142"/>
      </w:pPr>
      <w:r w:rsidRPr="00C30469">
        <w:t>•</w:t>
      </w:r>
      <w:r w:rsidRPr="00C30469">
        <w:tab/>
        <w:t>to remove irrelevant material (the Local Heritage Place Overlay) from properties that have been sub-divided at Mount Barker.</w:t>
      </w:r>
    </w:p>
    <w:p w14:paraId="1A602772" w14:textId="77777777" w:rsidR="00C30469" w:rsidRPr="00C30469" w:rsidRDefault="00C30469" w:rsidP="00E445BE">
      <w:pPr>
        <w:ind w:left="284" w:hanging="142"/>
      </w:pPr>
      <w:r w:rsidRPr="00C30469">
        <w:t>•</w:t>
      </w:r>
      <w:r w:rsidRPr="00C30469">
        <w:tab/>
        <w:t>to remove the Local Heritage Place Overlay from a Local Heritage Place that has been demolished in Adelaide.</w:t>
      </w:r>
    </w:p>
    <w:p w14:paraId="75D5FBAE" w14:textId="77777777" w:rsidR="00C30469" w:rsidRPr="00C30469" w:rsidRDefault="00C30469" w:rsidP="00E445BE">
      <w:pPr>
        <w:ind w:left="284" w:hanging="284"/>
      </w:pPr>
      <w:r w:rsidRPr="00C30469">
        <w:t>1.</w:t>
      </w:r>
      <w:r w:rsidRPr="00C30469">
        <w:tab/>
        <w:t xml:space="preserve">Pursuant to Section 76 of the </w:t>
      </w:r>
      <w:r w:rsidRPr="00C30469">
        <w:rPr>
          <w:i/>
          <w:iCs/>
        </w:rPr>
        <w:t>Planning, Development and Infrastructure Act 2016</w:t>
      </w:r>
      <w:r w:rsidRPr="00C30469">
        <w:t xml:space="preserve"> (the Act), I hereby amend the Code in order to make the following minor or operational amendments:</w:t>
      </w:r>
    </w:p>
    <w:p w14:paraId="2D25360D" w14:textId="77777777" w:rsidR="00C30469" w:rsidRPr="00C30469" w:rsidRDefault="00C30469" w:rsidP="00E445BE">
      <w:pPr>
        <w:ind w:left="567" w:hanging="283"/>
        <w:rPr>
          <w:spacing w:val="-2"/>
        </w:rPr>
      </w:pPr>
      <w:r w:rsidRPr="00C30469">
        <w:t>(a)</w:t>
      </w:r>
      <w:r w:rsidRPr="00C30469">
        <w:tab/>
      </w:r>
      <w:r w:rsidRPr="00C30469">
        <w:rPr>
          <w:spacing w:val="-2"/>
        </w:rPr>
        <w:t>Amend the spatial layer of the Local Heritage Place Overlay, as it applies to ‘Stone Bridge, Old Coach Road—Section 869, Long Gully Road, Heritage No.5322’, so that it does not apply to the bridge on Patapinda Road (between Water Street and Hall Crescent) at Old Noarlunga and update the spatial layer of the Heritage Adjacency Overlay to reflect this change.</w:t>
      </w:r>
    </w:p>
    <w:p w14:paraId="079763AC" w14:textId="77777777" w:rsidR="00C30469" w:rsidRPr="00C30469" w:rsidRDefault="00C30469" w:rsidP="00E445BE">
      <w:pPr>
        <w:ind w:left="567" w:hanging="283"/>
      </w:pPr>
      <w:r w:rsidRPr="00C30469">
        <w:t>(b)</w:t>
      </w:r>
      <w:r w:rsidRPr="00C30469">
        <w:tab/>
        <w:t>Amend the spatial layer of the Local Heritage Place Overlay as it relates to ‘Stone Bridge, Old Coach Road—Section 869, Long Gully Road, Heritage No.5322’ so that it applies to Section 869, CR5773/852 and update the spatial layer of the Heritage Adjacency Overlay to reflect this change.</w:t>
      </w:r>
    </w:p>
    <w:p w14:paraId="55D773E2" w14:textId="77777777" w:rsidR="00C30469" w:rsidRPr="00C30469" w:rsidRDefault="00C30469" w:rsidP="00E445BE">
      <w:pPr>
        <w:ind w:left="567" w:hanging="283"/>
      </w:pPr>
      <w:r w:rsidRPr="00C30469">
        <w:t>(c)</w:t>
      </w:r>
      <w:r w:rsidRPr="00C30469">
        <w:tab/>
        <w:t>In Part 11—Local Heritage Places, in the section applying to ‘Onkaparinga’ amend the Table of Local Heritage Places by replacing the text ‘Long Gully Road Mclaren Vale’ with the text ‘Section 869, Long Gully Road (off Old Coach Road Track) Mclaren Vale’</w:t>
      </w:r>
    </w:p>
    <w:p w14:paraId="458579FF" w14:textId="77777777" w:rsidR="00C30469" w:rsidRPr="00C30469" w:rsidRDefault="00C30469" w:rsidP="00E445BE">
      <w:pPr>
        <w:ind w:left="567" w:hanging="283"/>
      </w:pPr>
      <w:r w:rsidRPr="00C30469">
        <w:t>(d)</w:t>
      </w:r>
      <w:r w:rsidRPr="00C30469">
        <w:tab/>
      </w:r>
      <w:r w:rsidRPr="00C30469">
        <w:rPr>
          <w:spacing w:val="-4"/>
        </w:rPr>
        <w:t>Amend the spatial layer of the Local Heritage Place Overlay, so that it does not apply to 8 Riddoch Street, Penola (Lot 19, CT5895/3) and update the spatial layer of the Heritage Adjacency Overlay to reflect this change.</w:t>
      </w:r>
    </w:p>
    <w:p w14:paraId="2CA5FDC2" w14:textId="77777777" w:rsidR="00C30469" w:rsidRPr="00C30469" w:rsidRDefault="00C30469" w:rsidP="00E445BE">
      <w:pPr>
        <w:ind w:left="567" w:hanging="283"/>
      </w:pPr>
      <w:r w:rsidRPr="00C30469">
        <w:t>(e)</w:t>
      </w:r>
      <w:r w:rsidRPr="00C30469">
        <w:tab/>
        <w:t>In Part 11—Local Heritage Places, in the section applying to ‘Wattle Range’, delete the following row from the Table of Local Heritage Places:</w:t>
      </w:r>
    </w:p>
    <w:tbl>
      <w:tblPr>
        <w:tblStyle w:val="TableGrid15"/>
        <w:tblW w:w="8705" w:type="dxa"/>
        <w:tblInd w:w="607" w:type="dxa"/>
        <w:tblLook w:val="04A0" w:firstRow="1" w:lastRow="0" w:firstColumn="1" w:lastColumn="0" w:noHBand="0" w:noVBand="1"/>
      </w:tblPr>
      <w:tblGrid>
        <w:gridCol w:w="1940"/>
        <w:gridCol w:w="3402"/>
        <w:gridCol w:w="1701"/>
        <w:gridCol w:w="1662"/>
      </w:tblGrid>
      <w:tr w:rsidR="00C30469" w:rsidRPr="00C30469" w14:paraId="0D68875F" w14:textId="77777777" w:rsidTr="00911011">
        <w:tc>
          <w:tcPr>
            <w:tcW w:w="1940" w:type="dxa"/>
          </w:tcPr>
          <w:p w14:paraId="7704D84F" w14:textId="77777777" w:rsidR="00C30469" w:rsidRPr="00C30469" w:rsidRDefault="00C30469" w:rsidP="00C30469">
            <w:pPr>
              <w:spacing w:after="120" w:line="240" w:lineRule="auto"/>
              <w:jc w:val="left"/>
              <w:rPr>
                <w:szCs w:val="17"/>
                <w:lang w:val="en-GB"/>
              </w:rPr>
            </w:pPr>
            <w:r w:rsidRPr="00C30469">
              <w:rPr>
                <w:szCs w:val="17"/>
                <w:lang w:val="en-GB"/>
              </w:rPr>
              <w:t>8 Riddoch Street Penola</w:t>
            </w:r>
          </w:p>
        </w:tc>
        <w:tc>
          <w:tcPr>
            <w:tcW w:w="3402" w:type="dxa"/>
          </w:tcPr>
          <w:p w14:paraId="0FEB50EE" w14:textId="77777777" w:rsidR="00C30469" w:rsidRPr="00C30469" w:rsidRDefault="00C30469" w:rsidP="00C30469">
            <w:pPr>
              <w:spacing w:after="120" w:line="240" w:lineRule="auto"/>
              <w:jc w:val="left"/>
              <w:rPr>
                <w:szCs w:val="17"/>
                <w:lang w:val="en-GB"/>
              </w:rPr>
            </w:pPr>
            <w:r w:rsidRPr="00C30469">
              <w:rPr>
                <w:szCs w:val="17"/>
                <w:lang w:val="en-GB"/>
              </w:rPr>
              <w:t>House (1860s); Original buildings remaining external form, materials and detailing excluding later additions and alterations</w:t>
            </w:r>
          </w:p>
        </w:tc>
        <w:tc>
          <w:tcPr>
            <w:tcW w:w="1701" w:type="dxa"/>
          </w:tcPr>
          <w:p w14:paraId="518C623F" w14:textId="77777777" w:rsidR="00C30469" w:rsidRPr="00C30469" w:rsidRDefault="00C30469" w:rsidP="00C30469">
            <w:pPr>
              <w:spacing w:after="120" w:line="240" w:lineRule="auto"/>
              <w:jc w:val="left"/>
              <w:rPr>
                <w:szCs w:val="17"/>
                <w:lang w:val="en-GB"/>
              </w:rPr>
            </w:pPr>
            <w:r w:rsidRPr="00C30469">
              <w:rPr>
                <w:szCs w:val="17"/>
                <w:lang w:val="en-GB"/>
              </w:rPr>
              <w:t>a d</w:t>
            </w:r>
          </w:p>
        </w:tc>
        <w:tc>
          <w:tcPr>
            <w:tcW w:w="1662" w:type="dxa"/>
          </w:tcPr>
          <w:p w14:paraId="11A1F60A" w14:textId="77777777" w:rsidR="00C30469" w:rsidRPr="00C30469" w:rsidRDefault="00C30469" w:rsidP="00C30469">
            <w:pPr>
              <w:spacing w:after="120" w:line="240" w:lineRule="auto"/>
              <w:jc w:val="left"/>
              <w:rPr>
                <w:szCs w:val="17"/>
                <w:lang w:val="en-GB"/>
              </w:rPr>
            </w:pPr>
            <w:r w:rsidRPr="00C30469">
              <w:rPr>
                <w:szCs w:val="17"/>
                <w:lang w:val="en-GB"/>
              </w:rPr>
              <w:t>24400</w:t>
            </w:r>
          </w:p>
        </w:tc>
      </w:tr>
    </w:tbl>
    <w:p w14:paraId="7E1E01A7" w14:textId="77777777" w:rsidR="00C30469" w:rsidRPr="00C30469" w:rsidRDefault="00C30469" w:rsidP="00E445BE">
      <w:pPr>
        <w:spacing w:before="80"/>
        <w:ind w:left="568" w:hanging="284"/>
      </w:pPr>
      <w:r w:rsidRPr="00C30469">
        <w:t>(f)</w:t>
      </w:r>
      <w:r w:rsidRPr="00C30469">
        <w:tab/>
        <w:t xml:space="preserve">Amend the spatial layer of the Local Heritage Place Overlay, as it applies to ‘Straughton Village, Éclair Mine Road, Callington, Heritage No. 24138’, so that it also applies to Lot 9, CT6034/236 and update the spatial layer of the Heritage Adjacency Overlay to reflect this change. </w:t>
      </w:r>
    </w:p>
    <w:p w14:paraId="60326212" w14:textId="77777777" w:rsidR="00C30469" w:rsidRPr="00C30469" w:rsidRDefault="00C30469" w:rsidP="00E445BE">
      <w:pPr>
        <w:ind w:left="567" w:hanging="283"/>
      </w:pPr>
      <w:r w:rsidRPr="00C30469">
        <w:t>(g)</w:t>
      </w:r>
      <w:r w:rsidRPr="00C30469">
        <w:tab/>
        <w:t>Amend the spatial layer of the Local Heritage Place Overlay so that it does not apply to Piece 12, CT6016/76 and update the spatial layer of the Heritage Adjacency Overlay to reflect this change.</w:t>
      </w:r>
    </w:p>
    <w:p w14:paraId="07E936DE" w14:textId="77777777" w:rsidR="00C30469" w:rsidRPr="00C30469" w:rsidRDefault="00C30469" w:rsidP="00E445BE">
      <w:pPr>
        <w:ind w:left="567" w:hanging="283"/>
      </w:pPr>
      <w:r w:rsidRPr="00C30469">
        <w:t>(h)</w:t>
      </w:r>
      <w:r w:rsidRPr="00C30469">
        <w:tab/>
        <w:t>Amend the spatial layer of the Local Heritage Place Overlay so that it applies to Piece 26, CT5892/420 and link it to ‘Springbank Homestead, Back Callington Road, Callington, Heritage No. 18333’ and update the spatial layer of the Heritage Adjacency Overlay to reflect this change.</w:t>
      </w:r>
    </w:p>
    <w:p w14:paraId="18EA8C76" w14:textId="77777777" w:rsidR="00C30469" w:rsidRPr="00C30469" w:rsidRDefault="00C30469" w:rsidP="00E445BE">
      <w:pPr>
        <w:ind w:left="567" w:hanging="283"/>
      </w:pPr>
      <w:r w:rsidRPr="00C30469">
        <w:t>(i)</w:t>
      </w:r>
      <w:r w:rsidRPr="00C30469">
        <w:tab/>
        <w:t>Amend the spatial layer of the Local Heritage Place Overlay, as it relates to ‘fr Store &amp; Barn (Heinrich's House)—6 Albert Place, Mount Barker—Heritage No. 16126’ so that it only applies to 4 Albert Place, Mount Barker (CT6184/70) and update the Heritage Adjacency Overlay to reflect this change.</w:t>
      </w:r>
    </w:p>
    <w:p w14:paraId="791B4BFA" w14:textId="77777777" w:rsidR="00C30469" w:rsidRPr="00C30469" w:rsidRDefault="00C30469" w:rsidP="00E445BE">
      <w:pPr>
        <w:ind w:left="567" w:hanging="283"/>
      </w:pPr>
      <w:r w:rsidRPr="00C30469">
        <w:t>(j)</w:t>
      </w:r>
      <w:r w:rsidRPr="00C30469">
        <w:tab/>
        <w:t>In Part 11—Local Heritage Places, in the section applying to ‘Mount Barker’ replace the text ‘6 Albert Place Mount Barker’ with ‘4 Albert Place Mount Barker’.</w:t>
      </w:r>
    </w:p>
    <w:p w14:paraId="273EB01B" w14:textId="77777777" w:rsidR="00C30469" w:rsidRPr="00C30469" w:rsidRDefault="00C30469" w:rsidP="00E445BE">
      <w:pPr>
        <w:ind w:left="567" w:hanging="283"/>
      </w:pPr>
      <w:r w:rsidRPr="00C30469">
        <w:t>(k)</w:t>
      </w:r>
      <w:r w:rsidRPr="00C30469">
        <w:tab/>
        <w:t>In Part 11—Local Heritage Places, in the section applying to ‘Tatiara’ amend the Table of Local Heritage Places by replacing the text ‘2 Makin Street Keith’ with the text ‘10 Heritage Street Keith’ and reorder the table so that this row is located immediately after the row applying to ‘Heritage Street Keith, Former Congregational Church, Heritage Number 18263’.</w:t>
      </w:r>
    </w:p>
    <w:p w14:paraId="2AF6C012" w14:textId="37AA6770" w:rsidR="00E445BE" w:rsidRDefault="00C30469" w:rsidP="00E445BE">
      <w:pPr>
        <w:ind w:left="567" w:hanging="283"/>
      </w:pPr>
      <w:r w:rsidRPr="00C30469">
        <w:t>(l)</w:t>
      </w:r>
      <w:r w:rsidRPr="00C30469">
        <w:tab/>
        <w:t>Spatially remove the Local Heritage Place Overlay from 187-189 Hutt Street, Adelaide and update the Heritage Adjacency Overlay to reflect this change.</w:t>
      </w:r>
    </w:p>
    <w:p w14:paraId="1F4F08F5" w14:textId="77777777" w:rsidR="00E445BE" w:rsidRDefault="00E445BE">
      <w:pPr>
        <w:spacing w:after="0" w:line="240" w:lineRule="auto"/>
        <w:jc w:val="left"/>
      </w:pPr>
      <w:r>
        <w:br w:type="page"/>
      </w:r>
    </w:p>
    <w:p w14:paraId="57333839" w14:textId="77777777" w:rsidR="00C30469" w:rsidRPr="00C30469" w:rsidRDefault="00C30469" w:rsidP="00E445BE">
      <w:pPr>
        <w:ind w:left="567" w:hanging="283"/>
      </w:pPr>
      <w:r w:rsidRPr="00C30469">
        <w:rPr>
          <w:spacing w:val="-4"/>
        </w:rPr>
        <w:lastRenderedPageBreak/>
        <w:t>(m)</w:t>
      </w:r>
      <w:r w:rsidRPr="00C30469">
        <w:tab/>
        <w:t>In Part 11, in the section applying to ‘Adelaide’, delete the following row from the Table of Local Heritage Places:</w:t>
      </w:r>
    </w:p>
    <w:tbl>
      <w:tblPr>
        <w:tblStyle w:val="TableGrid16"/>
        <w:tblW w:w="8705" w:type="dxa"/>
        <w:tblInd w:w="607" w:type="dxa"/>
        <w:tblLook w:val="04A0" w:firstRow="1" w:lastRow="0" w:firstColumn="1" w:lastColumn="0" w:noHBand="0" w:noVBand="1"/>
      </w:tblPr>
      <w:tblGrid>
        <w:gridCol w:w="2223"/>
        <w:gridCol w:w="3119"/>
        <w:gridCol w:w="1701"/>
        <w:gridCol w:w="1662"/>
      </w:tblGrid>
      <w:tr w:rsidR="00C30469" w:rsidRPr="00C30469" w14:paraId="3B6A98F9" w14:textId="77777777" w:rsidTr="00911011">
        <w:tc>
          <w:tcPr>
            <w:tcW w:w="2223" w:type="dxa"/>
          </w:tcPr>
          <w:p w14:paraId="6300B9B2" w14:textId="77777777" w:rsidR="00C30469" w:rsidRPr="00C30469" w:rsidRDefault="00C30469" w:rsidP="00C30469">
            <w:pPr>
              <w:spacing w:after="120" w:line="240" w:lineRule="auto"/>
              <w:jc w:val="left"/>
              <w:rPr>
                <w:szCs w:val="17"/>
                <w:lang w:val="en-GB"/>
              </w:rPr>
            </w:pPr>
            <w:r w:rsidRPr="00C30469">
              <w:rPr>
                <w:szCs w:val="17"/>
                <w:lang w:val="en-GB"/>
              </w:rPr>
              <w:t>187-189 Hutt Street Adelaide</w:t>
            </w:r>
          </w:p>
        </w:tc>
        <w:tc>
          <w:tcPr>
            <w:tcW w:w="3119" w:type="dxa"/>
          </w:tcPr>
          <w:p w14:paraId="2DE0DD72" w14:textId="77777777" w:rsidR="00C30469" w:rsidRPr="00C30469" w:rsidRDefault="00C30469" w:rsidP="00C30469">
            <w:pPr>
              <w:spacing w:after="120" w:line="240" w:lineRule="auto"/>
              <w:jc w:val="left"/>
              <w:rPr>
                <w:szCs w:val="17"/>
                <w:lang w:val="en-GB"/>
              </w:rPr>
            </w:pPr>
            <w:r w:rsidRPr="00C30469">
              <w:rPr>
                <w:szCs w:val="17"/>
                <w:lang w:val="en-GB"/>
              </w:rPr>
              <w:t>Shop and Dwelling; External form, including original fabric and detailing of facade and verandah, external walls, roof and chimneys, as visible from the street. Excludes any later additions.</w:t>
            </w:r>
          </w:p>
        </w:tc>
        <w:tc>
          <w:tcPr>
            <w:tcW w:w="1701" w:type="dxa"/>
          </w:tcPr>
          <w:p w14:paraId="269C3AF4" w14:textId="77777777" w:rsidR="00C30469" w:rsidRPr="00C30469" w:rsidRDefault="00C30469" w:rsidP="00C30469">
            <w:pPr>
              <w:spacing w:after="120" w:line="240" w:lineRule="auto"/>
              <w:jc w:val="left"/>
              <w:rPr>
                <w:szCs w:val="17"/>
                <w:lang w:val="en-GB"/>
              </w:rPr>
            </w:pPr>
            <w:r w:rsidRPr="00C30469">
              <w:rPr>
                <w:szCs w:val="17"/>
                <w:lang w:val="en-GB"/>
              </w:rPr>
              <w:t>a b d</w:t>
            </w:r>
          </w:p>
        </w:tc>
        <w:tc>
          <w:tcPr>
            <w:tcW w:w="1662" w:type="dxa"/>
          </w:tcPr>
          <w:p w14:paraId="528E62A1" w14:textId="77777777" w:rsidR="00C30469" w:rsidRPr="00C30469" w:rsidRDefault="00C30469" w:rsidP="00C30469">
            <w:pPr>
              <w:spacing w:after="120" w:line="240" w:lineRule="auto"/>
              <w:jc w:val="left"/>
              <w:rPr>
                <w:szCs w:val="17"/>
                <w:lang w:val="en-GB"/>
              </w:rPr>
            </w:pPr>
            <w:r w:rsidRPr="00C30469">
              <w:rPr>
                <w:szCs w:val="17"/>
                <w:lang w:val="en-GB"/>
              </w:rPr>
              <w:t>25180</w:t>
            </w:r>
          </w:p>
        </w:tc>
      </w:tr>
    </w:tbl>
    <w:p w14:paraId="037B642C" w14:textId="77777777" w:rsidR="00C30469" w:rsidRPr="00C30469" w:rsidRDefault="00C30469" w:rsidP="00C30469">
      <w:pPr>
        <w:spacing w:before="80"/>
        <w:ind w:left="568" w:hanging="284"/>
        <w:rPr>
          <w:spacing w:val="-4"/>
        </w:rPr>
      </w:pPr>
      <w:r w:rsidRPr="00C30469">
        <w:t>(n)</w:t>
      </w:r>
      <w:r w:rsidRPr="00C30469">
        <w:tab/>
      </w:r>
      <w:r w:rsidRPr="00C30469">
        <w:rPr>
          <w:spacing w:val="-4"/>
        </w:rPr>
        <w:t>In Part 13—Table of Amendments, update the publication date, Code version number, amendment type and summary of amendments within the ‘Table of Planning and Design Code Amendments’ to reflect the amendments to the Code as described in this Notice.</w:t>
      </w:r>
    </w:p>
    <w:p w14:paraId="2FBEAC0D" w14:textId="77777777" w:rsidR="00C30469" w:rsidRPr="00C30469" w:rsidRDefault="00C30469" w:rsidP="00C30469">
      <w:pPr>
        <w:ind w:left="284" w:hanging="284"/>
      </w:pPr>
      <w:r w:rsidRPr="00C30469">
        <w:t>2.</w:t>
      </w:r>
      <w:r w:rsidRPr="00C30469">
        <w:tab/>
        <w:t>Pursuant to Section 76(5)(a) of the Act, I further specify that the amendments to the Code as described in this Notice will take effect upon the date those amendments are published on the SA planning portal.</w:t>
      </w:r>
    </w:p>
    <w:p w14:paraId="40DB2DD0" w14:textId="77777777" w:rsidR="00C30469" w:rsidRPr="00C30469" w:rsidRDefault="00C30469" w:rsidP="00C30469">
      <w:pPr>
        <w:spacing w:after="0"/>
        <w:rPr>
          <w:rFonts w:eastAsia="Times New Roman"/>
          <w:szCs w:val="17"/>
        </w:rPr>
      </w:pPr>
      <w:r w:rsidRPr="00C30469">
        <w:rPr>
          <w:rFonts w:eastAsia="Times New Roman"/>
          <w:szCs w:val="17"/>
        </w:rPr>
        <w:t>Dated: 11 August 2025</w:t>
      </w:r>
    </w:p>
    <w:p w14:paraId="33795C28" w14:textId="77777777" w:rsidR="00C30469" w:rsidRPr="00C30469" w:rsidRDefault="00C30469" w:rsidP="00C30469">
      <w:pPr>
        <w:spacing w:after="0"/>
        <w:jc w:val="right"/>
        <w:rPr>
          <w:rFonts w:eastAsia="Times New Roman"/>
          <w:smallCaps/>
          <w:szCs w:val="20"/>
        </w:rPr>
      </w:pPr>
      <w:r w:rsidRPr="00C30469">
        <w:rPr>
          <w:rFonts w:eastAsia="Times New Roman"/>
          <w:smallCaps/>
          <w:szCs w:val="20"/>
        </w:rPr>
        <w:t>Damien Gencarelli</w:t>
      </w:r>
    </w:p>
    <w:p w14:paraId="51D12AF8" w14:textId="77777777" w:rsidR="00C30469" w:rsidRPr="00C30469" w:rsidRDefault="00C30469" w:rsidP="00C30469">
      <w:pPr>
        <w:spacing w:after="0"/>
        <w:jc w:val="right"/>
        <w:rPr>
          <w:rFonts w:eastAsia="Times New Roman"/>
          <w:szCs w:val="17"/>
        </w:rPr>
      </w:pPr>
      <w:r w:rsidRPr="00C30469">
        <w:rPr>
          <w:rFonts w:eastAsia="Times New Roman"/>
          <w:szCs w:val="17"/>
        </w:rPr>
        <w:t>Acting Manager, Planning and Design Code</w:t>
      </w:r>
    </w:p>
    <w:p w14:paraId="606A4E06" w14:textId="77777777" w:rsidR="00C30469" w:rsidRPr="00C30469" w:rsidRDefault="00C30469" w:rsidP="00C30469">
      <w:pPr>
        <w:spacing w:after="0"/>
        <w:jc w:val="right"/>
        <w:rPr>
          <w:rFonts w:eastAsia="Times New Roman"/>
          <w:szCs w:val="17"/>
        </w:rPr>
      </w:pPr>
      <w:r w:rsidRPr="00C30469">
        <w:rPr>
          <w:rFonts w:eastAsia="Times New Roman"/>
          <w:szCs w:val="17"/>
        </w:rPr>
        <w:t>Department for Housing and Urban Development</w:t>
      </w:r>
    </w:p>
    <w:p w14:paraId="7B12272A" w14:textId="76825A87" w:rsidR="00C30469" w:rsidRDefault="00C30469" w:rsidP="00C30469">
      <w:pPr>
        <w:spacing w:after="0"/>
        <w:jc w:val="right"/>
        <w:rPr>
          <w:rFonts w:eastAsia="Times New Roman"/>
          <w:szCs w:val="17"/>
        </w:rPr>
      </w:pPr>
      <w:r w:rsidRPr="00C30469">
        <w:rPr>
          <w:rFonts w:eastAsia="Times New Roman"/>
          <w:szCs w:val="17"/>
        </w:rPr>
        <w:t>Delegate of the Minister for Planning</w:t>
      </w:r>
    </w:p>
    <w:p w14:paraId="5085005D" w14:textId="77777777" w:rsidR="00C30469" w:rsidRDefault="00C30469" w:rsidP="00C30469">
      <w:pPr>
        <w:pBdr>
          <w:bottom w:val="single" w:sz="4" w:space="1" w:color="auto"/>
        </w:pBdr>
        <w:spacing w:after="0" w:line="52" w:lineRule="exact"/>
        <w:jc w:val="center"/>
      </w:pPr>
    </w:p>
    <w:p w14:paraId="55489D23" w14:textId="77777777" w:rsidR="00C30469" w:rsidRDefault="00C30469" w:rsidP="00C30469">
      <w:pPr>
        <w:pBdr>
          <w:top w:val="single" w:sz="4" w:space="1" w:color="auto"/>
        </w:pBdr>
        <w:spacing w:before="34" w:after="0" w:line="14" w:lineRule="exact"/>
        <w:jc w:val="center"/>
      </w:pPr>
    </w:p>
    <w:p w14:paraId="57EE76B3" w14:textId="77777777" w:rsidR="00C30469" w:rsidRPr="00C30469" w:rsidRDefault="00C30469" w:rsidP="00644E6A">
      <w:pPr>
        <w:pStyle w:val="NoSpacing"/>
      </w:pPr>
    </w:p>
    <w:p w14:paraId="5F7B79D1" w14:textId="3031BAB6" w:rsidR="002F5627" w:rsidRPr="002F5627" w:rsidRDefault="00DA4D46" w:rsidP="00E34B09">
      <w:pPr>
        <w:pStyle w:val="Heading2"/>
      </w:pPr>
      <w:bookmarkStart w:id="515" w:name="_Toc206061772"/>
      <w:r w:rsidRPr="002F5627">
        <w:t xml:space="preserve">Roads (Opening </w:t>
      </w:r>
      <w:r>
        <w:t>a</w:t>
      </w:r>
      <w:r w:rsidRPr="002F5627">
        <w:t>nd Closing) Act 1991</w:t>
      </w:r>
      <w:bookmarkEnd w:id="515"/>
    </w:p>
    <w:p w14:paraId="1EFD3440" w14:textId="77777777" w:rsidR="002F5627" w:rsidRPr="002F5627" w:rsidRDefault="002F5627" w:rsidP="002F5627">
      <w:pPr>
        <w:jc w:val="center"/>
        <w:rPr>
          <w:smallCaps/>
          <w:szCs w:val="17"/>
        </w:rPr>
      </w:pPr>
      <w:r w:rsidRPr="002F5627">
        <w:rPr>
          <w:smallCaps/>
          <w:szCs w:val="17"/>
        </w:rPr>
        <w:t>Section 24</w:t>
      </w:r>
    </w:p>
    <w:p w14:paraId="72CA2F3F" w14:textId="77777777" w:rsidR="002F5627" w:rsidRPr="002F5627" w:rsidRDefault="002F5627" w:rsidP="002F5627">
      <w:pPr>
        <w:jc w:val="center"/>
        <w:rPr>
          <w:rFonts w:eastAsia="Times New Roman"/>
          <w:b/>
          <w:bCs/>
          <w:szCs w:val="17"/>
        </w:rPr>
      </w:pPr>
      <w:r w:rsidRPr="002F5627">
        <w:rPr>
          <w:rFonts w:eastAsia="Times New Roman"/>
          <w:b/>
          <w:bCs/>
          <w:szCs w:val="17"/>
        </w:rPr>
        <w:t>NOTICE OF CONFIRMATION OF</w:t>
      </w:r>
      <w:r w:rsidRPr="002F5627">
        <w:rPr>
          <w:rFonts w:eastAsia="Times New Roman"/>
          <w:b/>
          <w:bCs/>
          <w:szCs w:val="17"/>
        </w:rPr>
        <w:br/>
        <w:t xml:space="preserve"> ROAD PROCESS ORDER</w:t>
      </w:r>
    </w:p>
    <w:p w14:paraId="51838656" w14:textId="77777777" w:rsidR="002F5627" w:rsidRPr="002F5627" w:rsidRDefault="002F5627" w:rsidP="002F5627">
      <w:pPr>
        <w:jc w:val="center"/>
        <w:rPr>
          <w:i/>
          <w:szCs w:val="17"/>
        </w:rPr>
      </w:pPr>
      <w:r w:rsidRPr="002F5627">
        <w:rPr>
          <w:i/>
          <w:szCs w:val="17"/>
        </w:rPr>
        <w:t>Road Closure—Portion of Anzac Crescent and Tobruk Terrace, Loxton</w:t>
      </w:r>
    </w:p>
    <w:p w14:paraId="3DC57439" w14:textId="77777777" w:rsidR="002F5627" w:rsidRPr="002F5627" w:rsidRDefault="002F5627" w:rsidP="00644E6A">
      <w:pPr>
        <w:spacing w:after="60"/>
        <w:rPr>
          <w:rFonts w:eastAsia="Times New Roman"/>
          <w:szCs w:val="17"/>
        </w:rPr>
      </w:pPr>
      <w:r w:rsidRPr="002F5627">
        <w:rPr>
          <w:rFonts w:eastAsia="Times New Roman"/>
          <w:szCs w:val="17"/>
        </w:rPr>
        <w:t>By Road Process Order made on 27 May 2025, the District Council of Loxton Waikerie ordered that:</w:t>
      </w:r>
    </w:p>
    <w:p w14:paraId="5B088686" w14:textId="77777777" w:rsidR="002F5627" w:rsidRPr="002F5627" w:rsidRDefault="002F5627" w:rsidP="00644E6A">
      <w:pPr>
        <w:spacing w:after="60"/>
        <w:ind w:left="426" w:hanging="284"/>
        <w:rPr>
          <w:rFonts w:eastAsia="Times New Roman"/>
          <w:szCs w:val="17"/>
        </w:rPr>
      </w:pPr>
      <w:r w:rsidRPr="002F5627">
        <w:rPr>
          <w:rFonts w:eastAsia="Times New Roman"/>
          <w:szCs w:val="17"/>
        </w:rPr>
        <w:t>1.</w:t>
      </w:r>
      <w:r w:rsidRPr="002F5627">
        <w:rPr>
          <w:rFonts w:eastAsia="Times New Roman"/>
          <w:szCs w:val="17"/>
        </w:rPr>
        <w:tab/>
        <w:t>Corner of Anzac Cresent and Tobruk Terrace, Loxton, situated adjoining Town Allotment 53, Town of Loxton East, more particularly delineated and lettered ‘A’ in Preliminary Plan 25/0003 be closed.</w:t>
      </w:r>
    </w:p>
    <w:p w14:paraId="711D9805" w14:textId="77777777" w:rsidR="002F5627" w:rsidRPr="002F5627" w:rsidRDefault="002F5627" w:rsidP="00644E6A">
      <w:pPr>
        <w:spacing w:after="60"/>
        <w:ind w:left="426" w:hanging="284"/>
        <w:rPr>
          <w:rFonts w:eastAsia="Times New Roman"/>
          <w:szCs w:val="17"/>
        </w:rPr>
      </w:pPr>
      <w:r w:rsidRPr="002F5627">
        <w:rPr>
          <w:rFonts w:eastAsia="Times New Roman"/>
          <w:szCs w:val="17"/>
        </w:rPr>
        <w:t>2.</w:t>
      </w:r>
      <w:r w:rsidRPr="002F5627">
        <w:rPr>
          <w:rFonts w:eastAsia="Times New Roman"/>
          <w:szCs w:val="17"/>
        </w:rPr>
        <w:tab/>
        <w:t>Issue a Certificate of Title to the District Council of Loxton Waikerie for the whole of the land subject to closure in accordance with the Application for Document of Title dated 27 May 2025.</w:t>
      </w:r>
    </w:p>
    <w:p w14:paraId="175DF3C0" w14:textId="77777777" w:rsidR="002F5627" w:rsidRPr="002F5627" w:rsidRDefault="002F5627" w:rsidP="00644E6A">
      <w:pPr>
        <w:spacing w:after="60"/>
        <w:rPr>
          <w:rFonts w:eastAsia="Times New Roman"/>
          <w:szCs w:val="17"/>
        </w:rPr>
      </w:pPr>
      <w:r w:rsidRPr="002F5627">
        <w:rPr>
          <w:rFonts w:eastAsia="Times New Roman"/>
          <w:szCs w:val="17"/>
        </w:rPr>
        <w:t>On 12 August 2025 that order was confirmed by the Minister for Planning conditionally upon the deposit by the Registrar-General of Deposited Plan 137728 being the authority for the new boundaries.</w:t>
      </w:r>
    </w:p>
    <w:p w14:paraId="0A5CD103" w14:textId="77777777" w:rsidR="002F5627" w:rsidRPr="002F5627" w:rsidRDefault="002F5627" w:rsidP="00644E6A">
      <w:pPr>
        <w:spacing w:after="60"/>
        <w:rPr>
          <w:rFonts w:eastAsia="Times New Roman"/>
          <w:spacing w:val="-4"/>
          <w:szCs w:val="17"/>
        </w:rPr>
      </w:pPr>
      <w:r w:rsidRPr="002F5627">
        <w:rPr>
          <w:rFonts w:eastAsia="Times New Roman"/>
          <w:spacing w:val="-4"/>
          <w:szCs w:val="17"/>
        </w:rPr>
        <w:t xml:space="preserve">Pursuant to Section 24(5) of the </w:t>
      </w:r>
      <w:r w:rsidRPr="002F5627">
        <w:rPr>
          <w:rFonts w:eastAsia="Times New Roman"/>
          <w:i/>
          <w:iCs/>
          <w:spacing w:val="-4"/>
          <w:szCs w:val="17"/>
        </w:rPr>
        <w:t>Roads (Opening and Closing) Act 1991</w:t>
      </w:r>
      <w:r w:rsidRPr="002F5627">
        <w:rPr>
          <w:rFonts w:eastAsia="Times New Roman"/>
          <w:spacing w:val="-4"/>
          <w:szCs w:val="17"/>
        </w:rPr>
        <w:t>, Notice of the Order referred to above and its confirmation is hereby given.</w:t>
      </w:r>
    </w:p>
    <w:p w14:paraId="25CB25C6" w14:textId="77777777" w:rsidR="002F5627" w:rsidRPr="002F5627" w:rsidRDefault="002F5627" w:rsidP="002F5627">
      <w:pPr>
        <w:spacing w:after="0"/>
        <w:rPr>
          <w:rFonts w:eastAsia="Times New Roman"/>
          <w:szCs w:val="17"/>
        </w:rPr>
      </w:pPr>
      <w:r w:rsidRPr="002F5627">
        <w:rPr>
          <w:rFonts w:eastAsia="Times New Roman"/>
          <w:szCs w:val="17"/>
        </w:rPr>
        <w:t>Dated: 14 August 2025</w:t>
      </w:r>
    </w:p>
    <w:p w14:paraId="7D74F3EB" w14:textId="77777777" w:rsidR="002F5627" w:rsidRPr="002F5627" w:rsidRDefault="002F5627" w:rsidP="002F5627">
      <w:pPr>
        <w:spacing w:after="0"/>
        <w:jc w:val="right"/>
        <w:rPr>
          <w:rFonts w:eastAsia="Times New Roman"/>
          <w:smallCaps/>
          <w:szCs w:val="20"/>
        </w:rPr>
      </w:pPr>
      <w:r w:rsidRPr="002F5627">
        <w:rPr>
          <w:rFonts w:eastAsia="Times New Roman"/>
          <w:smallCaps/>
          <w:szCs w:val="20"/>
        </w:rPr>
        <w:t>B. J. Slape</w:t>
      </w:r>
    </w:p>
    <w:p w14:paraId="0ABE7A28" w14:textId="77777777" w:rsidR="002F5627" w:rsidRPr="002F5627" w:rsidRDefault="002F5627" w:rsidP="002F5627">
      <w:pPr>
        <w:spacing w:after="0"/>
        <w:jc w:val="right"/>
        <w:rPr>
          <w:rFonts w:eastAsia="Times New Roman"/>
          <w:szCs w:val="17"/>
        </w:rPr>
      </w:pPr>
      <w:r w:rsidRPr="002F5627">
        <w:rPr>
          <w:rFonts w:eastAsia="Times New Roman"/>
          <w:szCs w:val="17"/>
        </w:rPr>
        <w:t>Surveyor-General</w:t>
      </w:r>
    </w:p>
    <w:p w14:paraId="486106B4" w14:textId="77777777" w:rsidR="002F5627" w:rsidRPr="002F5627" w:rsidRDefault="002F5627" w:rsidP="002F5627">
      <w:pPr>
        <w:rPr>
          <w:rFonts w:eastAsia="Times New Roman"/>
          <w:szCs w:val="17"/>
        </w:rPr>
      </w:pPr>
      <w:r w:rsidRPr="002F5627">
        <w:rPr>
          <w:rFonts w:eastAsia="Times New Roman"/>
          <w:szCs w:val="17"/>
        </w:rPr>
        <w:t>2025/01112/01</w:t>
      </w:r>
    </w:p>
    <w:p w14:paraId="4D4B0DBE" w14:textId="77777777" w:rsidR="002F5627" w:rsidRPr="002F5627" w:rsidRDefault="002F5627" w:rsidP="002F5627">
      <w:pPr>
        <w:pBdr>
          <w:top w:val="single" w:sz="4" w:space="1" w:color="auto"/>
        </w:pBdr>
        <w:spacing w:before="100" w:after="0" w:line="14" w:lineRule="exact"/>
        <w:jc w:val="center"/>
        <w:rPr>
          <w:rFonts w:eastAsia="Times New Roman"/>
          <w:szCs w:val="17"/>
        </w:rPr>
      </w:pPr>
    </w:p>
    <w:p w14:paraId="4A6DC37C" w14:textId="77777777" w:rsidR="00B25CB3" w:rsidRDefault="00B25CB3" w:rsidP="00B25CB3">
      <w:pPr>
        <w:pStyle w:val="NoSpacing"/>
      </w:pPr>
    </w:p>
    <w:p w14:paraId="21FA66B8" w14:textId="0011EAEA" w:rsidR="00CB4AA3" w:rsidRPr="00CB4AA3" w:rsidRDefault="00CB4AA3" w:rsidP="00CB4AA3">
      <w:pPr>
        <w:jc w:val="center"/>
        <w:rPr>
          <w:caps/>
          <w:szCs w:val="17"/>
        </w:rPr>
      </w:pPr>
      <w:r w:rsidRPr="00CB4AA3">
        <w:rPr>
          <w:caps/>
          <w:szCs w:val="17"/>
        </w:rPr>
        <w:t>ROADS (OPENING AND CLOSING) ACT 1991</w:t>
      </w:r>
    </w:p>
    <w:p w14:paraId="1E436508" w14:textId="77777777" w:rsidR="00CB4AA3" w:rsidRPr="00CB4AA3" w:rsidRDefault="00CB4AA3" w:rsidP="00CB4AA3">
      <w:pPr>
        <w:jc w:val="center"/>
        <w:rPr>
          <w:smallCaps/>
          <w:szCs w:val="17"/>
        </w:rPr>
      </w:pPr>
      <w:r w:rsidRPr="00CB4AA3">
        <w:rPr>
          <w:smallCaps/>
          <w:szCs w:val="17"/>
        </w:rPr>
        <w:t>Section 24</w:t>
      </w:r>
    </w:p>
    <w:p w14:paraId="1A87A2A0" w14:textId="77777777" w:rsidR="00CB4AA3" w:rsidRPr="00CB4AA3" w:rsidRDefault="00CB4AA3" w:rsidP="00CB4AA3">
      <w:pPr>
        <w:jc w:val="center"/>
        <w:rPr>
          <w:b/>
          <w:bCs/>
        </w:rPr>
      </w:pPr>
      <w:r w:rsidRPr="00CB4AA3">
        <w:rPr>
          <w:b/>
          <w:bCs/>
        </w:rPr>
        <w:t>NOTICE OF CONFIRMATION OF</w:t>
      </w:r>
      <w:r w:rsidRPr="00CB4AA3">
        <w:rPr>
          <w:b/>
          <w:bCs/>
        </w:rPr>
        <w:br/>
        <w:t>ROAD PROCESS ORDER</w:t>
      </w:r>
    </w:p>
    <w:p w14:paraId="607688DF" w14:textId="77777777" w:rsidR="00CB4AA3" w:rsidRPr="00CB4AA3" w:rsidRDefault="00CB4AA3" w:rsidP="00CB4AA3">
      <w:pPr>
        <w:jc w:val="center"/>
        <w:rPr>
          <w:i/>
          <w:szCs w:val="17"/>
        </w:rPr>
      </w:pPr>
      <w:r w:rsidRPr="00CB4AA3">
        <w:rPr>
          <w:i/>
          <w:szCs w:val="17"/>
        </w:rPr>
        <w:t>Road Closure—Public Road, Blyth</w:t>
      </w:r>
    </w:p>
    <w:p w14:paraId="3E6DCE6B" w14:textId="77777777" w:rsidR="00CB4AA3" w:rsidRPr="00CB4AA3" w:rsidRDefault="00CB4AA3" w:rsidP="00CB4AA3">
      <w:r w:rsidRPr="00CB4AA3">
        <w:t>By Road Process Order made on 14 May 2025, the Wakefield Regional Council ordered that:</w:t>
      </w:r>
    </w:p>
    <w:p w14:paraId="1594BEEF" w14:textId="77777777" w:rsidR="00CB4AA3" w:rsidRPr="00CB4AA3" w:rsidRDefault="00CB4AA3" w:rsidP="00CB4AA3">
      <w:pPr>
        <w:ind w:left="426" w:hanging="284"/>
      </w:pPr>
      <w:r w:rsidRPr="00CB4AA3">
        <w:t>1.</w:t>
      </w:r>
      <w:r w:rsidRPr="00CB4AA3">
        <w:tab/>
        <w:t>Portion of Public Road, Blyth, situated adjoining Allotment 113 in Filed Plan 213203 and Section 252, Hundred of Blyth, more particularly delineated and lettered ‘A’ in Preliminary Plan 24/0042 be closed.</w:t>
      </w:r>
    </w:p>
    <w:p w14:paraId="066D850F" w14:textId="77777777" w:rsidR="00CB4AA3" w:rsidRPr="00CB4AA3" w:rsidRDefault="00CB4AA3" w:rsidP="00CB4AA3">
      <w:pPr>
        <w:ind w:left="426" w:hanging="284"/>
      </w:pPr>
      <w:r w:rsidRPr="00CB4AA3">
        <w:t>2.</w:t>
      </w:r>
      <w:r w:rsidRPr="00CB4AA3">
        <w:tab/>
        <w:t>Issue a Certificate of Title to the Wakefield Regional Council for the whole of the land subject to closure in accordance with the Application for Document of Title dated 28 January 2025.</w:t>
      </w:r>
    </w:p>
    <w:p w14:paraId="329646B3" w14:textId="77777777" w:rsidR="00CB4AA3" w:rsidRPr="00CB4AA3" w:rsidRDefault="00CB4AA3" w:rsidP="00CB4AA3">
      <w:r w:rsidRPr="00CB4AA3">
        <w:t>On 12 August 2025 that order was confirmed by the Minister for Planning conditionally upon the deposit by the Registrar-General of Deposited Plan 137723 being the authority for the new boundaries.</w:t>
      </w:r>
    </w:p>
    <w:p w14:paraId="4A2307FC" w14:textId="77777777" w:rsidR="00CB4AA3" w:rsidRPr="00CB4AA3" w:rsidRDefault="00CB4AA3" w:rsidP="00CB4AA3">
      <w:pPr>
        <w:rPr>
          <w:spacing w:val="-4"/>
        </w:rPr>
      </w:pPr>
      <w:r w:rsidRPr="00CB4AA3">
        <w:rPr>
          <w:spacing w:val="-4"/>
        </w:rPr>
        <w:t xml:space="preserve">Pursuant to Section 24(5) of the </w:t>
      </w:r>
      <w:r w:rsidRPr="00CB4AA3">
        <w:rPr>
          <w:i/>
          <w:iCs/>
          <w:spacing w:val="-4"/>
        </w:rPr>
        <w:t>Roads (Opening and Closing) Act 1991</w:t>
      </w:r>
      <w:r w:rsidRPr="00CB4AA3">
        <w:rPr>
          <w:spacing w:val="-4"/>
        </w:rPr>
        <w:t>, notice of the order referred to above and its confirmation is hereby given.</w:t>
      </w:r>
    </w:p>
    <w:p w14:paraId="3CF628E9" w14:textId="77777777" w:rsidR="00CB4AA3" w:rsidRPr="00CB4AA3" w:rsidRDefault="00CB4AA3" w:rsidP="00CB4AA3">
      <w:pPr>
        <w:spacing w:after="0"/>
        <w:rPr>
          <w:rFonts w:eastAsia="Times New Roman"/>
          <w:szCs w:val="17"/>
        </w:rPr>
      </w:pPr>
      <w:r w:rsidRPr="00CB4AA3">
        <w:rPr>
          <w:rFonts w:eastAsia="Times New Roman"/>
          <w:szCs w:val="17"/>
        </w:rPr>
        <w:t>Dated: 14 August 2025</w:t>
      </w:r>
    </w:p>
    <w:p w14:paraId="4A8C4EBB" w14:textId="77777777" w:rsidR="00CB4AA3" w:rsidRPr="00CB4AA3" w:rsidRDefault="00CB4AA3" w:rsidP="00CB4AA3">
      <w:pPr>
        <w:spacing w:after="0"/>
        <w:jc w:val="right"/>
        <w:rPr>
          <w:rFonts w:eastAsia="Times New Roman"/>
          <w:smallCaps/>
          <w:szCs w:val="20"/>
        </w:rPr>
      </w:pPr>
      <w:r w:rsidRPr="00CB4AA3">
        <w:rPr>
          <w:rFonts w:eastAsia="Times New Roman"/>
          <w:smallCaps/>
          <w:szCs w:val="20"/>
        </w:rPr>
        <w:t>B. J. Slape</w:t>
      </w:r>
    </w:p>
    <w:p w14:paraId="03B53ED8" w14:textId="77777777" w:rsidR="00CB4AA3" w:rsidRPr="00CB4AA3" w:rsidRDefault="00CB4AA3" w:rsidP="00CB4AA3">
      <w:pPr>
        <w:spacing w:after="0"/>
        <w:jc w:val="right"/>
        <w:rPr>
          <w:rFonts w:eastAsia="Times New Roman"/>
          <w:szCs w:val="17"/>
        </w:rPr>
      </w:pPr>
      <w:r w:rsidRPr="00CB4AA3">
        <w:rPr>
          <w:rFonts w:eastAsia="Times New Roman"/>
          <w:szCs w:val="17"/>
        </w:rPr>
        <w:t>Surveyor-General</w:t>
      </w:r>
    </w:p>
    <w:p w14:paraId="23FDE101" w14:textId="40C9FAFE" w:rsidR="00CB4AA3" w:rsidRDefault="00CB4AA3" w:rsidP="00CB4AA3">
      <w:r w:rsidRPr="00CB4AA3">
        <w:t>2024/09207/01</w:t>
      </w:r>
    </w:p>
    <w:p w14:paraId="0B822C95" w14:textId="77777777" w:rsidR="00CB4AA3" w:rsidRDefault="00CB4AA3" w:rsidP="00CB4AA3">
      <w:pPr>
        <w:pBdr>
          <w:bottom w:val="single" w:sz="4" w:space="1" w:color="auto"/>
        </w:pBdr>
        <w:spacing w:after="0" w:line="52" w:lineRule="exact"/>
        <w:jc w:val="center"/>
      </w:pPr>
    </w:p>
    <w:p w14:paraId="24E25D17" w14:textId="77777777" w:rsidR="00CB4AA3" w:rsidRDefault="00CB4AA3" w:rsidP="00CB4AA3">
      <w:pPr>
        <w:pBdr>
          <w:top w:val="single" w:sz="4" w:space="1" w:color="auto"/>
        </w:pBdr>
        <w:spacing w:before="34" w:after="0" w:line="14" w:lineRule="exact"/>
        <w:jc w:val="center"/>
      </w:pPr>
    </w:p>
    <w:p w14:paraId="4FE0310A" w14:textId="268E76B0" w:rsidR="00E445BE" w:rsidRDefault="00E445BE">
      <w:pPr>
        <w:spacing w:after="0" w:line="240" w:lineRule="auto"/>
        <w:jc w:val="left"/>
      </w:pPr>
      <w:r>
        <w:br w:type="page"/>
      </w:r>
    </w:p>
    <w:p w14:paraId="49F959C3" w14:textId="77777777" w:rsidR="00E445BE" w:rsidRPr="00E445BE" w:rsidRDefault="00E445BE" w:rsidP="00E445BE">
      <w:pPr>
        <w:pStyle w:val="Heading2"/>
      </w:pPr>
      <w:bookmarkStart w:id="516" w:name="_Toc206061773"/>
      <w:r w:rsidRPr="00E445BE">
        <w:lastRenderedPageBreak/>
        <w:t>South Australian Housing Trust Act 1995</w:t>
      </w:r>
      <w:bookmarkEnd w:id="516"/>
    </w:p>
    <w:p w14:paraId="7DF57CF5" w14:textId="77777777" w:rsidR="00E445BE" w:rsidRDefault="00E445BE" w:rsidP="00E445BE">
      <w:pPr>
        <w:pStyle w:val="GG-Title3"/>
      </w:pPr>
      <w:r w:rsidRPr="00DB0CE7">
        <w:t xml:space="preserve">Transfer of </w:t>
      </w:r>
      <w:r>
        <w:t>A</w:t>
      </w:r>
      <w:r w:rsidRPr="00DB0CE7">
        <w:t>ssets of the South Australian Housing Trust</w:t>
      </w:r>
    </w:p>
    <w:p w14:paraId="4DC7B69E" w14:textId="77777777" w:rsidR="00E445BE" w:rsidRPr="0051594F" w:rsidRDefault="00E445BE" w:rsidP="00E445BE">
      <w:r w:rsidRPr="00E55745">
        <w:rPr>
          <w:spacing w:val="-2"/>
        </w:rPr>
        <w:t xml:space="preserve">Pursuant to the provisions of Section 23(1)(b)(ii) of the </w:t>
      </w:r>
      <w:r w:rsidRPr="00E55745">
        <w:rPr>
          <w:i/>
          <w:iCs/>
          <w:spacing w:val="-2"/>
        </w:rPr>
        <w:t>South Australian Housing Trust Act 1995</w:t>
      </w:r>
      <w:r w:rsidRPr="00E55745">
        <w:rPr>
          <w:spacing w:val="-2"/>
        </w:rPr>
        <w:t>, Nick Champion, Minister for Housing and Urban Development, with the concurrence of Stephen Mullighan, Treasurer, gives notice of the transfer of properties listed in Schedule 1 from the South Australian Housing Trust to the Urban Renewal Authority.</w:t>
      </w:r>
    </w:p>
    <w:p w14:paraId="01B5AFBB" w14:textId="77777777" w:rsidR="00E445BE" w:rsidRPr="0051594F" w:rsidRDefault="00E445BE" w:rsidP="00E445BE">
      <w:pPr>
        <w:jc w:val="center"/>
        <w:rPr>
          <w:smallCaps/>
          <w:szCs w:val="17"/>
        </w:rPr>
      </w:pPr>
      <w:r w:rsidRPr="0051594F">
        <w:rPr>
          <w:smallCaps/>
          <w:szCs w:val="17"/>
        </w:rPr>
        <w:t>Schedule 1</w:t>
      </w:r>
    </w:p>
    <w:tbl>
      <w:tblPr>
        <w:tblStyle w:val="TableGrid"/>
        <w:tblW w:w="5000" w:type="pct"/>
        <w:jc w:val="center"/>
        <w:tblLook w:val="04A0" w:firstRow="1" w:lastRow="0" w:firstColumn="1" w:lastColumn="0" w:noHBand="0" w:noVBand="1"/>
      </w:tblPr>
      <w:tblGrid>
        <w:gridCol w:w="3310"/>
        <w:gridCol w:w="1356"/>
        <w:gridCol w:w="1354"/>
        <w:gridCol w:w="1824"/>
        <w:gridCol w:w="1510"/>
      </w:tblGrid>
      <w:tr w:rsidR="00E445BE" w:rsidRPr="0051594F" w14:paraId="3CA40075" w14:textId="77777777" w:rsidTr="00911011">
        <w:trPr>
          <w:jc w:val="center"/>
        </w:trPr>
        <w:tc>
          <w:tcPr>
            <w:tcW w:w="1769" w:type="pct"/>
            <w:vMerge w:val="restart"/>
            <w:tcBorders>
              <w:top w:val="single" w:sz="4" w:space="0" w:color="auto"/>
              <w:left w:val="nil"/>
              <w:right w:val="nil"/>
            </w:tcBorders>
            <w:tcMar>
              <w:top w:w="0" w:type="dxa"/>
              <w:left w:w="108" w:type="dxa"/>
              <w:bottom w:w="0" w:type="dxa"/>
              <w:right w:w="108" w:type="dxa"/>
            </w:tcMar>
            <w:vAlign w:val="center"/>
          </w:tcPr>
          <w:p w14:paraId="322354BA"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rFonts w:eastAsia="Calibri"/>
                <w:b/>
              </w:rPr>
            </w:pPr>
            <w:r w:rsidRPr="0051594F">
              <w:rPr>
                <w:rFonts w:eastAsia="Calibri"/>
                <w:b/>
              </w:rPr>
              <w:t>Address</w:t>
            </w:r>
          </w:p>
        </w:tc>
        <w:tc>
          <w:tcPr>
            <w:tcW w:w="1449" w:type="pct"/>
            <w:gridSpan w:val="2"/>
            <w:tcBorders>
              <w:top w:val="single" w:sz="4" w:space="0" w:color="auto"/>
              <w:left w:val="nil"/>
              <w:bottom w:val="nil"/>
              <w:right w:val="nil"/>
            </w:tcBorders>
            <w:tcMar>
              <w:top w:w="0" w:type="dxa"/>
              <w:left w:w="108" w:type="dxa"/>
              <w:bottom w:w="0" w:type="dxa"/>
              <w:right w:w="108" w:type="dxa"/>
            </w:tcMar>
            <w:vAlign w:val="center"/>
          </w:tcPr>
          <w:p w14:paraId="10763B77"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Certificate of Title</w:t>
            </w:r>
          </w:p>
        </w:tc>
        <w:tc>
          <w:tcPr>
            <w:tcW w:w="1782" w:type="pct"/>
            <w:gridSpan w:val="2"/>
            <w:tcBorders>
              <w:top w:val="single" w:sz="4" w:space="0" w:color="auto"/>
              <w:left w:val="nil"/>
              <w:bottom w:val="nil"/>
              <w:right w:val="nil"/>
            </w:tcBorders>
            <w:tcMar>
              <w:top w:w="0" w:type="dxa"/>
              <w:left w:w="108" w:type="dxa"/>
              <w:bottom w:w="0" w:type="dxa"/>
              <w:right w:w="108" w:type="dxa"/>
            </w:tcMar>
            <w:vAlign w:val="center"/>
          </w:tcPr>
          <w:p w14:paraId="22D4112F"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Certificate of Title Description</w:t>
            </w:r>
          </w:p>
        </w:tc>
      </w:tr>
      <w:tr w:rsidR="00E445BE" w:rsidRPr="0051594F" w14:paraId="271BC3DA" w14:textId="77777777" w:rsidTr="00911011">
        <w:trPr>
          <w:trHeight w:val="171"/>
          <w:jc w:val="center"/>
        </w:trPr>
        <w:tc>
          <w:tcPr>
            <w:tcW w:w="1769" w:type="pct"/>
            <w:vMerge/>
            <w:tcBorders>
              <w:left w:val="nil"/>
              <w:bottom w:val="single" w:sz="4" w:space="0" w:color="auto"/>
              <w:right w:val="nil"/>
            </w:tcBorders>
            <w:tcMar>
              <w:top w:w="0" w:type="dxa"/>
              <w:left w:w="108" w:type="dxa"/>
              <w:bottom w:w="0" w:type="dxa"/>
              <w:right w:w="108" w:type="dxa"/>
            </w:tcMar>
            <w:vAlign w:val="center"/>
          </w:tcPr>
          <w:p w14:paraId="7AB24DCF"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rFonts w:eastAsia="Calibri"/>
                <w:b/>
              </w:rPr>
            </w:pPr>
          </w:p>
        </w:tc>
        <w:tc>
          <w:tcPr>
            <w:tcW w:w="725" w:type="pct"/>
            <w:tcBorders>
              <w:top w:val="nil"/>
              <w:left w:val="nil"/>
              <w:bottom w:val="single" w:sz="4" w:space="0" w:color="auto"/>
              <w:right w:val="nil"/>
            </w:tcBorders>
            <w:tcMar>
              <w:top w:w="0" w:type="dxa"/>
              <w:left w:w="108" w:type="dxa"/>
              <w:bottom w:w="0" w:type="dxa"/>
              <w:right w:w="108" w:type="dxa"/>
            </w:tcMar>
            <w:vAlign w:val="center"/>
          </w:tcPr>
          <w:p w14:paraId="255FFF14"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Volume</w:t>
            </w:r>
          </w:p>
        </w:tc>
        <w:tc>
          <w:tcPr>
            <w:tcW w:w="724" w:type="pct"/>
            <w:tcBorders>
              <w:top w:val="nil"/>
              <w:left w:val="nil"/>
              <w:bottom w:val="single" w:sz="4" w:space="0" w:color="auto"/>
              <w:right w:val="nil"/>
            </w:tcBorders>
            <w:tcMar>
              <w:top w:w="0" w:type="dxa"/>
              <w:left w:w="108" w:type="dxa"/>
              <w:bottom w:w="0" w:type="dxa"/>
              <w:right w:w="108" w:type="dxa"/>
            </w:tcMar>
            <w:vAlign w:val="center"/>
          </w:tcPr>
          <w:p w14:paraId="6EC965EC"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Folio</w:t>
            </w:r>
          </w:p>
        </w:tc>
        <w:tc>
          <w:tcPr>
            <w:tcW w:w="975" w:type="pct"/>
            <w:tcBorders>
              <w:top w:val="nil"/>
              <w:left w:val="nil"/>
              <w:bottom w:val="single" w:sz="4" w:space="0" w:color="auto"/>
              <w:right w:val="nil"/>
            </w:tcBorders>
            <w:tcMar>
              <w:top w:w="0" w:type="dxa"/>
              <w:left w:w="108" w:type="dxa"/>
              <w:bottom w:w="0" w:type="dxa"/>
              <w:right w:w="108" w:type="dxa"/>
            </w:tcMar>
            <w:vAlign w:val="center"/>
          </w:tcPr>
          <w:p w14:paraId="3F580FC3"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Plan</w:t>
            </w:r>
          </w:p>
        </w:tc>
        <w:tc>
          <w:tcPr>
            <w:tcW w:w="807" w:type="pct"/>
            <w:tcBorders>
              <w:top w:val="nil"/>
              <w:left w:val="nil"/>
              <w:bottom w:val="single" w:sz="4" w:space="0" w:color="auto"/>
              <w:right w:val="nil"/>
            </w:tcBorders>
            <w:tcMar>
              <w:top w:w="0" w:type="dxa"/>
              <w:left w:w="108" w:type="dxa"/>
              <w:bottom w:w="0" w:type="dxa"/>
              <w:right w:w="108" w:type="dxa"/>
            </w:tcMar>
            <w:vAlign w:val="center"/>
          </w:tcPr>
          <w:p w14:paraId="30617D96"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Parcel</w:t>
            </w:r>
          </w:p>
        </w:tc>
      </w:tr>
      <w:tr w:rsidR="00E445BE" w:rsidRPr="0051594F" w14:paraId="7499A2B9" w14:textId="77777777" w:rsidTr="00911011">
        <w:trPr>
          <w:jc w:val="center"/>
        </w:trPr>
        <w:tc>
          <w:tcPr>
            <w:tcW w:w="1769" w:type="pct"/>
            <w:tcBorders>
              <w:top w:val="single" w:sz="4" w:space="0" w:color="auto"/>
              <w:left w:val="nil"/>
              <w:bottom w:val="nil"/>
              <w:right w:val="nil"/>
            </w:tcBorders>
            <w:tcMar>
              <w:top w:w="0" w:type="dxa"/>
              <w:left w:w="108" w:type="dxa"/>
              <w:bottom w:w="0" w:type="dxa"/>
              <w:right w:w="108" w:type="dxa"/>
            </w:tcMar>
          </w:tcPr>
          <w:p w14:paraId="6F354C4C"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rPr>
                <w:rFonts w:eastAsia="Calibri"/>
              </w:rPr>
            </w:pPr>
            <w:r w:rsidRPr="00F26132">
              <w:rPr>
                <w:sz w:val="18"/>
                <w:szCs w:val="18"/>
              </w:rPr>
              <w:t>18, 13 Harris Pl, Seaton</w:t>
            </w:r>
          </w:p>
        </w:tc>
        <w:tc>
          <w:tcPr>
            <w:tcW w:w="725" w:type="pct"/>
            <w:tcBorders>
              <w:top w:val="single" w:sz="4" w:space="0" w:color="auto"/>
              <w:left w:val="nil"/>
              <w:bottom w:val="nil"/>
              <w:right w:val="nil"/>
            </w:tcBorders>
            <w:tcMar>
              <w:top w:w="0" w:type="dxa"/>
              <w:left w:w="108" w:type="dxa"/>
              <w:bottom w:w="0" w:type="dxa"/>
              <w:right w:w="108" w:type="dxa"/>
            </w:tcMar>
          </w:tcPr>
          <w:p w14:paraId="6ABCF219"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264"/>
              <w:rPr>
                <w:rFonts w:eastAsia="Calibri"/>
              </w:rPr>
            </w:pPr>
            <w:r w:rsidRPr="00F26132">
              <w:rPr>
                <w:sz w:val="18"/>
                <w:szCs w:val="18"/>
              </w:rPr>
              <w:t>CT5774</w:t>
            </w:r>
          </w:p>
        </w:tc>
        <w:tc>
          <w:tcPr>
            <w:tcW w:w="724" w:type="pct"/>
            <w:tcBorders>
              <w:top w:val="single" w:sz="4" w:space="0" w:color="auto"/>
              <w:left w:val="nil"/>
              <w:bottom w:val="nil"/>
              <w:right w:val="nil"/>
            </w:tcBorders>
            <w:tcMar>
              <w:top w:w="0" w:type="dxa"/>
              <w:left w:w="108" w:type="dxa"/>
              <w:bottom w:w="0" w:type="dxa"/>
              <w:right w:w="108" w:type="dxa"/>
            </w:tcMar>
          </w:tcPr>
          <w:p w14:paraId="6DA097E6"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431"/>
              <w:rPr>
                <w:rFonts w:eastAsia="Calibri"/>
              </w:rPr>
            </w:pPr>
            <w:r w:rsidRPr="00F26132">
              <w:rPr>
                <w:sz w:val="18"/>
                <w:szCs w:val="18"/>
              </w:rPr>
              <w:t>348</w:t>
            </w:r>
          </w:p>
        </w:tc>
        <w:tc>
          <w:tcPr>
            <w:tcW w:w="975" w:type="pct"/>
            <w:tcBorders>
              <w:top w:val="single" w:sz="4" w:space="0" w:color="auto"/>
              <w:left w:val="nil"/>
              <w:bottom w:val="nil"/>
              <w:right w:val="nil"/>
            </w:tcBorders>
            <w:tcMar>
              <w:top w:w="0" w:type="dxa"/>
              <w:left w:w="108" w:type="dxa"/>
              <w:bottom w:w="0" w:type="dxa"/>
              <w:right w:w="108" w:type="dxa"/>
            </w:tcMar>
            <w:vAlign w:val="bottom"/>
          </w:tcPr>
          <w:p w14:paraId="44F04532"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529"/>
              <w:rPr>
                <w:rFonts w:eastAsia="Calibri"/>
              </w:rPr>
            </w:pPr>
            <w:r w:rsidRPr="00F26132">
              <w:rPr>
                <w:sz w:val="18"/>
                <w:szCs w:val="18"/>
              </w:rPr>
              <w:t>F13442</w:t>
            </w:r>
          </w:p>
        </w:tc>
        <w:tc>
          <w:tcPr>
            <w:tcW w:w="807" w:type="pct"/>
            <w:tcBorders>
              <w:top w:val="single" w:sz="4" w:space="0" w:color="auto"/>
              <w:left w:val="nil"/>
              <w:bottom w:val="nil"/>
              <w:right w:val="nil"/>
            </w:tcBorders>
            <w:tcMar>
              <w:top w:w="0" w:type="dxa"/>
              <w:left w:w="108" w:type="dxa"/>
              <w:bottom w:w="0" w:type="dxa"/>
              <w:right w:w="108" w:type="dxa"/>
            </w:tcMar>
            <w:vAlign w:val="bottom"/>
          </w:tcPr>
          <w:p w14:paraId="509B65B5"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407"/>
              <w:rPr>
                <w:rFonts w:eastAsia="Calibri"/>
              </w:rPr>
            </w:pPr>
            <w:r w:rsidRPr="00F26132">
              <w:rPr>
                <w:sz w:val="18"/>
                <w:szCs w:val="18"/>
              </w:rPr>
              <w:t>A437</w:t>
            </w:r>
          </w:p>
        </w:tc>
      </w:tr>
      <w:tr w:rsidR="00E445BE" w:rsidRPr="0051594F" w14:paraId="3586383E"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45048878"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rPr>
                <w:rFonts w:eastAsia="Calibri"/>
              </w:rPr>
            </w:pPr>
            <w:r w:rsidRPr="00F26132">
              <w:rPr>
                <w:sz w:val="18"/>
                <w:szCs w:val="18"/>
              </w:rPr>
              <w:t>22, 13 Harris Pl, Seaton</w:t>
            </w:r>
          </w:p>
        </w:tc>
        <w:tc>
          <w:tcPr>
            <w:tcW w:w="725" w:type="pct"/>
            <w:tcBorders>
              <w:top w:val="nil"/>
              <w:left w:val="nil"/>
              <w:bottom w:val="nil"/>
              <w:right w:val="nil"/>
            </w:tcBorders>
            <w:tcMar>
              <w:top w:w="0" w:type="dxa"/>
              <w:left w:w="108" w:type="dxa"/>
              <w:bottom w:w="0" w:type="dxa"/>
              <w:right w:w="108" w:type="dxa"/>
            </w:tcMar>
          </w:tcPr>
          <w:p w14:paraId="59F447C6"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264"/>
              <w:rPr>
                <w:rFonts w:eastAsia="Calibri"/>
              </w:rPr>
            </w:pPr>
            <w:r w:rsidRPr="00F26132">
              <w:rPr>
                <w:sz w:val="18"/>
                <w:szCs w:val="18"/>
              </w:rPr>
              <w:t>CT5774</w:t>
            </w:r>
          </w:p>
        </w:tc>
        <w:tc>
          <w:tcPr>
            <w:tcW w:w="724" w:type="pct"/>
            <w:tcBorders>
              <w:top w:val="nil"/>
              <w:left w:val="nil"/>
              <w:bottom w:val="nil"/>
              <w:right w:val="nil"/>
            </w:tcBorders>
            <w:tcMar>
              <w:top w:w="0" w:type="dxa"/>
              <w:left w:w="108" w:type="dxa"/>
              <w:bottom w:w="0" w:type="dxa"/>
              <w:right w:w="108" w:type="dxa"/>
            </w:tcMar>
          </w:tcPr>
          <w:p w14:paraId="0B724B27"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31"/>
              <w:rPr>
                <w:rFonts w:eastAsia="Calibri"/>
              </w:rPr>
            </w:pPr>
            <w:r w:rsidRPr="00F26132">
              <w:rPr>
                <w:sz w:val="18"/>
                <w:szCs w:val="18"/>
              </w:rPr>
              <w:t>348</w:t>
            </w:r>
          </w:p>
        </w:tc>
        <w:tc>
          <w:tcPr>
            <w:tcW w:w="975" w:type="pct"/>
            <w:tcBorders>
              <w:top w:val="nil"/>
              <w:left w:val="nil"/>
              <w:bottom w:val="nil"/>
              <w:right w:val="nil"/>
            </w:tcBorders>
            <w:tcMar>
              <w:top w:w="0" w:type="dxa"/>
              <w:left w:w="108" w:type="dxa"/>
              <w:bottom w:w="0" w:type="dxa"/>
              <w:right w:w="108" w:type="dxa"/>
            </w:tcMar>
            <w:vAlign w:val="bottom"/>
          </w:tcPr>
          <w:p w14:paraId="3AB9D0F0"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529"/>
              <w:rPr>
                <w:rFonts w:eastAsia="Calibri"/>
              </w:rPr>
            </w:pPr>
            <w:r w:rsidRPr="00F26132">
              <w:rPr>
                <w:sz w:val="18"/>
                <w:szCs w:val="18"/>
              </w:rPr>
              <w:t>F13442</w:t>
            </w:r>
          </w:p>
        </w:tc>
        <w:tc>
          <w:tcPr>
            <w:tcW w:w="807" w:type="pct"/>
            <w:tcBorders>
              <w:top w:val="nil"/>
              <w:left w:val="nil"/>
              <w:bottom w:val="nil"/>
              <w:right w:val="nil"/>
            </w:tcBorders>
            <w:tcMar>
              <w:top w:w="0" w:type="dxa"/>
              <w:left w:w="108" w:type="dxa"/>
              <w:bottom w:w="0" w:type="dxa"/>
              <w:right w:w="108" w:type="dxa"/>
            </w:tcMar>
            <w:vAlign w:val="bottom"/>
          </w:tcPr>
          <w:p w14:paraId="059162C1"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07"/>
              <w:rPr>
                <w:rFonts w:eastAsia="Calibri"/>
              </w:rPr>
            </w:pPr>
            <w:r w:rsidRPr="00F26132">
              <w:rPr>
                <w:sz w:val="18"/>
                <w:szCs w:val="18"/>
              </w:rPr>
              <w:t>A437</w:t>
            </w:r>
          </w:p>
        </w:tc>
      </w:tr>
      <w:tr w:rsidR="00E445BE" w:rsidRPr="0051594F" w14:paraId="1003256B"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792869DA" w14:textId="77777777" w:rsidR="00E445BE" w:rsidRPr="0051594F" w:rsidRDefault="00E445BE" w:rsidP="00911011">
            <w:pPr>
              <w:spacing w:after="20"/>
            </w:pPr>
            <w:r w:rsidRPr="38EE78F2">
              <w:rPr>
                <w:sz w:val="18"/>
                <w:szCs w:val="18"/>
              </w:rPr>
              <w:t xml:space="preserve">119 Frederick Rd, Seaton   </w:t>
            </w:r>
          </w:p>
        </w:tc>
        <w:tc>
          <w:tcPr>
            <w:tcW w:w="725" w:type="pct"/>
            <w:tcBorders>
              <w:top w:val="nil"/>
              <w:left w:val="nil"/>
              <w:bottom w:val="nil"/>
              <w:right w:val="nil"/>
            </w:tcBorders>
            <w:tcMar>
              <w:top w:w="0" w:type="dxa"/>
              <w:left w:w="108" w:type="dxa"/>
              <w:bottom w:w="0" w:type="dxa"/>
              <w:right w:w="108" w:type="dxa"/>
            </w:tcMar>
          </w:tcPr>
          <w:p w14:paraId="1E71CD67" w14:textId="77777777" w:rsidR="00E445BE" w:rsidRPr="0051594F" w:rsidRDefault="00E445BE" w:rsidP="00911011">
            <w:pPr>
              <w:spacing w:after="20"/>
              <w:ind w:left="264"/>
            </w:pPr>
            <w:r w:rsidRPr="38EE78F2">
              <w:rPr>
                <w:sz w:val="18"/>
                <w:szCs w:val="18"/>
              </w:rPr>
              <w:t>CT</w:t>
            </w:r>
            <w:r>
              <w:rPr>
                <w:sz w:val="18"/>
                <w:szCs w:val="18"/>
              </w:rPr>
              <w:t>6313</w:t>
            </w:r>
          </w:p>
        </w:tc>
        <w:tc>
          <w:tcPr>
            <w:tcW w:w="724" w:type="pct"/>
            <w:tcBorders>
              <w:top w:val="nil"/>
              <w:left w:val="nil"/>
              <w:bottom w:val="nil"/>
              <w:right w:val="nil"/>
            </w:tcBorders>
            <w:tcMar>
              <w:top w:w="0" w:type="dxa"/>
              <w:left w:w="108" w:type="dxa"/>
              <w:bottom w:w="0" w:type="dxa"/>
              <w:right w:w="108" w:type="dxa"/>
            </w:tcMar>
          </w:tcPr>
          <w:p w14:paraId="0EE1AFFA" w14:textId="77777777" w:rsidR="00E445BE" w:rsidRPr="0051594F" w:rsidRDefault="00E445BE" w:rsidP="00911011">
            <w:pPr>
              <w:spacing w:after="20"/>
              <w:ind w:left="431"/>
            </w:pPr>
            <w:r>
              <w:rPr>
                <w:sz w:val="18"/>
                <w:szCs w:val="18"/>
              </w:rPr>
              <w:t>190</w:t>
            </w:r>
          </w:p>
        </w:tc>
        <w:tc>
          <w:tcPr>
            <w:tcW w:w="975" w:type="pct"/>
            <w:tcBorders>
              <w:top w:val="nil"/>
              <w:left w:val="nil"/>
              <w:bottom w:val="nil"/>
              <w:right w:val="nil"/>
            </w:tcBorders>
            <w:tcMar>
              <w:top w:w="0" w:type="dxa"/>
              <w:left w:w="108" w:type="dxa"/>
              <w:bottom w:w="0" w:type="dxa"/>
              <w:right w:w="108" w:type="dxa"/>
            </w:tcMar>
            <w:vAlign w:val="bottom"/>
          </w:tcPr>
          <w:p w14:paraId="0328CF35" w14:textId="77777777" w:rsidR="00E445BE" w:rsidRPr="0051594F" w:rsidRDefault="00E445BE" w:rsidP="00911011">
            <w:pPr>
              <w:spacing w:after="20"/>
              <w:ind w:left="529"/>
            </w:pPr>
            <w:r w:rsidRPr="38EE78F2">
              <w:rPr>
                <w:sz w:val="18"/>
                <w:szCs w:val="18"/>
              </w:rPr>
              <w:t>F13442</w:t>
            </w:r>
          </w:p>
        </w:tc>
        <w:tc>
          <w:tcPr>
            <w:tcW w:w="807" w:type="pct"/>
            <w:tcBorders>
              <w:top w:val="nil"/>
              <w:left w:val="nil"/>
              <w:bottom w:val="nil"/>
              <w:right w:val="nil"/>
            </w:tcBorders>
            <w:tcMar>
              <w:top w:w="0" w:type="dxa"/>
              <w:left w:w="108" w:type="dxa"/>
              <w:bottom w:w="0" w:type="dxa"/>
              <w:right w:w="108" w:type="dxa"/>
            </w:tcMar>
            <w:vAlign w:val="bottom"/>
          </w:tcPr>
          <w:p w14:paraId="4FA1DF5F" w14:textId="77777777" w:rsidR="00E445BE" w:rsidRPr="0051594F" w:rsidRDefault="00E445BE" w:rsidP="00911011">
            <w:pPr>
              <w:spacing w:after="20"/>
              <w:ind w:left="407"/>
            </w:pPr>
            <w:r w:rsidRPr="38EE78F2">
              <w:rPr>
                <w:sz w:val="18"/>
                <w:szCs w:val="18"/>
              </w:rPr>
              <w:t>A428</w:t>
            </w:r>
          </w:p>
        </w:tc>
      </w:tr>
      <w:tr w:rsidR="00E445BE" w:rsidRPr="0051594F" w14:paraId="5F2AC2A4"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63BF458C" w14:textId="77777777" w:rsidR="00E445BE" w:rsidRPr="0051594F" w:rsidRDefault="00E445BE" w:rsidP="00911011">
            <w:pPr>
              <w:spacing w:after="20"/>
            </w:pPr>
            <w:r w:rsidRPr="38EE78F2">
              <w:rPr>
                <w:sz w:val="18"/>
                <w:szCs w:val="18"/>
              </w:rPr>
              <w:t xml:space="preserve">127 Frederick Rd, Seaton   </w:t>
            </w:r>
          </w:p>
        </w:tc>
        <w:tc>
          <w:tcPr>
            <w:tcW w:w="725" w:type="pct"/>
            <w:tcBorders>
              <w:top w:val="nil"/>
              <w:left w:val="nil"/>
              <w:bottom w:val="nil"/>
              <w:right w:val="nil"/>
            </w:tcBorders>
            <w:tcMar>
              <w:top w:w="0" w:type="dxa"/>
              <w:left w:w="108" w:type="dxa"/>
              <w:bottom w:w="0" w:type="dxa"/>
              <w:right w:w="108" w:type="dxa"/>
            </w:tcMar>
          </w:tcPr>
          <w:p w14:paraId="3BDBF73B" w14:textId="77777777" w:rsidR="00E445BE" w:rsidRPr="0051594F" w:rsidRDefault="00E445BE" w:rsidP="00911011">
            <w:pPr>
              <w:spacing w:after="20"/>
              <w:ind w:left="264"/>
            </w:pPr>
            <w:r w:rsidRPr="38EE78F2">
              <w:rPr>
                <w:sz w:val="18"/>
                <w:szCs w:val="18"/>
              </w:rPr>
              <w:t>CT</w:t>
            </w:r>
            <w:r>
              <w:rPr>
                <w:sz w:val="18"/>
                <w:szCs w:val="18"/>
              </w:rPr>
              <w:t>6313</w:t>
            </w:r>
          </w:p>
        </w:tc>
        <w:tc>
          <w:tcPr>
            <w:tcW w:w="724" w:type="pct"/>
            <w:tcBorders>
              <w:top w:val="nil"/>
              <w:left w:val="nil"/>
              <w:bottom w:val="nil"/>
              <w:right w:val="nil"/>
            </w:tcBorders>
            <w:tcMar>
              <w:top w:w="0" w:type="dxa"/>
              <w:left w:w="108" w:type="dxa"/>
              <w:bottom w:w="0" w:type="dxa"/>
              <w:right w:w="108" w:type="dxa"/>
            </w:tcMar>
          </w:tcPr>
          <w:p w14:paraId="00A87771" w14:textId="77777777" w:rsidR="00E445BE" w:rsidRPr="0051594F" w:rsidRDefault="00E445BE" w:rsidP="00911011">
            <w:pPr>
              <w:spacing w:after="20"/>
              <w:ind w:left="431"/>
            </w:pPr>
            <w:r>
              <w:rPr>
                <w:sz w:val="18"/>
                <w:szCs w:val="18"/>
              </w:rPr>
              <w:t>191</w:t>
            </w:r>
          </w:p>
        </w:tc>
        <w:tc>
          <w:tcPr>
            <w:tcW w:w="975" w:type="pct"/>
            <w:tcBorders>
              <w:top w:val="nil"/>
              <w:left w:val="nil"/>
              <w:bottom w:val="nil"/>
              <w:right w:val="nil"/>
            </w:tcBorders>
            <w:tcMar>
              <w:top w:w="0" w:type="dxa"/>
              <w:left w:w="108" w:type="dxa"/>
              <w:bottom w:w="0" w:type="dxa"/>
              <w:right w:w="108" w:type="dxa"/>
            </w:tcMar>
            <w:vAlign w:val="bottom"/>
          </w:tcPr>
          <w:p w14:paraId="59FAD7D5" w14:textId="77777777" w:rsidR="00E445BE" w:rsidRPr="0051594F" w:rsidRDefault="00E445BE" w:rsidP="00911011">
            <w:pPr>
              <w:spacing w:after="20"/>
              <w:ind w:left="529"/>
            </w:pPr>
            <w:r w:rsidRPr="38EE78F2">
              <w:rPr>
                <w:sz w:val="18"/>
                <w:szCs w:val="18"/>
              </w:rPr>
              <w:t>F13442</w:t>
            </w:r>
          </w:p>
        </w:tc>
        <w:tc>
          <w:tcPr>
            <w:tcW w:w="807" w:type="pct"/>
            <w:tcBorders>
              <w:top w:val="nil"/>
              <w:left w:val="nil"/>
              <w:bottom w:val="nil"/>
              <w:right w:val="nil"/>
            </w:tcBorders>
            <w:tcMar>
              <w:top w:w="0" w:type="dxa"/>
              <w:left w:w="108" w:type="dxa"/>
              <w:bottom w:w="0" w:type="dxa"/>
              <w:right w:w="108" w:type="dxa"/>
            </w:tcMar>
            <w:vAlign w:val="bottom"/>
          </w:tcPr>
          <w:p w14:paraId="0736DF8C" w14:textId="77777777" w:rsidR="00E445BE" w:rsidRPr="0051594F" w:rsidRDefault="00E445BE" w:rsidP="00911011">
            <w:pPr>
              <w:spacing w:after="20"/>
              <w:ind w:left="407"/>
            </w:pPr>
            <w:r w:rsidRPr="38EE78F2">
              <w:rPr>
                <w:sz w:val="18"/>
                <w:szCs w:val="18"/>
              </w:rPr>
              <w:t>A432</w:t>
            </w:r>
          </w:p>
        </w:tc>
      </w:tr>
      <w:tr w:rsidR="00E445BE" w:rsidRPr="0051594F" w14:paraId="607B9D52"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067A040B" w14:textId="77777777" w:rsidR="00E445BE" w:rsidRPr="014F9C6A" w:rsidRDefault="00E445BE" w:rsidP="00911011">
            <w:pPr>
              <w:spacing w:after="20"/>
              <w:rPr>
                <w:color w:val="000000" w:themeColor="text1"/>
                <w:sz w:val="18"/>
                <w:szCs w:val="18"/>
              </w:rPr>
            </w:pPr>
            <w:r w:rsidRPr="38EE78F2">
              <w:rPr>
                <w:sz w:val="18"/>
                <w:szCs w:val="18"/>
              </w:rPr>
              <w:t xml:space="preserve">129 Frederick Rd, Seaton   </w:t>
            </w:r>
          </w:p>
        </w:tc>
        <w:tc>
          <w:tcPr>
            <w:tcW w:w="725" w:type="pct"/>
            <w:tcBorders>
              <w:top w:val="nil"/>
              <w:left w:val="nil"/>
              <w:bottom w:val="nil"/>
              <w:right w:val="nil"/>
            </w:tcBorders>
            <w:tcMar>
              <w:top w:w="0" w:type="dxa"/>
              <w:left w:w="108" w:type="dxa"/>
              <w:bottom w:w="0" w:type="dxa"/>
              <w:right w:w="108" w:type="dxa"/>
            </w:tcMar>
          </w:tcPr>
          <w:p w14:paraId="11F9D425" w14:textId="77777777" w:rsidR="00E445BE" w:rsidRPr="13E50763" w:rsidRDefault="00E445BE" w:rsidP="00911011">
            <w:pPr>
              <w:spacing w:after="20"/>
              <w:ind w:left="264"/>
              <w:rPr>
                <w:color w:val="000000" w:themeColor="text1"/>
                <w:sz w:val="18"/>
                <w:szCs w:val="18"/>
              </w:rPr>
            </w:pPr>
            <w:r w:rsidRPr="38EE78F2">
              <w:rPr>
                <w:sz w:val="18"/>
                <w:szCs w:val="18"/>
              </w:rPr>
              <w:t>CT</w:t>
            </w:r>
            <w:r>
              <w:rPr>
                <w:sz w:val="18"/>
                <w:szCs w:val="18"/>
              </w:rPr>
              <w:t>6313</w:t>
            </w:r>
          </w:p>
        </w:tc>
        <w:tc>
          <w:tcPr>
            <w:tcW w:w="724" w:type="pct"/>
            <w:tcBorders>
              <w:top w:val="nil"/>
              <w:left w:val="nil"/>
              <w:bottom w:val="nil"/>
              <w:right w:val="nil"/>
            </w:tcBorders>
            <w:tcMar>
              <w:top w:w="0" w:type="dxa"/>
              <w:left w:w="108" w:type="dxa"/>
              <w:bottom w:w="0" w:type="dxa"/>
              <w:right w:w="108" w:type="dxa"/>
            </w:tcMar>
          </w:tcPr>
          <w:p w14:paraId="384C411F" w14:textId="77777777" w:rsidR="00E445BE" w:rsidRPr="13E50763" w:rsidRDefault="00E445BE" w:rsidP="00911011">
            <w:pPr>
              <w:spacing w:after="20"/>
              <w:ind w:left="431"/>
              <w:rPr>
                <w:color w:val="000000" w:themeColor="text1"/>
                <w:sz w:val="18"/>
                <w:szCs w:val="18"/>
              </w:rPr>
            </w:pPr>
            <w:r>
              <w:rPr>
                <w:sz w:val="18"/>
                <w:szCs w:val="18"/>
              </w:rPr>
              <w:t>191</w:t>
            </w:r>
          </w:p>
        </w:tc>
        <w:tc>
          <w:tcPr>
            <w:tcW w:w="975" w:type="pct"/>
            <w:tcBorders>
              <w:top w:val="nil"/>
              <w:left w:val="nil"/>
              <w:bottom w:val="nil"/>
              <w:right w:val="nil"/>
            </w:tcBorders>
            <w:tcMar>
              <w:top w:w="0" w:type="dxa"/>
              <w:left w:w="108" w:type="dxa"/>
              <w:bottom w:w="0" w:type="dxa"/>
              <w:right w:w="108" w:type="dxa"/>
            </w:tcMar>
            <w:vAlign w:val="bottom"/>
          </w:tcPr>
          <w:p w14:paraId="606B0625" w14:textId="77777777" w:rsidR="00E445BE" w:rsidRPr="13E50763" w:rsidRDefault="00E445BE" w:rsidP="00911011">
            <w:pPr>
              <w:spacing w:after="20"/>
              <w:ind w:left="529"/>
              <w:rPr>
                <w:color w:val="000000" w:themeColor="text1"/>
                <w:sz w:val="18"/>
                <w:szCs w:val="18"/>
              </w:rPr>
            </w:pPr>
            <w:r w:rsidRPr="38EE78F2">
              <w:rPr>
                <w:sz w:val="18"/>
                <w:szCs w:val="18"/>
              </w:rPr>
              <w:t>F13442</w:t>
            </w:r>
          </w:p>
        </w:tc>
        <w:tc>
          <w:tcPr>
            <w:tcW w:w="807" w:type="pct"/>
            <w:tcBorders>
              <w:top w:val="nil"/>
              <w:left w:val="nil"/>
              <w:bottom w:val="nil"/>
              <w:right w:val="nil"/>
            </w:tcBorders>
            <w:tcMar>
              <w:top w:w="0" w:type="dxa"/>
              <w:left w:w="108" w:type="dxa"/>
              <w:bottom w:w="0" w:type="dxa"/>
              <w:right w:w="108" w:type="dxa"/>
            </w:tcMar>
            <w:vAlign w:val="bottom"/>
          </w:tcPr>
          <w:p w14:paraId="04D7A903" w14:textId="77777777" w:rsidR="00E445BE" w:rsidRPr="737857F4" w:rsidRDefault="00E445BE" w:rsidP="00911011">
            <w:pPr>
              <w:spacing w:after="20"/>
              <w:ind w:left="407"/>
              <w:rPr>
                <w:color w:val="000000" w:themeColor="text1"/>
                <w:sz w:val="18"/>
                <w:szCs w:val="18"/>
              </w:rPr>
            </w:pPr>
            <w:r w:rsidRPr="38EE78F2">
              <w:rPr>
                <w:sz w:val="18"/>
                <w:szCs w:val="18"/>
              </w:rPr>
              <w:t>A433</w:t>
            </w:r>
          </w:p>
        </w:tc>
      </w:tr>
      <w:tr w:rsidR="00E445BE" w:rsidRPr="0051594F" w14:paraId="61E9A748"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014F4CB4" w14:textId="77777777" w:rsidR="00E445BE" w:rsidRPr="014F9C6A" w:rsidRDefault="00E445BE" w:rsidP="00911011">
            <w:pPr>
              <w:spacing w:after="20"/>
              <w:rPr>
                <w:color w:val="000000" w:themeColor="text1"/>
                <w:sz w:val="18"/>
                <w:szCs w:val="18"/>
              </w:rPr>
            </w:pPr>
            <w:r w:rsidRPr="38EE78F2">
              <w:rPr>
                <w:sz w:val="18"/>
                <w:szCs w:val="18"/>
              </w:rPr>
              <w:t xml:space="preserve">26 Parker Ave, Seaton   </w:t>
            </w:r>
          </w:p>
        </w:tc>
        <w:tc>
          <w:tcPr>
            <w:tcW w:w="725" w:type="pct"/>
            <w:tcBorders>
              <w:top w:val="nil"/>
              <w:left w:val="nil"/>
              <w:bottom w:val="nil"/>
              <w:right w:val="nil"/>
            </w:tcBorders>
            <w:tcMar>
              <w:top w:w="0" w:type="dxa"/>
              <w:left w:w="108" w:type="dxa"/>
              <w:bottom w:w="0" w:type="dxa"/>
              <w:right w:w="108" w:type="dxa"/>
            </w:tcMar>
          </w:tcPr>
          <w:p w14:paraId="5A3E36CF" w14:textId="77777777" w:rsidR="00E445BE" w:rsidRPr="13E50763" w:rsidRDefault="00E445BE" w:rsidP="00911011">
            <w:pPr>
              <w:spacing w:after="20"/>
              <w:ind w:left="264"/>
              <w:rPr>
                <w:color w:val="000000" w:themeColor="text1"/>
                <w:sz w:val="18"/>
                <w:szCs w:val="18"/>
              </w:rPr>
            </w:pPr>
            <w:r w:rsidRPr="38EE78F2">
              <w:rPr>
                <w:sz w:val="18"/>
                <w:szCs w:val="18"/>
              </w:rPr>
              <w:t>CT5647</w:t>
            </w:r>
          </w:p>
        </w:tc>
        <w:tc>
          <w:tcPr>
            <w:tcW w:w="724" w:type="pct"/>
            <w:tcBorders>
              <w:top w:val="nil"/>
              <w:left w:val="nil"/>
              <w:bottom w:val="nil"/>
              <w:right w:val="nil"/>
            </w:tcBorders>
            <w:tcMar>
              <w:top w:w="0" w:type="dxa"/>
              <w:left w:w="108" w:type="dxa"/>
              <w:bottom w:w="0" w:type="dxa"/>
              <w:right w:w="108" w:type="dxa"/>
            </w:tcMar>
          </w:tcPr>
          <w:p w14:paraId="1FC97D7E" w14:textId="77777777" w:rsidR="00E445BE" w:rsidRPr="13E50763" w:rsidRDefault="00E445BE" w:rsidP="00911011">
            <w:pPr>
              <w:spacing w:after="20"/>
              <w:ind w:left="431"/>
              <w:rPr>
                <w:color w:val="000000" w:themeColor="text1"/>
                <w:sz w:val="18"/>
                <w:szCs w:val="18"/>
              </w:rPr>
            </w:pPr>
            <w:r w:rsidRPr="38EE78F2">
              <w:rPr>
                <w:sz w:val="18"/>
                <w:szCs w:val="18"/>
              </w:rPr>
              <w:t>602</w:t>
            </w:r>
          </w:p>
        </w:tc>
        <w:tc>
          <w:tcPr>
            <w:tcW w:w="975" w:type="pct"/>
            <w:tcBorders>
              <w:top w:val="nil"/>
              <w:left w:val="nil"/>
              <w:bottom w:val="nil"/>
              <w:right w:val="nil"/>
            </w:tcBorders>
            <w:tcMar>
              <w:top w:w="0" w:type="dxa"/>
              <w:left w:w="108" w:type="dxa"/>
              <w:bottom w:w="0" w:type="dxa"/>
              <w:right w:w="108" w:type="dxa"/>
            </w:tcMar>
            <w:vAlign w:val="bottom"/>
          </w:tcPr>
          <w:p w14:paraId="0FE004FF" w14:textId="77777777" w:rsidR="00E445BE" w:rsidRPr="13E50763" w:rsidRDefault="00E445BE" w:rsidP="00911011">
            <w:pPr>
              <w:spacing w:after="20"/>
              <w:ind w:left="529"/>
              <w:rPr>
                <w:color w:val="000000" w:themeColor="text1"/>
                <w:sz w:val="18"/>
                <w:szCs w:val="18"/>
              </w:rPr>
            </w:pPr>
            <w:r w:rsidRPr="38EE78F2">
              <w:rPr>
                <w:sz w:val="18"/>
                <w:szCs w:val="18"/>
              </w:rPr>
              <w:t>F40465</w:t>
            </w:r>
          </w:p>
        </w:tc>
        <w:tc>
          <w:tcPr>
            <w:tcW w:w="807" w:type="pct"/>
            <w:tcBorders>
              <w:top w:val="nil"/>
              <w:left w:val="nil"/>
              <w:bottom w:val="nil"/>
              <w:right w:val="nil"/>
            </w:tcBorders>
            <w:tcMar>
              <w:top w:w="0" w:type="dxa"/>
              <w:left w:w="108" w:type="dxa"/>
              <w:bottom w:w="0" w:type="dxa"/>
              <w:right w:w="108" w:type="dxa"/>
            </w:tcMar>
            <w:vAlign w:val="bottom"/>
          </w:tcPr>
          <w:p w14:paraId="202C6349" w14:textId="77777777" w:rsidR="00E445BE" w:rsidRPr="737857F4" w:rsidRDefault="00E445BE" w:rsidP="00911011">
            <w:pPr>
              <w:spacing w:after="20"/>
              <w:ind w:left="407"/>
              <w:rPr>
                <w:color w:val="000000" w:themeColor="text1"/>
                <w:sz w:val="18"/>
                <w:szCs w:val="18"/>
              </w:rPr>
            </w:pPr>
            <w:r w:rsidRPr="38EE78F2">
              <w:rPr>
                <w:sz w:val="18"/>
                <w:szCs w:val="18"/>
              </w:rPr>
              <w:t>A3</w:t>
            </w:r>
          </w:p>
        </w:tc>
      </w:tr>
      <w:tr w:rsidR="00E445BE" w:rsidRPr="0051594F" w14:paraId="1D58747B"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5BC36519" w14:textId="77777777" w:rsidR="00E445BE" w:rsidRPr="014F9C6A" w:rsidRDefault="00E445BE" w:rsidP="00911011">
            <w:pPr>
              <w:spacing w:after="20"/>
              <w:rPr>
                <w:color w:val="000000" w:themeColor="text1"/>
                <w:sz w:val="18"/>
                <w:szCs w:val="18"/>
              </w:rPr>
            </w:pPr>
            <w:r w:rsidRPr="73633DD5">
              <w:rPr>
                <w:sz w:val="18"/>
                <w:szCs w:val="18"/>
              </w:rPr>
              <w:t>2 Parker Ave, Seaton</w:t>
            </w:r>
          </w:p>
        </w:tc>
        <w:tc>
          <w:tcPr>
            <w:tcW w:w="725" w:type="pct"/>
            <w:tcBorders>
              <w:top w:val="nil"/>
              <w:left w:val="nil"/>
              <w:bottom w:val="nil"/>
              <w:right w:val="nil"/>
            </w:tcBorders>
            <w:tcMar>
              <w:top w:w="0" w:type="dxa"/>
              <w:left w:w="108" w:type="dxa"/>
              <w:bottom w:w="0" w:type="dxa"/>
              <w:right w:w="108" w:type="dxa"/>
            </w:tcMar>
          </w:tcPr>
          <w:p w14:paraId="720A5828" w14:textId="77777777" w:rsidR="00E445BE" w:rsidRPr="13E50763" w:rsidRDefault="00E445BE" w:rsidP="00911011">
            <w:pPr>
              <w:spacing w:after="20"/>
              <w:ind w:left="264"/>
              <w:rPr>
                <w:color w:val="000000" w:themeColor="text1"/>
                <w:sz w:val="18"/>
                <w:szCs w:val="18"/>
              </w:rPr>
            </w:pPr>
            <w:r w:rsidRPr="73633DD5">
              <w:rPr>
                <w:sz w:val="18"/>
                <w:szCs w:val="18"/>
              </w:rPr>
              <w:t>CT5484</w:t>
            </w:r>
          </w:p>
        </w:tc>
        <w:tc>
          <w:tcPr>
            <w:tcW w:w="724" w:type="pct"/>
            <w:tcBorders>
              <w:top w:val="nil"/>
              <w:left w:val="nil"/>
              <w:bottom w:val="nil"/>
              <w:right w:val="nil"/>
            </w:tcBorders>
            <w:tcMar>
              <w:top w:w="0" w:type="dxa"/>
              <w:left w:w="108" w:type="dxa"/>
              <w:bottom w:w="0" w:type="dxa"/>
              <w:right w:w="108" w:type="dxa"/>
            </w:tcMar>
          </w:tcPr>
          <w:p w14:paraId="11E4DBD6" w14:textId="77777777" w:rsidR="00E445BE" w:rsidRPr="13E50763" w:rsidRDefault="00E445BE" w:rsidP="00911011">
            <w:pPr>
              <w:spacing w:after="20"/>
              <w:ind w:left="431"/>
              <w:rPr>
                <w:color w:val="000000" w:themeColor="text1"/>
                <w:sz w:val="18"/>
                <w:szCs w:val="18"/>
              </w:rPr>
            </w:pPr>
            <w:r w:rsidRPr="73633DD5">
              <w:rPr>
                <w:sz w:val="18"/>
                <w:szCs w:val="18"/>
              </w:rPr>
              <w:t>457</w:t>
            </w:r>
          </w:p>
        </w:tc>
        <w:tc>
          <w:tcPr>
            <w:tcW w:w="975" w:type="pct"/>
            <w:tcBorders>
              <w:top w:val="nil"/>
              <w:left w:val="nil"/>
              <w:bottom w:val="nil"/>
              <w:right w:val="nil"/>
            </w:tcBorders>
            <w:tcMar>
              <w:top w:w="0" w:type="dxa"/>
              <w:left w:w="108" w:type="dxa"/>
              <w:bottom w:w="0" w:type="dxa"/>
              <w:right w:w="108" w:type="dxa"/>
            </w:tcMar>
            <w:vAlign w:val="bottom"/>
          </w:tcPr>
          <w:p w14:paraId="13D26A66" w14:textId="77777777" w:rsidR="00E445BE" w:rsidRPr="13E50763" w:rsidRDefault="00E445BE" w:rsidP="00911011">
            <w:pPr>
              <w:spacing w:after="20"/>
              <w:ind w:left="529"/>
              <w:rPr>
                <w:color w:val="000000" w:themeColor="text1"/>
                <w:sz w:val="18"/>
                <w:szCs w:val="18"/>
              </w:rPr>
            </w:pPr>
            <w:r w:rsidRPr="73633DD5">
              <w:rPr>
                <w:sz w:val="18"/>
                <w:szCs w:val="18"/>
              </w:rPr>
              <w:t>D4581</w:t>
            </w:r>
          </w:p>
        </w:tc>
        <w:tc>
          <w:tcPr>
            <w:tcW w:w="807" w:type="pct"/>
            <w:tcBorders>
              <w:top w:val="nil"/>
              <w:left w:val="nil"/>
              <w:bottom w:val="nil"/>
              <w:right w:val="nil"/>
            </w:tcBorders>
            <w:tcMar>
              <w:top w:w="0" w:type="dxa"/>
              <w:left w:w="108" w:type="dxa"/>
              <w:bottom w:w="0" w:type="dxa"/>
              <w:right w:w="108" w:type="dxa"/>
            </w:tcMar>
            <w:vAlign w:val="bottom"/>
          </w:tcPr>
          <w:p w14:paraId="0A4893BD" w14:textId="77777777" w:rsidR="00E445BE" w:rsidRPr="737857F4" w:rsidRDefault="00E445BE" w:rsidP="00911011">
            <w:pPr>
              <w:spacing w:after="20"/>
              <w:ind w:left="407"/>
              <w:rPr>
                <w:color w:val="000000" w:themeColor="text1"/>
                <w:sz w:val="18"/>
                <w:szCs w:val="18"/>
              </w:rPr>
            </w:pPr>
            <w:r w:rsidRPr="73633DD5">
              <w:rPr>
                <w:sz w:val="18"/>
                <w:szCs w:val="18"/>
              </w:rPr>
              <w:t>A83</w:t>
            </w:r>
          </w:p>
        </w:tc>
      </w:tr>
      <w:tr w:rsidR="00E445BE" w:rsidRPr="0051594F" w14:paraId="73CF8394"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65795CB6" w14:textId="77777777" w:rsidR="00E445BE" w:rsidRPr="014F9C6A" w:rsidRDefault="00E445BE" w:rsidP="00911011">
            <w:pPr>
              <w:spacing w:after="20"/>
              <w:rPr>
                <w:color w:val="000000" w:themeColor="text1"/>
                <w:sz w:val="18"/>
                <w:szCs w:val="18"/>
              </w:rPr>
            </w:pPr>
            <w:r w:rsidRPr="73633DD5">
              <w:rPr>
                <w:sz w:val="18"/>
                <w:szCs w:val="18"/>
              </w:rPr>
              <w:t>8 Fidock Ave, Seaton</w:t>
            </w:r>
          </w:p>
        </w:tc>
        <w:tc>
          <w:tcPr>
            <w:tcW w:w="725" w:type="pct"/>
            <w:tcBorders>
              <w:top w:val="nil"/>
              <w:left w:val="nil"/>
              <w:bottom w:val="nil"/>
              <w:right w:val="nil"/>
            </w:tcBorders>
            <w:tcMar>
              <w:top w:w="0" w:type="dxa"/>
              <w:left w:w="108" w:type="dxa"/>
              <w:bottom w:w="0" w:type="dxa"/>
              <w:right w:w="108" w:type="dxa"/>
            </w:tcMar>
          </w:tcPr>
          <w:p w14:paraId="7BE69DA3" w14:textId="77777777" w:rsidR="00E445BE" w:rsidRPr="13E50763" w:rsidRDefault="00E445BE" w:rsidP="00911011">
            <w:pPr>
              <w:spacing w:after="20"/>
              <w:ind w:left="264"/>
              <w:rPr>
                <w:color w:val="000000" w:themeColor="text1"/>
                <w:sz w:val="18"/>
                <w:szCs w:val="18"/>
              </w:rPr>
            </w:pPr>
            <w:r w:rsidRPr="73633DD5">
              <w:rPr>
                <w:sz w:val="18"/>
                <w:szCs w:val="18"/>
              </w:rPr>
              <w:t>CT5484</w:t>
            </w:r>
          </w:p>
        </w:tc>
        <w:tc>
          <w:tcPr>
            <w:tcW w:w="724" w:type="pct"/>
            <w:tcBorders>
              <w:top w:val="nil"/>
              <w:left w:val="nil"/>
              <w:bottom w:val="nil"/>
              <w:right w:val="nil"/>
            </w:tcBorders>
            <w:tcMar>
              <w:top w:w="0" w:type="dxa"/>
              <w:left w:w="108" w:type="dxa"/>
              <w:bottom w:w="0" w:type="dxa"/>
              <w:right w:w="108" w:type="dxa"/>
            </w:tcMar>
          </w:tcPr>
          <w:p w14:paraId="593A6927" w14:textId="77777777" w:rsidR="00E445BE" w:rsidRPr="13E50763" w:rsidRDefault="00E445BE" w:rsidP="00911011">
            <w:pPr>
              <w:spacing w:after="20"/>
              <w:ind w:left="431"/>
              <w:rPr>
                <w:color w:val="000000" w:themeColor="text1"/>
                <w:sz w:val="18"/>
                <w:szCs w:val="18"/>
              </w:rPr>
            </w:pPr>
            <w:r w:rsidRPr="73633DD5">
              <w:rPr>
                <w:sz w:val="18"/>
                <w:szCs w:val="18"/>
              </w:rPr>
              <w:t>457</w:t>
            </w:r>
          </w:p>
        </w:tc>
        <w:tc>
          <w:tcPr>
            <w:tcW w:w="975" w:type="pct"/>
            <w:tcBorders>
              <w:top w:val="nil"/>
              <w:left w:val="nil"/>
              <w:bottom w:val="nil"/>
              <w:right w:val="nil"/>
            </w:tcBorders>
            <w:tcMar>
              <w:top w:w="0" w:type="dxa"/>
              <w:left w:w="108" w:type="dxa"/>
              <w:bottom w:w="0" w:type="dxa"/>
              <w:right w:w="108" w:type="dxa"/>
            </w:tcMar>
            <w:vAlign w:val="bottom"/>
          </w:tcPr>
          <w:p w14:paraId="30E0EF96" w14:textId="77777777" w:rsidR="00E445BE" w:rsidRPr="13E50763" w:rsidRDefault="00E445BE" w:rsidP="00911011">
            <w:pPr>
              <w:spacing w:after="20"/>
              <w:ind w:left="529"/>
              <w:rPr>
                <w:color w:val="000000" w:themeColor="text1"/>
                <w:sz w:val="18"/>
                <w:szCs w:val="18"/>
              </w:rPr>
            </w:pPr>
            <w:r w:rsidRPr="73633DD5">
              <w:rPr>
                <w:sz w:val="18"/>
                <w:szCs w:val="18"/>
              </w:rPr>
              <w:t>D4581</w:t>
            </w:r>
          </w:p>
        </w:tc>
        <w:tc>
          <w:tcPr>
            <w:tcW w:w="807" w:type="pct"/>
            <w:tcBorders>
              <w:top w:val="nil"/>
              <w:left w:val="nil"/>
              <w:bottom w:val="nil"/>
              <w:right w:val="nil"/>
            </w:tcBorders>
            <w:tcMar>
              <w:top w:w="0" w:type="dxa"/>
              <w:left w:w="108" w:type="dxa"/>
              <w:bottom w:w="0" w:type="dxa"/>
              <w:right w:w="108" w:type="dxa"/>
            </w:tcMar>
            <w:vAlign w:val="bottom"/>
          </w:tcPr>
          <w:p w14:paraId="40540EFB" w14:textId="77777777" w:rsidR="00E445BE" w:rsidRPr="737857F4" w:rsidRDefault="00E445BE" w:rsidP="00911011">
            <w:pPr>
              <w:spacing w:after="20"/>
              <w:ind w:left="407"/>
              <w:rPr>
                <w:color w:val="000000" w:themeColor="text1"/>
                <w:sz w:val="18"/>
                <w:szCs w:val="18"/>
              </w:rPr>
            </w:pPr>
            <w:r w:rsidRPr="0CF266ED">
              <w:rPr>
                <w:sz w:val="18"/>
                <w:szCs w:val="18"/>
              </w:rPr>
              <w:t>A84</w:t>
            </w:r>
          </w:p>
        </w:tc>
      </w:tr>
      <w:tr w:rsidR="00E445BE" w:rsidRPr="0051594F" w14:paraId="18E06A93"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7AF7C125"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rPr>
                <w:rFonts w:eastAsia="Calibri"/>
              </w:rPr>
            </w:pPr>
            <w:r w:rsidRPr="28CB0D5D">
              <w:rPr>
                <w:sz w:val="18"/>
                <w:szCs w:val="18"/>
              </w:rPr>
              <w:t>Lot 81, Parker Ave, Seaton</w:t>
            </w:r>
          </w:p>
        </w:tc>
        <w:tc>
          <w:tcPr>
            <w:tcW w:w="725" w:type="pct"/>
            <w:tcBorders>
              <w:top w:val="nil"/>
              <w:left w:val="nil"/>
              <w:bottom w:val="nil"/>
              <w:right w:val="nil"/>
            </w:tcBorders>
            <w:tcMar>
              <w:top w:w="0" w:type="dxa"/>
              <w:left w:w="108" w:type="dxa"/>
              <w:bottom w:w="0" w:type="dxa"/>
              <w:right w:w="108" w:type="dxa"/>
            </w:tcMar>
          </w:tcPr>
          <w:p w14:paraId="0DB9965D"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264"/>
              <w:rPr>
                <w:rFonts w:eastAsia="Calibri"/>
              </w:rPr>
            </w:pPr>
            <w:r w:rsidRPr="28CB0D5D">
              <w:rPr>
                <w:sz w:val="18"/>
                <w:szCs w:val="18"/>
              </w:rPr>
              <w:t>CT5484</w:t>
            </w:r>
          </w:p>
        </w:tc>
        <w:tc>
          <w:tcPr>
            <w:tcW w:w="724" w:type="pct"/>
            <w:tcBorders>
              <w:top w:val="nil"/>
              <w:left w:val="nil"/>
              <w:bottom w:val="nil"/>
              <w:right w:val="nil"/>
            </w:tcBorders>
            <w:tcMar>
              <w:top w:w="0" w:type="dxa"/>
              <w:left w:w="108" w:type="dxa"/>
              <w:bottom w:w="0" w:type="dxa"/>
              <w:right w:w="108" w:type="dxa"/>
            </w:tcMar>
          </w:tcPr>
          <w:p w14:paraId="23CA333F"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31"/>
              <w:rPr>
                <w:rFonts w:eastAsia="Calibri"/>
              </w:rPr>
            </w:pPr>
            <w:r w:rsidRPr="28CB0D5D">
              <w:rPr>
                <w:sz w:val="18"/>
                <w:szCs w:val="18"/>
              </w:rPr>
              <w:t>457</w:t>
            </w:r>
          </w:p>
        </w:tc>
        <w:tc>
          <w:tcPr>
            <w:tcW w:w="975" w:type="pct"/>
            <w:tcBorders>
              <w:top w:val="nil"/>
              <w:left w:val="nil"/>
              <w:bottom w:val="nil"/>
              <w:right w:val="nil"/>
            </w:tcBorders>
            <w:tcMar>
              <w:top w:w="0" w:type="dxa"/>
              <w:left w:w="108" w:type="dxa"/>
              <w:bottom w:w="0" w:type="dxa"/>
              <w:right w:w="108" w:type="dxa"/>
            </w:tcMar>
            <w:vAlign w:val="bottom"/>
          </w:tcPr>
          <w:p w14:paraId="1F1CB9FA"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529"/>
              <w:rPr>
                <w:rFonts w:eastAsia="Calibri"/>
              </w:rPr>
            </w:pPr>
            <w:r w:rsidRPr="28CB0D5D">
              <w:rPr>
                <w:sz w:val="18"/>
                <w:szCs w:val="18"/>
              </w:rPr>
              <w:t>D4581</w:t>
            </w:r>
          </w:p>
        </w:tc>
        <w:tc>
          <w:tcPr>
            <w:tcW w:w="807" w:type="pct"/>
            <w:tcBorders>
              <w:top w:val="nil"/>
              <w:left w:val="nil"/>
              <w:bottom w:val="nil"/>
              <w:right w:val="nil"/>
            </w:tcBorders>
            <w:tcMar>
              <w:top w:w="0" w:type="dxa"/>
              <w:left w:w="108" w:type="dxa"/>
              <w:bottom w:w="0" w:type="dxa"/>
              <w:right w:w="108" w:type="dxa"/>
            </w:tcMar>
            <w:vAlign w:val="bottom"/>
          </w:tcPr>
          <w:p w14:paraId="2C17673D"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07"/>
              <w:rPr>
                <w:rFonts w:eastAsia="Calibri"/>
              </w:rPr>
            </w:pPr>
            <w:r w:rsidRPr="28CB0D5D">
              <w:rPr>
                <w:sz w:val="18"/>
                <w:szCs w:val="18"/>
              </w:rPr>
              <w:t>A81</w:t>
            </w:r>
          </w:p>
        </w:tc>
      </w:tr>
      <w:tr w:rsidR="00E445BE" w:rsidRPr="0051594F" w14:paraId="09A2F6A9" w14:textId="77777777" w:rsidTr="00911011">
        <w:trPr>
          <w:jc w:val="center"/>
        </w:trPr>
        <w:tc>
          <w:tcPr>
            <w:tcW w:w="1769" w:type="pct"/>
            <w:tcBorders>
              <w:top w:val="nil"/>
              <w:left w:val="nil"/>
              <w:bottom w:val="single" w:sz="4" w:space="0" w:color="auto"/>
              <w:right w:val="nil"/>
            </w:tcBorders>
            <w:tcMar>
              <w:top w:w="0" w:type="dxa"/>
              <w:left w:w="108" w:type="dxa"/>
              <w:bottom w:w="0" w:type="dxa"/>
              <w:right w:w="108" w:type="dxa"/>
            </w:tcMar>
          </w:tcPr>
          <w:p w14:paraId="746553F4"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rPr>
                <w:rFonts w:eastAsia="Calibri"/>
              </w:rPr>
            </w:pPr>
            <w:r w:rsidRPr="28CB0D5D">
              <w:rPr>
                <w:sz w:val="18"/>
                <w:szCs w:val="18"/>
              </w:rPr>
              <w:t>Lot 82, Parker Ave, Seaton</w:t>
            </w:r>
          </w:p>
        </w:tc>
        <w:tc>
          <w:tcPr>
            <w:tcW w:w="725" w:type="pct"/>
            <w:tcBorders>
              <w:top w:val="nil"/>
              <w:left w:val="nil"/>
              <w:bottom w:val="single" w:sz="4" w:space="0" w:color="auto"/>
              <w:right w:val="nil"/>
            </w:tcBorders>
            <w:tcMar>
              <w:top w:w="0" w:type="dxa"/>
              <w:left w:w="108" w:type="dxa"/>
              <w:bottom w:w="0" w:type="dxa"/>
              <w:right w:w="108" w:type="dxa"/>
            </w:tcMar>
          </w:tcPr>
          <w:p w14:paraId="6E52AD93"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264"/>
              <w:rPr>
                <w:rFonts w:eastAsia="Calibri"/>
              </w:rPr>
            </w:pPr>
            <w:r w:rsidRPr="28CB0D5D">
              <w:rPr>
                <w:sz w:val="18"/>
                <w:szCs w:val="18"/>
              </w:rPr>
              <w:t>CT5484</w:t>
            </w:r>
          </w:p>
        </w:tc>
        <w:tc>
          <w:tcPr>
            <w:tcW w:w="724" w:type="pct"/>
            <w:tcBorders>
              <w:top w:val="nil"/>
              <w:left w:val="nil"/>
              <w:bottom w:val="single" w:sz="4" w:space="0" w:color="auto"/>
              <w:right w:val="nil"/>
            </w:tcBorders>
            <w:tcMar>
              <w:top w:w="0" w:type="dxa"/>
              <w:left w:w="108" w:type="dxa"/>
              <w:bottom w:w="0" w:type="dxa"/>
              <w:right w:w="108" w:type="dxa"/>
            </w:tcMar>
          </w:tcPr>
          <w:p w14:paraId="74D9DD01"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31"/>
              <w:rPr>
                <w:rFonts w:eastAsia="Calibri"/>
              </w:rPr>
            </w:pPr>
            <w:r w:rsidRPr="28CB0D5D">
              <w:rPr>
                <w:sz w:val="18"/>
                <w:szCs w:val="18"/>
              </w:rPr>
              <w:t>457</w:t>
            </w:r>
          </w:p>
        </w:tc>
        <w:tc>
          <w:tcPr>
            <w:tcW w:w="975" w:type="pct"/>
            <w:tcBorders>
              <w:top w:val="nil"/>
              <w:left w:val="nil"/>
              <w:bottom w:val="single" w:sz="4" w:space="0" w:color="auto"/>
              <w:right w:val="nil"/>
            </w:tcBorders>
            <w:tcMar>
              <w:top w:w="0" w:type="dxa"/>
              <w:left w:w="108" w:type="dxa"/>
              <w:bottom w:w="0" w:type="dxa"/>
              <w:right w:w="108" w:type="dxa"/>
            </w:tcMar>
            <w:vAlign w:val="bottom"/>
          </w:tcPr>
          <w:p w14:paraId="65007243"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529"/>
              <w:rPr>
                <w:rFonts w:eastAsia="Calibri"/>
              </w:rPr>
            </w:pPr>
            <w:r w:rsidRPr="28CB0D5D">
              <w:rPr>
                <w:sz w:val="18"/>
                <w:szCs w:val="18"/>
              </w:rPr>
              <w:t>D4581</w:t>
            </w:r>
          </w:p>
        </w:tc>
        <w:tc>
          <w:tcPr>
            <w:tcW w:w="807" w:type="pct"/>
            <w:tcBorders>
              <w:top w:val="nil"/>
              <w:left w:val="nil"/>
              <w:bottom w:val="single" w:sz="4" w:space="0" w:color="auto"/>
              <w:right w:val="nil"/>
            </w:tcBorders>
            <w:tcMar>
              <w:top w:w="0" w:type="dxa"/>
              <w:left w:w="108" w:type="dxa"/>
              <w:bottom w:w="0" w:type="dxa"/>
              <w:right w:w="108" w:type="dxa"/>
            </w:tcMar>
            <w:vAlign w:val="bottom"/>
          </w:tcPr>
          <w:p w14:paraId="5D2C5AC4" w14:textId="77777777" w:rsidR="00E445BE" w:rsidRPr="0051594F" w:rsidRDefault="00E445BE"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07"/>
              <w:rPr>
                <w:rFonts w:eastAsia="Calibri"/>
              </w:rPr>
            </w:pPr>
            <w:r w:rsidRPr="28CB0D5D">
              <w:rPr>
                <w:sz w:val="18"/>
                <w:szCs w:val="18"/>
              </w:rPr>
              <w:t>A82</w:t>
            </w:r>
          </w:p>
        </w:tc>
      </w:tr>
    </w:tbl>
    <w:p w14:paraId="4BDD629F" w14:textId="77777777" w:rsidR="00E445BE" w:rsidRPr="0051594F" w:rsidRDefault="00E445BE" w:rsidP="00E445BE">
      <w:pPr>
        <w:spacing w:before="80" w:after="0"/>
        <w:rPr>
          <w:rFonts w:eastAsia="Times New Roman"/>
          <w:szCs w:val="17"/>
        </w:rPr>
      </w:pPr>
      <w:r w:rsidRPr="0051594F">
        <w:rPr>
          <w:rFonts w:eastAsia="Times New Roman"/>
          <w:szCs w:val="17"/>
        </w:rPr>
        <w:t xml:space="preserve">Dated: </w:t>
      </w:r>
      <w:r>
        <w:rPr>
          <w:rFonts w:eastAsia="Times New Roman"/>
          <w:szCs w:val="17"/>
        </w:rPr>
        <w:t>5</w:t>
      </w:r>
      <w:r w:rsidRPr="0051594F">
        <w:rPr>
          <w:rFonts w:eastAsia="Times New Roman"/>
          <w:szCs w:val="17"/>
        </w:rPr>
        <w:t xml:space="preserve"> </w:t>
      </w:r>
      <w:r>
        <w:rPr>
          <w:rFonts w:eastAsia="Times New Roman"/>
          <w:szCs w:val="17"/>
        </w:rPr>
        <w:t>August</w:t>
      </w:r>
      <w:r w:rsidRPr="0051594F">
        <w:rPr>
          <w:rFonts w:eastAsia="Times New Roman"/>
          <w:szCs w:val="17"/>
        </w:rPr>
        <w:t xml:space="preserve"> 2025</w:t>
      </w:r>
    </w:p>
    <w:p w14:paraId="071D5491" w14:textId="77777777" w:rsidR="00E445BE" w:rsidRPr="0051594F" w:rsidRDefault="00E445BE" w:rsidP="00E445BE">
      <w:pPr>
        <w:spacing w:after="0"/>
        <w:jc w:val="right"/>
        <w:rPr>
          <w:rFonts w:eastAsia="Times New Roman"/>
          <w:smallCaps/>
          <w:szCs w:val="20"/>
        </w:rPr>
      </w:pPr>
      <w:r w:rsidRPr="0051594F">
        <w:rPr>
          <w:rFonts w:eastAsia="Times New Roman"/>
          <w:smallCaps/>
          <w:szCs w:val="20"/>
        </w:rPr>
        <w:t>Hon Nick Champion MP</w:t>
      </w:r>
    </w:p>
    <w:p w14:paraId="0B41FA3F" w14:textId="77777777" w:rsidR="00E445BE" w:rsidRDefault="00E445BE" w:rsidP="00E445BE">
      <w:pPr>
        <w:spacing w:after="0"/>
        <w:jc w:val="right"/>
        <w:rPr>
          <w:rFonts w:eastAsia="Times New Roman"/>
          <w:szCs w:val="17"/>
        </w:rPr>
      </w:pPr>
      <w:r w:rsidRPr="0051594F">
        <w:rPr>
          <w:rFonts w:eastAsia="Times New Roman"/>
          <w:szCs w:val="17"/>
        </w:rPr>
        <w:t>Minister for Housing and Urban Development</w:t>
      </w:r>
    </w:p>
    <w:p w14:paraId="7D2A05DF" w14:textId="77777777" w:rsidR="00E445BE" w:rsidRDefault="00E445BE" w:rsidP="00E445BE">
      <w:pPr>
        <w:pBdr>
          <w:bottom w:val="single" w:sz="4" w:space="1" w:color="auto"/>
        </w:pBdr>
        <w:spacing w:after="0" w:line="52" w:lineRule="exact"/>
        <w:jc w:val="center"/>
        <w:rPr>
          <w:rFonts w:eastAsia="Times New Roman"/>
          <w:szCs w:val="17"/>
        </w:rPr>
      </w:pPr>
    </w:p>
    <w:p w14:paraId="503024B0" w14:textId="77777777" w:rsidR="00E445BE" w:rsidRDefault="00E445BE" w:rsidP="00E445BE">
      <w:pPr>
        <w:pBdr>
          <w:top w:val="single" w:sz="4" w:space="1" w:color="auto"/>
        </w:pBdr>
        <w:spacing w:before="34" w:after="0" w:line="14" w:lineRule="exact"/>
        <w:jc w:val="center"/>
        <w:rPr>
          <w:rFonts w:eastAsia="Times New Roman"/>
          <w:szCs w:val="17"/>
        </w:rPr>
      </w:pPr>
    </w:p>
    <w:p w14:paraId="61FC4455" w14:textId="77777777" w:rsidR="00E445BE" w:rsidRDefault="00E445BE" w:rsidP="00E445BE">
      <w:pPr>
        <w:pStyle w:val="NoSpacing"/>
      </w:pPr>
    </w:p>
    <w:p w14:paraId="0904BD75" w14:textId="4176AD45" w:rsidR="00B8720E" w:rsidRPr="00E445BE" w:rsidRDefault="00DA4D46" w:rsidP="00E445BE">
      <w:pPr>
        <w:pStyle w:val="Heading2"/>
      </w:pPr>
      <w:bookmarkStart w:id="517" w:name="_Toc206061774"/>
      <w:r w:rsidRPr="00E445BE">
        <w:t>Summary Offences Act 1953</w:t>
      </w:r>
      <w:bookmarkEnd w:id="517"/>
    </w:p>
    <w:p w14:paraId="15E4E3A2" w14:textId="77777777" w:rsidR="00B8720E" w:rsidRPr="006212BC" w:rsidRDefault="00B8720E" w:rsidP="00B8720E">
      <w:pPr>
        <w:pStyle w:val="GG-Title3"/>
      </w:pPr>
      <w:r>
        <w:t>Event Declaration</w:t>
      </w:r>
    </w:p>
    <w:p w14:paraId="08FD8530" w14:textId="77777777" w:rsidR="00B8720E" w:rsidRDefault="00B8720E" w:rsidP="00B8720E">
      <w:pPr>
        <w:pStyle w:val="GG-body"/>
      </w:pPr>
      <w:r>
        <w:t xml:space="preserve">Notice is hereby given in accordance with Section </w:t>
      </w:r>
      <w:r w:rsidRPr="004A0377">
        <w:t>66ZB</w:t>
      </w:r>
      <w:r>
        <w:t xml:space="preserve"> of the </w:t>
      </w:r>
      <w:r w:rsidRPr="003D09F9">
        <w:rPr>
          <w:i/>
          <w:iCs/>
        </w:rPr>
        <w:t>Summary Offences Act 1953</w:t>
      </w:r>
      <w:r>
        <w:t>, that the following event has been declared for the duration of the event between the listed dates:</w:t>
      </w:r>
    </w:p>
    <w:p w14:paraId="00EB32EC" w14:textId="77777777" w:rsidR="00B8720E" w:rsidRDefault="00B8720E" w:rsidP="00B8720E">
      <w:pPr>
        <w:pStyle w:val="GG-body"/>
        <w:ind w:left="1134" w:hanging="992"/>
      </w:pPr>
      <w:r>
        <w:t>Event:</w:t>
      </w:r>
      <w:r>
        <w:tab/>
        <w:t>Royal Adelaide Show 2025</w:t>
      </w:r>
    </w:p>
    <w:p w14:paraId="5A0D28DA" w14:textId="77777777" w:rsidR="00B8720E" w:rsidRDefault="00B8720E" w:rsidP="00B8720E">
      <w:pPr>
        <w:pStyle w:val="GG-body"/>
        <w:spacing w:after="0"/>
        <w:ind w:left="1134" w:hanging="992"/>
      </w:pPr>
      <w:r>
        <w:t>Place:</w:t>
      </w:r>
      <w:r>
        <w:tab/>
        <w:t>Public place known as the Adelaide Showgrounds</w:t>
      </w:r>
    </w:p>
    <w:p w14:paraId="45E517FA" w14:textId="77777777" w:rsidR="00B8720E" w:rsidRDefault="00B8720E" w:rsidP="00B8720E">
      <w:pPr>
        <w:pStyle w:val="GG-body"/>
        <w:ind w:left="2127" w:hanging="992"/>
      </w:pPr>
      <w:r>
        <w:t>Boundary of Rose Terrace, Goodwood Road, Leader Street and Richards Terrace</w:t>
      </w:r>
    </w:p>
    <w:p w14:paraId="00D59C87" w14:textId="77777777" w:rsidR="00B8720E" w:rsidRDefault="00B8720E" w:rsidP="00B8720E">
      <w:pPr>
        <w:pStyle w:val="GG-body"/>
        <w:ind w:left="1134" w:hanging="992"/>
      </w:pPr>
      <w:r>
        <w:t>Date:</w:t>
      </w:r>
      <w:r>
        <w:tab/>
        <w:t>30 August to 7 September 2025</w:t>
      </w:r>
    </w:p>
    <w:p w14:paraId="1DE29E31" w14:textId="77777777" w:rsidR="00B8720E" w:rsidRDefault="00B8720E" w:rsidP="00B8720E">
      <w:pPr>
        <w:pStyle w:val="GG-body"/>
        <w:ind w:left="1134" w:hanging="992"/>
      </w:pPr>
      <w:r>
        <w:t>Conditions:</w:t>
      </w:r>
      <w:r>
        <w:tab/>
        <w:t>May be subject to conditions specified in the notice</w:t>
      </w:r>
    </w:p>
    <w:p w14:paraId="19DB8BA8" w14:textId="77777777" w:rsidR="00B8720E" w:rsidRPr="0000118D" w:rsidRDefault="00B8720E" w:rsidP="00B8720E">
      <w:pPr>
        <w:pStyle w:val="GG-body"/>
        <w:rPr>
          <w:spacing w:val="-2"/>
        </w:rPr>
      </w:pPr>
      <w:r w:rsidRPr="0000118D">
        <w:rPr>
          <w:spacing w:val="-2"/>
        </w:rPr>
        <w:t xml:space="preserve">At this event a police officer may carry out a metal detector search in relation to any person who is in, or attempting to enter or leave the event and any property in the person's possession. </w:t>
      </w:r>
    </w:p>
    <w:p w14:paraId="16896072" w14:textId="77777777" w:rsidR="00B8720E" w:rsidRDefault="00B8720E" w:rsidP="00B8720E">
      <w:pPr>
        <w:pStyle w:val="GG-SDated"/>
      </w:pPr>
      <w:r>
        <w:t>Dated: 14 August 2025</w:t>
      </w:r>
    </w:p>
    <w:p w14:paraId="2F45BE48" w14:textId="77777777" w:rsidR="00B8720E" w:rsidRDefault="00B8720E" w:rsidP="00B8720E">
      <w:pPr>
        <w:pStyle w:val="GG-SName"/>
      </w:pPr>
      <w:r>
        <w:t>Superintendent Scott Denny</w:t>
      </w:r>
    </w:p>
    <w:p w14:paraId="1F8CFB07" w14:textId="0261B213" w:rsidR="00662F55" w:rsidRDefault="00B8720E" w:rsidP="00B8720E">
      <w:pPr>
        <w:pStyle w:val="GG-Signature"/>
      </w:pPr>
      <w:r>
        <w:t>Delegate of the Commissioner</w:t>
      </w:r>
    </w:p>
    <w:p w14:paraId="0DDB0396" w14:textId="77777777" w:rsidR="00B8720E" w:rsidRDefault="00B8720E" w:rsidP="00B8720E">
      <w:pPr>
        <w:pStyle w:val="GG-Signature"/>
        <w:pBdr>
          <w:bottom w:val="single" w:sz="4" w:space="1" w:color="auto"/>
        </w:pBdr>
        <w:spacing w:line="52" w:lineRule="exact"/>
        <w:jc w:val="center"/>
      </w:pPr>
    </w:p>
    <w:p w14:paraId="7CF0C57D" w14:textId="77777777" w:rsidR="00B8720E" w:rsidRDefault="00B8720E" w:rsidP="00B8720E">
      <w:pPr>
        <w:pStyle w:val="GG-Signature"/>
        <w:pBdr>
          <w:top w:val="single" w:sz="4" w:space="1" w:color="auto"/>
        </w:pBdr>
        <w:spacing w:before="34" w:line="14" w:lineRule="exact"/>
        <w:jc w:val="center"/>
      </w:pPr>
    </w:p>
    <w:p w14:paraId="011CB275" w14:textId="317E759A" w:rsidR="008E3340" w:rsidRDefault="008E3340" w:rsidP="00E445BE">
      <w:pPr>
        <w:pStyle w:val="NoSpacing"/>
      </w:pPr>
    </w:p>
    <w:p w14:paraId="0C8ACCDD" w14:textId="6F3D8006" w:rsidR="00D5033A" w:rsidRPr="0051594F" w:rsidRDefault="00DA4D46" w:rsidP="00E34B09">
      <w:pPr>
        <w:pStyle w:val="Heading2"/>
      </w:pPr>
      <w:bookmarkStart w:id="518" w:name="_Toc206061775"/>
      <w:r w:rsidRPr="0051594F">
        <w:t>Urban Renewal Act 1995</w:t>
      </w:r>
      <w:bookmarkEnd w:id="518"/>
    </w:p>
    <w:p w14:paraId="43E1F28E" w14:textId="77777777" w:rsidR="00D5033A" w:rsidRPr="0051594F" w:rsidRDefault="00D5033A" w:rsidP="00D5033A">
      <w:pPr>
        <w:jc w:val="center"/>
        <w:rPr>
          <w:i/>
          <w:szCs w:val="17"/>
        </w:rPr>
      </w:pPr>
      <w:r w:rsidRPr="0051594F">
        <w:rPr>
          <w:i/>
          <w:szCs w:val="17"/>
        </w:rPr>
        <w:t>Transfer of Assets of the Urban Renewal Authority</w:t>
      </w:r>
    </w:p>
    <w:p w14:paraId="4E231B3C" w14:textId="77777777" w:rsidR="00D5033A" w:rsidRPr="0051594F" w:rsidRDefault="00D5033A" w:rsidP="00D5033A">
      <w:r w:rsidRPr="00DB62BA">
        <w:rPr>
          <w:spacing w:val="-2"/>
        </w:rPr>
        <w:t xml:space="preserve">Pursuant to the provisions of Section 23(1)(b)(iii) of the </w:t>
      </w:r>
      <w:r w:rsidRPr="007232DD">
        <w:rPr>
          <w:i/>
          <w:iCs/>
          <w:spacing w:val="-2"/>
        </w:rPr>
        <w:t>Urban Renewal Act 1995</w:t>
      </w:r>
      <w:r w:rsidRPr="00DB62BA">
        <w:rPr>
          <w:spacing w:val="-2"/>
        </w:rPr>
        <w:t>, I, Nick Champion, Minister for Housing and Urban</w:t>
      </w:r>
      <w:r>
        <w:rPr>
          <w:spacing w:val="-2"/>
        </w:rPr>
        <w:t> </w:t>
      </w:r>
      <w:r w:rsidRPr="00DB62BA">
        <w:rPr>
          <w:spacing w:val="-2"/>
        </w:rPr>
        <w:t>Development, with the concurrence of Stephen Mullighan, Treasurer, gives notice of the transfer of the properties, with Certificate of Title and Allotment References listed in Schedule 1, from the Urban Renewal Authority to the South Australian Housing Trust</w:t>
      </w:r>
      <w:r w:rsidRPr="0051594F">
        <w:t>.</w:t>
      </w:r>
    </w:p>
    <w:p w14:paraId="33D8AAFC" w14:textId="77777777" w:rsidR="00D5033A" w:rsidRPr="0051594F" w:rsidRDefault="00D5033A" w:rsidP="00D5033A">
      <w:pPr>
        <w:jc w:val="center"/>
        <w:rPr>
          <w:smallCaps/>
          <w:szCs w:val="17"/>
        </w:rPr>
      </w:pPr>
      <w:r w:rsidRPr="0051594F">
        <w:rPr>
          <w:smallCaps/>
          <w:szCs w:val="17"/>
        </w:rPr>
        <w:t>Schedule 1</w:t>
      </w:r>
    </w:p>
    <w:tbl>
      <w:tblPr>
        <w:tblStyle w:val="TableGrid"/>
        <w:tblW w:w="5000" w:type="pct"/>
        <w:jc w:val="center"/>
        <w:tblLook w:val="04A0" w:firstRow="1" w:lastRow="0" w:firstColumn="1" w:lastColumn="0" w:noHBand="0" w:noVBand="1"/>
      </w:tblPr>
      <w:tblGrid>
        <w:gridCol w:w="3310"/>
        <w:gridCol w:w="1356"/>
        <w:gridCol w:w="1354"/>
        <w:gridCol w:w="1824"/>
        <w:gridCol w:w="1510"/>
      </w:tblGrid>
      <w:tr w:rsidR="00D5033A" w:rsidRPr="0051594F" w14:paraId="0D90BA54" w14:textId="77777777" w:rsidTr="00911011">
        <w:trPr>
          <w:jc w:val="center"/>
        </w:trPr>
        <w:tc>
          <w:tcPr>
            <w:tcW w:w="1769" w:type="pct"/>
            <w:vMerge w:val="restart"/>
            <w:tcBorders>
              <w:top w:val="single" w:sz="4" w:space="0" w:color="auto"/>
              <w:left w:val="nil"/>
              <w:right w:val="nil"/>
            </w:tcBorders>
            <w:tcMar>
              <w:top w:w="0" w:type="dxa"/>
              <w:left w:w="108" w:type="dxa"/>
              <w:bottom w:w="0" w:type="dxa"/>
              <w:right w:w="108" w:type="dxa"/>
            </w:tcMar>
            <w:vAlign w:val="center"/>
          </w:tcPr>
          <w:p w14:paraId="1A244563"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rFonts w:eastAsia="Calibri"/>
                <w:b/>
              </w:rPr>
            </w:pPr>
            <w:r w:rsidRPr="0051594F">
              <w:rPr>
                <w:rFonts w:eastAsia="Calibri"/>
                <w:b/>
              </w:rPr>
              <w:t>Address</w:t>
            </w:r>
          </w:p>
        </w:tc>
        <w:tc>
          <w:tcPr>
            <w:tcW w:w="1449" w:type="pct"/>
            <w:gridSpan w:val="2"/>
            <w:tcBorders>
              <w:top w:val="single" w:sz="4" w:space="0" w:color="auto"/>
              <w:left w:val="nil"/>
              <w:bottom w:val="nil"/>
              <w:right w:val="nil"/>
            </w:tcBorders>
            <w:tcMar>
              <w:top w:w="0" w:type="dxa"/>
              <w:left w:w="108" w:type="dxa"/>
              <w:bottom w:w="0" w:type="dxa"/>
              <w:right w:w="108" w:type="dxa"/>
            </w:tcMar>
            <w:vAlign w:val="center"/>
          </w:tcPr>
          <w:p w14:paraId="7C86B782"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Certificate of Title</w:t>
            </w:r>
          </w:p>
        </w:tc>
        <w:tc>
          <w:tcPr>
            <w:tcW w:w="1782" w:type="pct"/>
            <w:gridSpan w:val="2"/>
            <w:tcBorders>
              <w:top w:val="single" w:sz="4" w:space="0" w:color="auto"/>
              <w:left w:val="nil"/>
              <w:bottom w:val="nil"/>
              <w:right w:val="nil"/>
            </w:tcBorders>
            <w:tcMar>
              <w:top w:w="0" w:type="dxa"/>
              <w:left w:w="108" w:type="dxa"/>
              <w:bottom w:w="0" w:type="dxa"/>
              <w:right w:w="108" w:type="dxa"/>
            </w:tcMar>
            <w:vAlign w:val="center"/>
          </w:tcPr>
          <w:p w14:paraId="573B008B"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Certificate of Title Description</w:t>
            </w:r>
          </w:p>
        </w:tc>
      </w:tr>
      <w:tr w:rsidR="00D5033A" w:rsidRPr="0051594F" w14:paraId="1442E73B" w14:textId="77777777" w:rsidTr="00911011">
        <w:trPr>
          <w:trHeight w:val="171"/>
          <w:jc w:val="center"/>
        </w:trPr>
        <w:tc>
          <w:tcPr>
            <w:tcW w:w="1769" w:type="pct"/>
            <w:vMerge/>
            <w:tcBorders>
              <w:left w:val="nil"/>
              <w:bottom w:val="single" w:sz="4" w:space="0" w:color="auto"/>
              <w:right w:val="nil"/>
            </w:tcBorders>
            <w:tcMar>
              <w:top w:w="0" w:type="dxa"/>
              <w:left w:w="108" w:type="dxa"/>
              <w:bottom w:w="0" w:type="dxa"/>
              <w:right w:w="108" w:type="dxa"/>
            </w:tcMar>
            <w:vAlign w:val="center"/>
          </w:tcPr>
          <w:p w14:paraId="0448D63A"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rFonts w:eastAsia="Calibri"/>
                <w:b/>
              </w:rPr>
            </w:pPr>
          </w:p>
        </w:tc>
        <w:tc>
          <w:tcPr>
            <w:tcW w:w="725" w:type="pct"/>
            <w:tcBorders>
              <w:top w:val="nil"/>
              <w:left w:val="nil"/>
              <w:bottom w:val="single" w:sz="4" w:space="0" w:color="auto"/>
              <w:right w:val="nil"/>
            </w:tcBorders>
            <w:tcMar>
              <w:top w:w="0" w:type="dxa"/>
              <w:left w:w="108" w:type="dxa"/>
              <w:bottom w:w="0" w:type="dxa"/>
              <w:right w:w="108" w:type="dxa"/>
            </w:tcMar>
            <w:vAlign w:val="center"/>
          </w:tcPr>
          <w:p w14:paraId="794F1AE6"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Volume</w:t>
            </w:r>
          </w:p>
        </w:tc>
        <w:tc>
          <w:tcPr>
            <w:tcW w:w="724" w:type="pct"/>
            <w:tcBorders>
              <w:top w:val="nil"/>
              <w:left w:val="nil"/>
              <w:bottom w:val="single" w:sz="4" w:space="0" w:color="auto"/>
              <w:right w:val="nil"/>
            </w:tcBorders>
            <w:tcMar>
              <w:top w:w="0" w:type="dxa"/>
              <w:left w:w="108" w:type="dxa"/>
              <w:bottom w:w="0" w:type="dxa"/>
              <w:right w:w="108" w:type="dxa"/>
            </w:tcMar>
            <w:vAlign w:val="center"/>
          </w:tcPr>
          <w:p w14:paraId="6AC7F3B8"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Folio</w:t>
            </w:r>
          </w:p>
        </w:tc>
        <w:tc>
          <w:tcPr>
            <w:tcW w:w="975" w:type="pct"/>
            <w:tcBorders>
              <w:top w:val="nil"/>
              <w:left w:val="nil"/>
              <w:bottom w:val="single" w:sz="4" w:space="0" w:color="auto"/>
              <w:right w:val="nil"/>
            </w:tcBorders>
            <w:tcMar>
              <w:top w:w="0" w:type="dxa"/>
              <w:left w:w="108" w:type="dxa"/>
              <w:bottom w:w="0" w:type="dxa"/>
              <w:right w:w="108" w:type="dxa"/>
            </w:tcMar>
            <w:vAlign w:val="center"/>
          </w:tcPr>
          <w:p w14:paraId="13DDD7F3"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Plan</w:t>
            </w:r>
          </w:p>
        </w:tc>
        <w:tc>
          <w:tcPr>
            <w:tcW w:w="807" w:type="pct"/>
            <w:tcBorders>
              <w:top w:val="nil"/>
              <w:left w:val="nil"/>
              <w:bottom w:val="single" w:sz="4" w:space="0" w:color="auto"/>
              <w:right w:val="nil"/>
            </w:tcBorders>
            <w:tcMar>
              <w:top w:w="0" w:type="dxa"/>
              <w:left w:w="108" w:type="dxa"/>
              <w:bottom w:w="0" w:type="dxa"/>
              <w:right w:w="108" w:type="dxa"/>
            </w:tcMar>
            <w:vAlign w:val="center"/>
          </w:tcPr>
          <w:p w14:paraId="40B253BA"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rPr>
            </w:pPr>
            <w:r w:rsidRPr="0051594F">
              <w:rPr>
                <w:rFonts w:eastAsia="Calibri"/>
                <w:b/>
              </w:rPr>
              <w:t>Parcel</w:t>
            </w:r>
          </w:p>
        </w:tc>
      </w:tr>
      <w:tr w:rsidR="00D5033A" w:rsidRPr="0051594F" w14:paraId="7F9D908D" w14:textId="77777777" w:rsidTr="00911011">
        <w:trPr>
          <w:jc w:val="center"/>
        </w:trPr>
        <w:tc>
          <w:tcPr>
            <w:tcW w:w="1769" w:type="pct"/>
            <w:tcBorders>
              <w:top w:val="single" w:sz="4" w:space="0" w:color="auto"/>
              <w:left w:val="nil"/>
              <w:bottom w:val="nil"/>
              <w:right w:val="nil"/>
            </w:tcBorders>
            <w:tcMar>
              <w:top w:w="0" w:type="dxa"/>
              <w:left w:w="108" w:type="dxa"/>
              <w:bottom w:w="0" w:type="dxa"/>
              <w:right w:w="108" w:type="dxa"/>
            </w:tcMar>
          </w:tcPr>
          <w:p w14:paraId="65AD820C"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rPr>
                <w:rFonts w:eastAsia="Calibri"/>
              </w:rPr>
            </w:pPr>
            <w:r w:rsidRPr="014F9C6A">
              <w:rPr>
                <w:color w:val="000000" w:themeColor="text1"/>
                <w:sz w:val="18"/>
                <w:szCs w:val="18"/>
              </w:rPr>
              <w:t>Lot 470, Karra Ave, Seaton</w:t>
            </w:r>
          </w:p>
        </w:tc>
        <w:tc>
          <w:tcPr>
            <w:tcW w:w="725" w:type="pct"/>
            <w:tcBorders>
              <w:top w:val="single" w:sz="4" w:space="0" w:color="auto"/>
              <w:left w:val="nil"/>
              <w:bottom w:val="nil"/>
              <w:right w:val="nil"/>
            </w:tcBorders>
            <w:tcMar>
              <w:top w:w="0" w:type="dxa"/>
              <w:left w:w="108" w:type="dxa"/>
              <w:bottom w:w="0" w:type="dxa"/>
              <w:right w:w="108" w:type="dxa"/>
            </w:tcMar>
          </w:tcPr>
          <w:p w14:paraId="4C62E85D"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264"/>
              <w:rPr>
                <w:rFonts w:eastAsia="Calibri"/>
              </w:rPr>
            </w:pPr>
            <w:r w:rsidRPr="13E50763">
              <w:rPr>
                <w:color w:val="000000" w:themeColor="text1"/>
                <w:sz w:val="18"/>
                <w:szCs w:val="18"/>
              </w:rPr>
              <w:t>CT6316</w:t>
            </w:r>
          </w:p>
        </w:tc>
        <w:tc>
          <w:tcPr>
            <w:tcW w:w="724" w:type="pct"/>
            <w:tcBorders>
              <w:top w:val="single" w:sz="4" w:space="0" w:color="auto"/>
              <w:left w:val="nil"/>
              <w:bottom w:val="nil"/>
              <w:right w:val="nil"/>
            </w:tcBorders>
            <w:tcMar>
              <w:top w:w="0" w:type="dxa"/>
              <w:left w:w="108" w:type="dxa"/>
              <w:bottom w:w="0" w:type="dxa"/>
              <w:right w:w="108" w:type="dxa"/>
            </w:tcMar>
          </w:tcPr>
          <w:p w14:paraId="0979281B"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31"/>
              <w:rPr>
                <w:rFonts w:eastAsia="Calibri"/>
              </w:rPr>
            </w:pPr>
            <w:r w:rsidRPr="13E50763">
              <w:rPr>
                <w:color w:val="000000" w:themeColor="text1"/>
                <w:sz w:val="18"/>
                <w:szCs w:val="18"/>
              </w:rPr>
              <w:t>697</w:t>
            </w:r>
          </w:p>
        </w:tc>
        <w:tc>
          <w:tcPr>
            <w:tcW w:w="975" w:type="pct"/>
            <w:tcBorders>
              <w:top w:val="single" w:sz="4" w:space="0" w:color="auto"/>
              <w:left w:val="nil"/>
              <w:bottom w:val="nil"/>
              <w:right w:val="nil"/>
            </w:tcBorders>
            <w:tcMar>
              <w:top w:w="0" w:type="dxa"/>
              <w:left w:w="108" w:type="dxa"/>
              <w:bottom w:w="0" w:type="dxa"/>
              <w:right w:w="108" w:type="dxa"/>
            </w:tcMar>
            <w:vAlign w:val="bottom"/>
          </w:tcPr>
          <w:p w14:paraId="08045201"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93"/>
              <w:rPr>
                <w:rFonts w:eastAsia="Calibri"/>
              </w:rPr>
            </w:pPr>
            <w:r w:rsidRPr="13E50763">
              <w:rPr>
                <w:color w:val="000000" w:themeColor="text1"/>
                <w:sz w:val="18"/>
                <w:szCs w:val="18"/>
              </w:rPr>
              <w:t>D136612</w:t>
            </w:r>
          </w:p>
        </w:tc>
        <w:tc>
          <w:tcPr>
            <w:tcW w:w="807" w:type="pct"/>
            <w:tcBorders>
              <w:top w:val="single" w:sz="4" w:space="0" w:color="auto"/>
              <w:left w:val="nil"/>
              <w:bottom w:val="nil"/>
              <w:right w:val="nil"/>
            </w:tcBorders>
            <w:tcMar>
              <w:top w:w="0" w:type="dxa"/>
              <w:left w:w="108" w:type="dxa"/>
              <w:bottom w:w="0" w:type="dxa"/>
              <w:right w:w="108" w:type="dxa"/>
            </w:tcMar>
            <w:vAlign w:val="bottom"/>
          </w:tcPr>
          <w:p w14:paraId="28CA9AB3"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07"/>
              <w:rPr>
                <w:rFonts w:eastAsia="Calibri"/>
              </w:rPr>
            </w:pPr>
            <w:r w:rsidRPr="737857F4">
              <w:rPr>
                <w:color w:val="000000" w:themeColor="text1"/>
                <w:sz w:val="18"/>
                <w:szCs w:val="18"/>
              </w:rPr>
              <w:t>A470</w:t>
            </w:r>
          </w:p>
        </w:tc>
      </w:tr>
      <w:tr w:rsidR="00D5033A" w:rsidRPr="0051594F" w14:paraId="33543993"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5ABF7505"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rFonts w:eastAsia="Calibri"/>
              </w:rPr>
            </w:pPr>
            <w:r w:rsidRPr="014F9C6A">
              <w:rPr>
                <w:color w:val="000000" w:themeColor="text1"/>
                <w:sz w:val="18"/>
                <w:szCs w:val="18"/>
              </w:rPr>
              <w:t>Lot 471, Karra Ave, Seaton</w:t>
            </w:r>
          </w:p>
        </w:tc>
        <w:tc>
          <w:tcPr>
            <w:tcW w:w="725" w:type="pct"/>
            <w:tcBorders>
              <w:top w:val="nil"/>
              <w:left w:val="nil"/>
              <w:bottom w:val="nil"/>
              <w:right w:val="nil"/>
            </w:tcBorders>
            <w:tcMar>
              <w:top w:w="0" w:type="dxa"/>
              <w:left w:w="108" w:type="dxa"/>
              <w:bottom w:w="0" w:type="dxa"/>
              <w:right w:w="108" w:type="dxa"/>
            </w:tcMar>
          </w:tcPr>
          <w:p w14:paraId="7DF92E22"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64"/>
              <w:rPr>
                <w:rFonts w:eastAsia="Calibri"/>
              </w:rPr>
            </w:pPr>
            <w:r w:rsidRPr="13E50763">
              <w:rPr>
                <w:color w:val="000000" w:themeColor="text1"/>
                <w:sz w:val="18"/>
                <w:szCs w:val="18"/>
              </w:rPr>
              <w:t>CT6316</w:t>
            </w:r>
          </w:p>
        </w:tc>
        <w:tc>
          <w:tcPr>
            <w:tcW w:w="724" w:type="pct"/>
            <w:tcBorders>
              <w:top w:val="nil"/>
              <w:left w:val="nil"/>
              <w:bottom w:val="nil"/>
              <w:right w:val="nil"/>
            </w:tcBorders>
            <w:tcMar>
              <w:top w:w="0" w:type="dxa"/>
              <w:left w:w="108" w:type="dxa"/>
              <w:bottom w:w="0" w:type="dxa"/>
              <w:right w:w="108" w:type="dxa"/>
            </w:tcMar>
          </w:tcPr>
          <w:p w14:paraId="5B6BCF14"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31"/>
              <w:rPr>
                <w:rFonts w:eastAsia="Calibri"/>
              </w:rPr>
            </w:pPr>
            <w:r w:rsidRPr="13E50763">
              <w:rPr>
                <w:color w:val="000000" w:themeColor="text1"/>
                <w:sz w:val="18"/>
                <w:szCs w:val="18"/>
              </w:rPr>
              <w:t>698</w:t>
            </w:r>
          </w:p>
        </w:tc>
        <w:tc>
          <w:tcPr>
            <w:tcW w:w="975" w:type="pct"/>
            <w:tcBorders>
              <w:top w:val="nil"/>
              <w:left w:val="nil"/>
              <w:bottom w:val="nil"/>
              <w:right w:val="nil"/>
            </w:tcBorders>
            <w:tcMar>
              <w:top w:w="0" w:type="dxa"/>
              <w:left w:w="108" w:type="dxa"/>
              <w:bottom w:w="0" w:type="dxa"/>
              <w:right w:w="108" w:type="dxa"/>
            </w:tcMar>
            <w:vAlign w:val="bottom"/>
          </w:tcPr>
          <w:p w14:paraId="51F40E80"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93"/>
              <w:rPr>
                <w:rFonts w:eastAsia="Calibri"/>
              </w:rPr>
            </w:pPr>
            <w:r w:rsidRPr="13E50763">
              <w:rPr>
                <w:color w:val="000000" w:themeColor="text1"/>
                <w:sz w:val="18"/>
                <w:szCs w:val="18"/>
              </w:rPr>
              <w:t>D136612</w:t>
            </w:r>
          </w:p>
        </w:tc>
        <w:tc>
          <w:tcPr>
            <w:tcW w:w="807" w:type="pct"/>
            <w:tcBorders>
              <w:top w:val="nil"/>
              <w:left w:val="nil"/>
              <w:bottom w:val="nil"/>
              <w:right w:val="nil"/>
            </w:tcBorders>
            <w:tcMar>
              <w:top w:w="0" w:type="dxa"/>
              <w:left w:w="108" w:type="dxa"/>
              <w:bottom w:w="0" w:type="dxa"/>
              <w:right w:w="108" w:type="dxa"/>
            </w:tcMar>
            <w:vAlign w:val="bottom"/>
          </w:tcPr>
          <w:p w14:paraId="1ADD3558"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07"/>
              <w:rPr>
                <w:rFonts w:eastAsia="Calibri"/>
              </w:rPr>
            </w:pPr>
            <w:r w:rsidRPr="737857F4">
              <w:rPr>
                <w:color w:val="000000" w:themeColor="text1"/>
                <w:sz w:val="18"/>
                <w:szCs w:val="18"/>
              </w:rPr>
              <w:t>A471</w:t>
            </w:r>
          </w:p>
        </w:tc>
      </w:tr>
      <w:tr w:rsidR="00D5033A" w:rsidRPr="0051594F" w14:paraId="68BCE2EF"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4131969E" w14:textId="77777777" w:rsidR="00D5033A" w:rsidRPr="0051594F" w:rsidRDefault="00D5033A" w:rsidP="00911011">
            <w:pPr>
              <w:spacing w:after="0"/>
            </w:pPr>
            <w:r w:rsidRPr="014F9C6A">
              <w:rPr>
                <w:color w:val="000000" w:themeColor="text1"/>
                <w:sz w:val="18"/>
                <w:szCs w:val="18"/>
              </w:rPr>
              <w:t>Lot 472, Karra Ave, Seaton</w:t>
            </w:r>
          </w:p>
        </w:tc>
        <w:tc>
          <w:tcPr>
            <w:tcW w:w="725" w:type="pct"/>
            <w:tcBorders>
              <w:top w:val="nil"/>
              <w:left w:val="nil"/>
              <w:bottom w:val="nil"/>
              <w:right w:val="nil"/>
            </w:tcBorders>
            <w:tcMar>
              <w:top w:w="0" w:type="dxa"/>
              <w:left w:w="108" w:type="dxa"/>
              <w:bottom w:w="0" w:type="dxa"/>
              <w:right w:w="108" w:type="dxa"/>
            </w:tcMar>
          </w:tcPr>
          <w:p w14:paraId="266BF98D" w14:textId="77777777" w:rsidR="00D5033A" w:rsidRPr="0051594F" w:rsidRDefault="00D5033A" w:rsidP="00911011">
            <w:pPr>
              <w:spacing w:after="0"/>
              <w:ind w:left="264"/>
            </w:pPr>
            <w:r w:rsidRPr="13E50763">
              <w:rPr>
                <w:color w:val="000000" w:themeColor="text1"/>
                <w:sz w:val="18"/>
                <w:szCs w:val="18"/>
              </w:rPr>
              <w:t>CT6316</w:t>
            </w:r>
          </w:p>
        </w:tc>
        <w:tc>
          <w:tcPr>
            <w:tcW w:w="724" w:type="pct"/>
            <w:tcBorders>
              <w:top w:val="nil"/>
              <w:left w:val="nil"/>
              <w:bottom w:val="nil"/>
              <w:right w:val="nil"/>
            </w:tcBorders>
            <w:tcMar>
              <w:top w:w="0" w:type="dxa"/>
              <w:left w:w="108" w:type="dxa"/>
              <w:bottom w:w="0" w:type="dxa"/>
              <w:right w:w="108" w:type="dxa"/>
            </w:tcMar>
          </w:tcPr>
          <w:p w14:paraId="17515B02" w14:textId="77777777" w:rsidR="00D5033A" w:rsidRPr="0051594F" w:rsidRDefault="00D5033A" w:rsidP="00911011">
            <w:pPr>
              <w:spacing w:after="0"/>
              <w:ind w:left="431"/>
            </w:pPr>
            <w:r w:rsidRPr="13E50763">
              <w:rPr>
                <w:color w:val="000000" w:themeColor="text1"/>
                <w:sz w:val="18"/>
                <w:szCs w:val="18"/>
              </w:rPr>
              <w:t>699</w:t>
            </w:r>
          </w:p>
        </w:tc>
        <w:tc>
          <w:tcPr>
            <w:tcW w:w="975" w:type="pct"/>
            <w:tcBorders>
              <w:top w:val="nil"/>
              <w:left w:val="nil"/>
              <w:bottom w:val="nil"/>
              <w:right w:val="nil"/>
            </w:tcBorders>
            <w:tcMar>
              <w:top w:w="0" w:type="dxa"/>
              <w:left w:w="108" w:type="dxa"/>
              <w:bottom w:w="0" w:type="dxa"/>
              <w:right w:w="108" w:type="dxa"/>
            </w:tcMar>
            <w:vAlign w:val="bottom"/>
          </w:tcPr>
          <w:p w14:paraId="271D2BD4" w14:textId="77777777" w:rsidR="00D5033A" w:rsidRPr="0051594F" w:rsidRDefault="00D5033A" w:rsidP="00911011">
            <w:pPr>
              <w:spacing w:after="0"/>
              <w:ind w:left="493"/>
            </w:pPr>
            <w:r w:rsidRPr="13E50763">
              <w:rPr>
                <w:color w:val="000000" w:themeColor="text1"/>
                <w:sz w:val="18"/>
                <w:szCs w:val="18"/>
              </w:rPr>
              <w:t>D136612</w:t>
            </w:r>
          </w:p>
        </w:tc>
        <w:tc>
          <w:tcPr>
            <w:tcW w:w="807" w:type="pct"/>
            <w:tcBorders>
              <w:top w:val="nil"/>
              <w:left w:val="nil"/>
              <w:bottom w:val="nil"/>
              <w:right w:val="nil"/>
            </w:tcBorders>
            <w:tcMar>
              <w:top w:w="0" w:type="dxa"/>
              <w:left w:w="108" w:type="dxa"/>
              <w:bottom w:w="0" w:type="dxa"/>
              <w:right w:w="108" w:type="dxa"/>
            </w:tcMar>
            <w:vAlign w:val="bottom"/>
          </w:tcPr>
          <w:p w14:paraId="25271E29" w14:textId="77777777" w:rsidR="00D5033A" w:rsidRPr="0051594F" w:rsidRDefault="00D5033A" w:rsidP="00911011">
            <w:pPr>
              <w:spacing w:after="0"/>
              <w:ind w:left="407"/>
            </w:pPr>
            <w:r w:rsidRPr="737857F4">
              <w:rPr>
                <w:color w:val="000000" w:themeColor="text1"/>
                <w:sz w:val="18"/>
                <w:szCs w:val="18"/>
              </w:rPr>
              <w:t>A472</w:t>
            </w:r>
          </w:p>
        </w:tc>
      </w:tr>
      <w:tr w:rsidR="00D5033A" w:rsidRPr="0051594F" w14:paraId="7BDAFAC4"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315AD513" w14:textId="77777777" w:rsidR="00D5033A" w:rsidRPr="0051594F" w:rsidRDefault="00D5033A" w:rsidP="00911011">
            <w:pPr>
              <w:spacing w:after="0"/>
            </w:pPr>
            <w:r w:rsidRPr="014F9C6A">
              <w:rPr>
                <w:color w:val="000000" w:themeColor="text1"/>
                <w:sz w:val="18"/>
                <w:szCs w:val="18"/>
              </w:rPr>
              <w:t>Lot 473, Karra Ave, Seaton</w:t>
            </w:r>
          </w:p>
        </w:tc>
        <w:tc>
          <w:tcPr>
            <w:tcW w:w="725" w:type="pct"/>
            <w:tcBorders>
              <w:top w:val="nil"/>
              <w:left w:val="nil"/>
              <w:bottom w:val="nil"/>
              <w:right w:val="nil"/>
            </w:tcBorders>
            <w:tcMar>
              <w:top w:w="0" w:type="dxa"/>
              <w:left w:w="108" w:type="dxa"/>
              <w:bottom w:w="0" w:type="dxa"/>
              <w:right w:w="108" w:type="dxa"/>
            </w:tcMar>
          </w:tcPr>
          <w:p w14:paraId="04AD031C" w14:textId="77777777" w:rsidR="00D5033A" w:rsidRPr="0051594F" w:rsidRDefault="00D5033A" w:rsidP="00911011">
            <w:pPr>
              <w:spacing w:after="0"/>
              <w:ind w:left="264"/>
            </w:pPr>
            <w:r w:rsidRPr="13E50763">
              <w:rPr>
                <w:color w:val="000000" w:themeColor="text1"/>
                <w:sz w:val="18"/>
                <w:szCs w:val="18"/>
              </w:rPr>
              <w:t>CT6316</w:t>
            </w:r>
          </w:p>
        </w:tc>
        <w:tc>
          <w:tcPr>
            <w:tcW w:w="724" w:type="pct"/>
            <w:tcBorders>
              <w:top w:val="nil"/>
              <w:left w:val="nil"/>
              <w:bottom w:val="nil"/>
              <w:right w:val="nil"/>
            </w:tcBorders>
            <w:tcMar>
              <w:top w:w="0" w:type="dxa"/>
              <w:left w:w="108" w:type="dxa"/>
              <w:bottom w:w="0" w:type="dxa"/>
              <w:right w:w="108" w:type="dxa"/>
            </w:tcMar>
          </w:tcPr>
          <w:p w14:paraId="7C5D0E67" w14:textId="77777777" w:rsidR="00D5033A" w:rsidRPr="0051594F" w:rsidRDefault="00D5033A" w:rsidP="00911011">
            <w:pPr>
              <w:spacing w:after="0"/>
              <w:ind w:left="431"/>
            </w:pPr>
            <w:r w:rsidRPr="13E50763">
              <w:rPr>
                <w:color w:val="000000" w:themeColor="text1"/>
                <w:sz w:val="18"/>
                <w:szCs w:val="18"/>
              </w:rPr>
              <w:t>700</w:t>
            </w:r>
          </w:p>
        </w:tc>
        <w:tc>
          <w:tcPr>
            <w:tcW w:w="975" w:type="pct"/>
            <w:tcBorders>
              <w:top w:val="nil"/>
              <w:left w:val="nil"/>
              <w:bottom w:val="nil"/>
              <w:right w:val="nil"/>
            </w:tcBorders>
            <w:tcMar>
              <w:top w:w="0" w:type="dxa"/>
              <w:left w:w="108" w:type="dxa"/>
              <w:bottom w:w="0" w:type="dxa"/>
              <w:right w:w="108" w:type="dxa"/>
            </w:tcMar>
            <w:vAlign w:val="bottom"/>
          </w:tcPr>
          <w:p w14:paraId="18FE7F54" w14:textId="77777777" w:rsidR="00D5033A" w:rsidRPr="0051594F" w:rsidRDefault="00D5033A" w:rsidP="00911011">
            <w:pPr>
              <w:spacing w:after="0"/>
              <w:ind w:left="493"/>
            </w:pPr>
            <w:r w:rsidRPr="13E50763">
              <w:rPr>
                <w:color w:val="000000" w:themeColor="text1"/>
                <w:sz w:val="18"/>
                <w:szCs w:val="18"/>
              </w:rPr>
              <w:t>D136612</w:t>
            </w:r>
          </w:p>
        </w:tc>
        <w:tc>
          <w:tcPr>
            <w:tcW w:w="807" w:type="pct"/>
            <w:tcBorders>
              <w:top w:val="nil"/>
              <w:left w:val="nil"/>
              <w:bottom w:val="nil"/>
              <w:right w:val="nil"/>
            </w:tcBorders>
            <w:tcMar>
              <w:top w:w="0" w:type="dxa"/>
              <w:left w:w="108" w:type="dxa"/>
              <w:bottom w:w="0" w:type="dxa"/>
              <w:right w:w="108" w:type="dxa"/>
            </w:tcMar>
            <w:vAlign w:val="bottom"/>
          </w:tcPr>
          <w:p w14:paraId="7667815E" w14:textId="77777777" w:rsidR="00D5033A" w:rsidRPr="0051594F" w:rsidRDefault="00D5033A" w:rsidP="00911011">
            <w:pPr>
              <w:spacing w:after="0"/>
              <w:ind w:left="407"/>
            </w:pPr>
            <w:r w:rsidRPr="737857F4">
              <w:rPr>
                <w:color w:val="000000" w:themeColor="text1"/>
                <w:sz w:val="18"/>
                <w:szCs w:val="18"/>
              </w:rPr>
              <w:t>A473</w:t>
            </w:r>
          </w:p>
        </w:tc>
      </w:tr>
      <w:tr w:rsidR="00D5033A" w:rsidRPr="0051594F" w14:paraId="00239883" w14:textId="77777777" w:rsidTr="00911011">
        <w:trPr>
          <w:jc w:val="center"/>
        </w:trPr>
        <w:tc>
          <w:tcPr>
            <w:tcW w:w="1769" w:type="pct"/>
            <w:tcBorders>
              <w:top w:val="nil"/>
              <w:left w:val="nil"/>
              <w:bottom w:val="nil"/>
              <w:right w:val="nil"/>
            </w:tcBorders>
            <w:tcMar>
              <w:top w:w="0" w:type="dxa"/>
              <w:left w:w="108" w:type="dxa"/>
              <w:bottom w:w="0" w:type="dxa"/>
              <w:right w:w="108" w:type="dxa"/>
            </w:tcMar>
          </w:tcPr>
          <w:p w14:paraId="1AD328B7"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rFonts w:eastAsia="Calibri"/>
              </w:rPr>
            </w:pPr>
            <w:r w:rsidRPr="014F9C6A">
              <w:rPr>
                <w:color w:val="000000" w:themeColor="text1"/>
                <w:sz w:val="18"/>
                <w:szCs w:val="18"/>
              </w:rPr>
              <w:t>Lot 474, Karra Ave, Seaton</w:t>
            </w:r>
          </w:p>
        </w:tc>
        <w:tc>
          <w:tcPr>
            <w:tcW w:w="725" w:type="pct"/>
            <w:tcBorders>
              <w:top w:val="nil"/>
              <w:left w:val="nil"/>
              <w:bottom w:val="nil"/>
              <w:right w:val="nil"/>
            </w:tcBorders>
            <w:tcMar>
              <w:top w:w="0" w:type="dxa"/>
              <w:left w:w="108" w:type="dxa"/>
              <w:bottom w:w="0" w:type="dxa"/>
              <w:right w:w="108" w:type="dxa"/>
            </w:tcMar>
          </w:tcPr>
          <w:p w14:paraId="31CDC388"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64"/>
              <w:rPr>
                <w:rFonts w:eastAsia="Calibri"/>
              </w:rPr>
            </w:pPr>
            <w:r w:rsidRPr="13E50763">
              <w:rPr>
                <w:color w:val="000000" w:themeColor="text1"/>
                <w:sz w:val="18"/>
                <w:szCs w:val="18"/>
              </w:rPr>
              <w:t>CT6316</w:t>
            </w:r>
          </w:p>
        </w:tc>
        <w:tc>
          <w:tcPr>
            <w:tcW w:w="724" w:type="pct"/>
            <w:tcBorders>
              <w:top w:val="nil"/>
              <w:left w:val="nil"/>
              <w:bottom w:val="nil"/>
              <w:right w:val="nil"/>
            </w:tcBorders>
            <w:tcMar>
              <w:top w:w="0" w:type="dxa"/>
              <w:left w:w="108" w:type="dxa"/>
              <w:bottom w:w="0" w:type="dxa"/>
              <w:right w:w="108" w:type="dxa"/>
            </w:tcMar>
          </w:tcPr>
          <w:p w14:paraId="3DD30416"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31"/>
              <w:rPr>
                <w:rFonts w:eastAsia="Calibri"/>
              </w:rPr>
            </w:pPr>
            <w:r w:rsidRPr="13E50763">
              <w:rPr>
                <w:color w:val="000000" w:themeColor="text1"/>
                <w:sz w:val="18"/>
                <w:szCs w:val="18"/>
              </w:rPr>
              <w:t>701</w:t>
            </w:r>
          </w:p>
        </w:tc>
        <w:tc>
          <w:tcPr>
            <w:tcW w:w="975" w:type="pct"/>
            <w:tcBorders>
              <w:top w:val="nil"/>
              <w:left w:val="nil"/>
              <w:bottom w:val="nil"/>
              <w:right w:val="nil"/>
            </w:tcBorders>
            <w:tcMar>
              <w:top w:w="0" w:type="dxa"/>
              <w:left w:w="108" w:type="dxa"/>
              <w:bottom w:w="0" w:type="dxa"/>
              <w:right w:w="108" w:type="dxa"/>
            </w:tcMar>
            <w:vAlign w:val="bottom"/>
          </w:tcPr>
          <w:p w14:paraId="63508500"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93"/>
              <w:rPr>
                <w:rFonts w:eastAsia="Calibri"/>
              </w:rPr>
            </w:pPr>
            <w:r w:rsidRPr="13E50763">
              <w:rPr>
                <w:color w:val="000000" w:themeColor="text1"/>
                <w:sz w:val="18"/>
                <w:szCs w:val="18"/>
              </w:rPr>
              <w:t>D136612</w:t>
            </w:r>
          </w:p>
        </w:tc>
        <w:tc>
          <w:tcPr>
            <w:tcW w:w="807" w:type="pct"/>
            <w:tcBorders>
              <w:top w:val="nil"/>
              <w:left w:val="nil"/>
              <w:bottom w:val="nil"/>
              <w:right w:val="nil"/>
            </w:tcBorders>
            <w:tcMar>
              <w:top w:w="0" w:type="dxa"/>
              <w:left w:w="108" w:type="dxa"/>
              <w:bottom w:w="0" w:type="dxa"/>
              <w:right w:w="108" w:type="dxa"/>
            </w:tcMar>
            <w:vAlign w:val="bottom"/>
          </w:tcPr>
          <w:p w14:paraId="230B3601"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07"/>
              <w:rPr>
                <w:rFonts w:eastAsia="Calibri"/>
              </w:rPr>
            </w:pPr>
            <w:r w:rsidRPr="737857F4">
              <w:rPr>
                <w:color w:val="000000" w:themeColor="text1"/>
                <w:sz w:val="18"/>
                <w:szCs w:val="18"/>
              </w:rPr>
              <w:t>A474</w:t>
            </w:r>
          </w:p>
        </w:tc>
      </w:tr>
      <w:tr w:rsidR="00D5033A" w:rsidRPr="0051594F" w14:paraId="333B26B8" w14:textId="77777777" w:rsidTr="00911011">
        <w:trPr>
          <w:jc w:val="center"/>
        </w:trPr>
        <w:tc>
          <w:tcPr>
            <w:tcW w:w="1769" w:type="pct"/>
            <w:tcBorders>
              <w:top w:val="nil"/>
              <w:left w:val="nil"/>
              <w:bottom w:val="single" w:sz="4" w:space="0" w:color="auto"/>
              <w:right w:val="nil"/>
            </w:tcBorders>
            <w:tcMar>
              <w:top w:w="0" w:type="dxa"/>
              <w:left w:w="108" w:type="dxa"/>
              <w:bottom w:w="0" w:type="dxa"/>
              <w:right w:w="108" w:type="dxa"/>
            </w:tcMar>
          </w:tcPr>
          <w:p w14:paraId="709E8C63"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rPr>
                <w:rFonts w:eastAsia="Calibri"/>
              </w:rPr>
            </w:pPr>
            <w:r w:rsidRPr="13E50763">
              <w:rPr>
                <w:color w:val="000000" w:themeColor="text1"/>
                <w:sz w:val="18"/>
                <w:szCs w:val="18"/>
              </w:rPr>
              <w:t xml:space="preserve">Lot 1001, </w:t>
            </w:r>
            <w:r>
              <w:rPr>
                <w:color w:val="000000" w:themeColor="text1"/>
                <w:sz w:val="18"/>
                <w:szCs w:val="18"/>
              </w:rPr>
              <w:t>Matthews Ave</w:t>
            </w:r>
            <w:r w:rsidRPr="13E50763">
              <w:rPr>
                <w:color w:val="000000" w:themeColor="text1"/>
                <w:sz w:val="18"/>
                <w:szCs w:val="18"/>
              </w:rPr>
              <w:t>, Seaton</w:t>
            </w:r>
          </w:p>
        </w:tc>
        <w:tc>
          <w:tcPr>
            <w:tcW w:w="725" w:type="pct"/>
            <w:tcBorders>
              <w:top w:val="nil"/>
              <w:left w:val="nil"/>
              <w:bottom w:val="single" w:sz="4" w:space="0" w:color="auto"/>
              <w:right w:val="nil"/>
            </w:tcBorders>
            <w:tcMar>
              <w:top w:w="0" w:type="dxa"/>
              <w:left w:w="108" w:type="dxa"/>
              <w:bottom w:w="0" w:type="dxa"/>
              <w:right w:w="108" w:type="dxa"/>
            </w:tcMar>
          </w:tcPr>
          <w:p w14:paraId="0D7CB804"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264"/>
              <w:rPr>
                <w:rFonts w:eastAsia="Calibri"/>
              </w:rPr>
            </w:pPr>
            <w:r w:rsidRPr="13E50763">
              <w:rPr>
                <w:color w:val="000000" w:themeColor="text1"/>
                <w:sz w:val="18"/>
                <w:szCs w:val="18"/>
              </w:rPr>
              <w:t>CT6316</w:t>
            </w:r>
          </w:p>
        </w:tc>
        <w:tc>
          <w:tcPr>
            <w:tcW w:w="724" w:type="pct"/>
            <w:tcBorders>
              <w:top w:val="nil"/>
              <w:left w:val="nil"/>
              <w:bottom w:val="single" w:sz="4" w:space="0" w:color="auto"/>
              <w:right w:val="nil"/>
            </w:tcBorders>
            <w:tcMar>
              <w:top w:w="0" w:type="dxa"/>
              <w:left w:w="108" w:type="dxa"/>
              <w:bottom w:w="0" w:type="dxa"/>
              <w:right w:w="108" w:type="dxa"/>
            </w:tcMar>
          </w:tcPr>
          <w:p w14:paraId="04AC31AC"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31"/>
              <w:rPr>
                <w:rFonts w:eastAsia="Calibri"/>
              </w:rPr>
            </w:pPr>
            <w:r w:rsidRPr="13E50763">
              <w:rPr>
                <w:color w:val="000000" w:themeColor="text1"/>
                <w:sz w:val="18"/>
                <w:szCs w:val="18"/>
              </w:rPr>
              <w:t>702</w:t>
            </w:r>
          </w:p>
        </w:tc>
        <w:tc>
          <w:tcPr>
            <w:tcW w:w="975" w:type="pct"/>
            <w:tcBorders>
              <w:top w:val="nil"/>
              <w:left w:val="nil"/>
              <w:bottom w:val="single" w:sz="4" w:space="0" w:color="auto"/>
              <w:right w:val="nil"/>
            </w:tcBorders>
            <w:tcMar>
              <w:top w:w="0" w:type="dxa"/>
              <w:left w:w="108" w:type="dxa"/>
              <w:bottom w:w="0" w:type="dxa"/>
              <w:right w:w="108" w:type="dxa"/>
            </w:tcMar>
            <w:vAlign w:val="bottom"/>
          </w:tcPr>
          <w:p w14:paraId="5CFA3A25"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93"/>
              <w:rPr>
                <w:rFonts w:eastAsia="Calibri"/>
              </w:rPr>
            </w:pPr>
            <w:r w:rsidRPr="13E50763">
              <w:rPr>
                <w:color w:val="000000" w:themeColor="text1"/>
                <w:sz w:val="18"/>
                <w:szCs w:val="18"/>
              </w:rPr>
              <w:t>D136612</w:t>
            </w:r>
          </w:p>
        </w:tc>
        <w:tc>
          <w:tcPr>
            <w:tcW w:w="807" w:type="pct"/>
            <w:tcBorders>
              <w:top w:val="nil"/>
              <w:left w:val="nil"/>
              <w:bottom w:val="single" w:sz="4" w:space="0" w:color="auto"/>
              <w:right w:val="nil"/>
            </w:tcBorders>
            <w:tcMar>
              <w:top w:w="0" w:type="dxa"/>
              <w:left w:w="108" w:type="dxa"/>
              <w:bottom w:w="0" w:type="dxa"/>
              <w:right w:w="108" w:type="dxa"/>
            </w:tcMar>
            <w:vAlign w:val="bottom"/>
          </w:tcPr>
          <w:p w14:paraId="06959328" w14:textId="77777777" w:rsidR="00D5033A" w:rsidRPr="0051594F" w:rsidRDefault="00D5033A" w:rsidP="009110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07"/>
              <w:rPr>
                <w:rFonts w:eastAsia="Calibri"/>
              </w:rPr>
            </w:pPr>
            <w:r w:rsidRPr="737857F4">
              <w:rPr>
                <w:color w:val="000000" w:themeColor="text1"/>
                <w:sz w:val="18"/>
                <w:szCs w:val="18"/>
              </w:rPr>
              <w:t>A1001</w:t>
            </w:r>
          </w:p>
        </w:tc>
      </w:tr>
    </w:tbl>
    <w:p w14:paraId="7F493BBA" w14:textId="77777777" w:rsidR="00D5033A" w:rsidRPr="0051594F" w:rsidRDefault="00D5033A" w:rsidP="00D5033A">
      <w:pPr>
        <w:spacing w:before="80" w:after="0"/>
        <w:rPr>
          <w:rFonts w:eastAsia="Times New Roman"/>
          <w:szCs w:val="17"/>
        </w:rPr>
      </w:pPr>
      <w:r w:rsidRPr="0051594F">
        <w:rPr>
          <w:rFonts w:eastAsia="Times New Roman"/>
          <w:szCs w:val="17"/>
        </w:rPr>
        <w:t xml:space="preserve">Dated: </w:t>
      </w:r>
      <w:r>
        <w:rPr>
          <w:rFonts w:eastAsia="Times New Roman"/>
          <w:szCs w:val="17"/>
        </w:rPr>
        <w:t>5</w:t>
      </w:r>
      <w:r w:rsidRPr="0051594F">
        <w:rPr>
          <w:rFonts w:eastAsia="Times New Roman"/>
          <w:szCs w:val="17"/>
        </w:rPr>
        <w:t xml:space="preserve"> </w:t>
      </w:r>
      <w:r>
        <w:rPr>
          <w:rFonts w:eastAsia="Times New Roman"/>
          <w:szCs w:val="17"/>
        </w:rPr>
        <w:t>August</w:t>
      </w:r>
      <w:r w:rsidRPr="0051594F">
        <w:rPr>
          <w:rFonts w:eastAsia="Times New Roman"/>
          <w:szCs w:val="17"/>
        </w:rPr>
        <w:t xml:space="preserve"> 2025</w:t>
      </w:r>
    </w:p>
    <w:p w14:paraId="37855B70" w14:textId="77777777" w:rsidR="00D5033A" w:rsidRPr="0051594F" w:rsidRDefault="00D5033A" w:rsidP="00D5033A">
      <w:pPr>
        <w:spacing w:after="0"/>
        <w:jc w:val="right"/>
        <w:rPr>
          <w:rFonts w:eastAsia="Times New Roman"/>
          <w:smallCaps/>
          <w:szCs w:val="20"/>
        </w:rPr>
      </w:pPr>
      <w:r w:rsidRPr="0051594F">
        <w:rPr>
          <w:rFonts w:eastAsia="Times New Roman"/>
          <w:smallCaps/>
          <w:szCs w:val="20"/>
        </w:rPr>
        <w:t>Hon Nick Champion MP</w:t>
      </w:r>
    </w:p>
    <w:p w14:paraId="12119DC0" w14:textId="77777777" w:rsidR="00D5033A" w:rsidRDefault="00D5033A" w:rsidP="00D5033A">
      <w:pPr>
        <w:spacing w:after="0"/>
        <w:jc w:val="right"/>
        <w:rPr>
          <w:rFonts w:eastAsia="Times New Roman"/>
          <w:szCs w:val="17"/>
        </w:rPr>
      </w:pPr>
      <w:r w:rsidRPr="0051594F">
        <w:rPr>
          <w:rFonts w:eastAsia="Times New Roman"/>
          <w:szCs w:val="17"/>
        </w:rPr>
        <w:t>Minister for Housing and Urban Development</w:t>
      </w:r>
    </w:p>
    <w:p w14:paraId="2ACEA4F8" w14:textId="77777777" w:rsidR="00D5033A" w:rsidRDefault="00D5033A" w:rsidP="00D5033A">
      <w:pPr>
        <w:pBdr>
          <w:bottom w:val="single" w:sz="4" w:space="1" w:color="auto"/>
        </w:pBdr>
        <w:spacing w:after="0" w:line="52" w:lineRule="exact"/>
        <w:jc w:val="center"/>
        <w:rPr>
          <w:rFonts w:eastAsia="Times New Roman"/>
          <w:szCs w:val="17"/>
        </w:rPr>
      </w:pPr>
    </w:p>
    <w:p w14:paraId="6E23B462" w14:textId="77777777" w:rsidR="00D5033A" w:rsidRDefault="00D5033A" w:rsidP="00D5033A">
      <w:pPr>
        <w:pBdr>
          <w:top w:val="single" w:sz="4" w:space="1" w:color="auto"/>
        </w:pBdr>
        <w:spacing w:before="34" w:after="0" w:line="14" w:lineRule="exact"/>
        <w:jc w:val="center"/>
        <w:rPr>
          <w:rFonts w:eastAsia="Times New Roman"/>
          <w:szCs w:val="17"/>
        </w:rPr>
      </w:pPr>
    </w:p>
    <w:p w14:paraId="6E481F44" w14:textId="77777777" w:rsidR="00421F5C" w:rsidRDefault="00421F5C">
      <w:pPr>
        <w:spacing w:after="0" w:line="240" w:lineRule="auto"/>
        <w:jc w:val="left"/>
        <w:rPr>
          <w:rFonts w:eastAsia="Times New Roman"/>
          <w:szCs w:val="17"/>
          <w:lang w:val="en-US"/>
        </w:rPr>
      </w:pPr>
      <w:r>
        <w:rPr>
          <w:lang w:val="en-US"/>
        </w:rPr>
        <w:br w:type="page"/>
      </w:r>
    </w:p>
    <w:p w14:paraId="5FE4722E" w14:textId="77777777" w:rsidR="009D1E2E" w:rsidRPr="009D1E2E" w:rsidRDefault="009D1E2E" w:rsidP="0043001F">
      <w:pPr>
        <w:pStyle w:val="Heading1"/>
      </w:pPr>
      <w:bookmarkStart w:id="519" w:name="_Toc33707983"/>
      <w:bookmarkStart w:id="520" w:name="_Toc33708154"/>
      <w:bookmarkStart w:id="521" w:name="_Toc206061776"/>
      <w:r>
        <w:lastRenderedPageBreak/>
        <w:t>Local</w:t>
      </w:r>
      <w:r w:rsidRPr="009D1E2E">
        <w:t xml:space="preserve"> Government Instruments</w:t>
      </w:r>
      <w:bookmarkEnd w:id="519"/>
      <w:bookmarkEnd w:id="520"/>
      <w:bookmarkEnd w:id="521"/>
    </w:p>
    <w:p w14:paraId="6D1E5647" w14:textId="608D3BA0" w:rsidR="00D67069" w:rsidRDefault="00DA4D46" w:rsidP="00E34B09">
      <w:pPr>
        <w:pStyle w:val="Heading2"/>
      </w:pPr>
      <w:bookmarkStart w:id="522" w:name="_Toc206061777"/>
      <w:r>
        <w:t>City of Burnside</w:t>
      </w:r>
      <w:bookmarkEnd w:id="522"/>
    </w:p>
    <w:p w14:paraId="3FE0E66B" w14:textId="77777777" w:rsidR="00D67069" w:rsidRDefault="00D67069" w:rsidP="00D67069">
      <w:pPr>
        <w:pStyle w:val="GG-Title2"/>
      </w:pPr>
      <w:r>
        <w:t>Roads (Opening and Closing) Act 1991</w:t>
      </w:r>
    </w:p>
    <w:p w14:paraId="31F45DD4" w14:textId="77777777" w:rsidR="00D67069" w:rsidRDefault="00D67069" w:rsidP="00D67069">
      <w:pPr>
        <w:pStyle w:val="GG-Title3"/>
      </w:pPr>
      <w:r>
        <w:t>Proposed Road Closing—Road Closure—Main Avenue Frewville / Interface with Glen Osmond Road</w:t>
      </w:r>
    </w:p>
    <w:p w14:paraId="06C06862" w14:textId="77777777" w:rsidR="00D67069" w:rsidRPr="00F55A0D" w:rsidRDefault="00D67069" w:rsidP="00D67069">
      <w:pPr>
        <w:pStyle w:val="GG-body"/>
        <w:rPr>
          <w:spacing w:val="-2"/>
        </w:rPr>
      </w:pPr>
      <w:r w:rsidRPr="00F55A0D">
        <w:rPr>
          <w:spacing w:val="-2"/>
        </w:rPr>
        <w:t xml:space="preserve">Notice is hereby given, pursuant to Section 10 of the </w:t>
      </w:r>
      <w:r w:rsidRPr="00F55A0D">
        <w:rPr>
          <w:i/>
          <w:iCs/>
          <w:spacing w:val="-2"/>
        </w:rPr>
        <w:t>Roads (Opening and Closing) ACT</w:t>
      </w:r>
      <w:r w:rsidRPr="00F55A0D">
        <w:rPr>
          <w:spacing w:val="-2"/>
        </w:rPr>
        <w:t xml:space="preserve"> </w:t>
      </w:r>
      <w:r w:rsidRPr="003B19C3">
        <w:rPr>
          <w:i/>
          <w:iCs/>
          <w:spacing w:val="-2"/>
        </w:rPr>
        <w:t>1991</w:t>
      </w:r>
      <w:r w:rsidRPr="00F55A0D">
        <w:rPr>
          <w:spacing w:val="-2"/>
        </w:rPr>
        <w:t>, that the City of Burnside hereby gives notice of its intent to implement a Road Process Order to:</w:t>
      </w:r>
    </w:p>
    <w:p w14:paraId="1E712D54" w14:textId="77777777" w:rsidR="00D67069" w:rsidRDefault="00D67069" w:rsidP="00D67069">
      <w:pPr>
        <w:pStyle w:val="GG-body"/>
        <w:ind w:left="426" w:hanging="284"/>
      </w:pPr>
      <w:r>
        <w:t>(i)</w:t>
      </w:r>
      <w:r>
        <w:tab/>
        <w:t>Close portion of Main Avenue, Frewville shown delineated as “A” on preliminary plan PP24/0027 is to be retained by Council.</w:t>
      </w:r>
    </w:p>
    <w:p w14:paraId="76E4AC0E" w14:textId="77777777" w:rsidR="00D67069" w:rsidRDefault="00D67069" w:rsidP="00D67069">
      <w:pPr>
        <w:pStyle w:val="GG-body"/>
      </w:pPr>
      <w:r>
        <w:t xml:space="preserve">The Preliminary Plan can also be viewed at </w:t>
      </w:r>
      <w:hyperlink r:id="rId293" w:history="1">
        <w:r w:rsidRPr="009C0821">
          <w:rPr>
            <w:rStyle w:val="Hyperlink"/>
          </w:rPr>
          <w:t>www.sa.gov.au/roadsactproposals</w:t>
        </w:r>
      </w:hyperlink>
    </w:p>
    <w:p w14:paraId="3DA98C4C" w14:textId="77777777" w:rsidR="00D67069" w:rsidRDefault="00D67069" w:rsidP="00D67069">
      <w:pPr>
        <w:pStyle w:val="GG-body"/>
      </w:pPr>
      <w:r>
        <w:t>Any application for easement or objection must set out the full name, address, and details of the submission and must be fully supported by reasons. The application for easement or objection must be made in writing to the Council at PO Box 9, Glenside, SA, 5065 within 28 days of this notice and a copy must also be forwarded to the Surveyor-General at GPO Box 1815, Adelaide SA 500.</w:t>
      </w:r>
    </w:p>
    <w:p w14:paraId="2C781926" w14:textId="7B7143D9" w:rsidR="00D67069" w:rsidRDefault="00D67069" w:rsidP="00D67069">
      <w:pPr>
        <w:pStyle w:val="GG-body"/>
        <w:pBdr>
          <w:top w:val="single" w:sz="4" w:space="1" w:color="auto"/>
        </w:pBdr>
        <w:spacing w:before="100" w:line="14" w:lineRule="exact"/>
        <w:ind w:left="1080" w:right="1080"/>
        <w:jc w:val="center"/>
      </w:pPr>
    </w:p>
    <w:p w14:paraId="1669A2F8" w14:textId="4344E1F4" w:rsidR="00D67069" w:rsidRDefault="000A2748" w:rsidP="00D67069">
      <w:pPr>
        <w:pStyle w:val="GG-Title2"/>
      </w:pPr>
      <w:r>
        <w:rPr>
          <w:noProof/>
          <w:lang w:val="en-US"/>
        </w:rPr>
        <w:drawing>
          <wp:anchor distT="0" distB="0" distL="114300" distR="114300" simplePos="0" relativeHeight="251661312" behindDoc="0" locked="0" layoutInCell="1" allowOverlap="1" wp14:anchorId="18CCECD9" wp14:editId="2E1D6472">
            <wp:simplePos x="0" y="0"/>
            <wp:positionH relativeFrom="margin">
              <wp:align>right</wp:align>
            </wp:positionH>
            <wp:positionV relativeFrom="paragraph">
              <wp:posOffset>108585</wp:posOffset>
            </wp:positionV>
            <wp:extent cx="5937250" cy="4108450"/>
            <wp:effectExtent l="0" t="0" r="6350" b="6350"/>
            <wp:wrapTopAndBottom/>
            <wp:docPr id="14955240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2401" name="Picture 1" descr="A close-up of a document&#10;&#10;AI-generated content may be incorrect."/>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l="6014" t="5896" r="5213" b="7256"/>
                    <a:stretch>
                      <a:fillRect/>
                    </a:stretch>
                  </pic:blipFill>
                  <pic:spPr bwMode="auto">
                    <a:xfrm>
                      <a:off x="0" y="0"/>
                      <a:ext cx="5937250" cy="410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069">
        <w:t>Attachment 1</w:t>
      </w:r>
    </w:p>
    <w:p w14:paraId="6D9DC79A" w14:textId="77777777" w:rsidR="00D67069" w:rsidRDefault="00D67069" w:rsidP="00D67069">
      <w:pPr>
        <w:pStyle w:val="GG-SDated"/>
        <w:rPr>
          <w:lang w:val="en-US"/>
        </w:rPr>
      </w:pPr>
      <w:r>
        <w:rPr>
          <w:lang w:val="en-US"/>
        </w:rPr>
        <w:t>Dated: 14 August 20205</w:t>
      </w:r>
    </w:p>
    <w:p w14:paraId="58FF5209" w14:textId="77777777" w:rsidR="00D67069" w:rsidRPr="007C400B" w:rsidRDefault="00D67069" w:rsidP="00D67069">
      <w:pPr>
        <w:pStyle w:val="GG-SName"/>
        <w:rPr>
          <w:lang w:val="en-US"/>
        </w:rPr>
      </w:pPr>
      <w:r>
        <w:rPr>
          <w:lang w:val="en-US"/>
        </w:rPr>
        <w:t>Julia Grant</w:t>
      </w:r>
    </w:p>
    <w:p w14:paraId="55FAFD1C" w14:textId="77777777" w:rsidR="00D67069" w:rsidRDefault="00D67069" w:rsidP="00D67069">
      <w:pPr>
        <w:pStyle w:val="GG-Signature"/>
        <w:rPr>
          <w:lang w:val="en-US"/>
        </w:rPr>
      </w:pPr>
      <w:r w:rsidRPr="007C400B">
        <w:rPr>
          <w:lang w:val="en-US"/>
        </w:rPr>
        <w:t>Chief Executive Officer</w:t>
      </w:r>
    </w:p>
    <w:p w14:paraId="69B83F96" w14:textId="77777777" w:rsidR="00D67069" w:rsidRDefault="00D67069" w:rsidP="00D67069">
      <w:pPr>
        <w:pStyle w:val="GG-Signature"/>
        <w:pBdr>
          <w:bottom w:val="single" w:sz="4" w:space="1" w:color="auto"/>
        </w:pBdr>
        <w:spacing w:line="52" w:lineRule="exact"/>
        <w:jc w:val="center"/>
        <w:rPr>
          <w:lang w:val="en-US"/>
        </w:rPr>
      </w:pPr>
    </w:p>
    <w:p w14:paraId="42DD9826" w14:textId="77777777" w:rsidR="00D67069" w:rsidRDefault="00D67069" w:rsidP="00D67069">
      <w:pPr>
        <w:pStyle w:val="GG-Signature"/>
        <w:pBdr>
          <w:top w:val="single" w:sz="4" w:space="1" w:color="auto"/>
        </w:pBdr>
        <w:spacing w:before="34" w:line="14" w:lineRule="exact"/>
        <w:jc w:val="center"/>
        <w:rPr>
          <w:lang w:val="en-US"/>
        </w:rPr>
      </w:pPr>
    </w:p>
    <w:p w14:paraId="327365B8" w14:textId="02EE1D58" w:rsidR="003274D3" w:rsidRDefault="003274D3">
      <w:pPr>
        <w:spacing w:after="0" w:line="240" w:lineRule="auto"/>
        <w:jc w:val="left"/>
        <w:rPr>
          <w:rFonts w:eastAsia="Times New Roman"/>
          <w:szCs w:val="17"/>
          <w:lang w:val="en-US"/>
        </w:rPr>
      </w:pPr>
      <w:r>
        <w:rPr>
          <w:lang w:val="en-US"/>
        </w:rPr>
        <w:br w:type="page"/>
      </w:r>
    </w:p>
    <w:p w14:paraId="1E2B5984" w14:textId="15B5444A" w:rsidR="00D67069" w:rsidRPr="00D67069" w:rsidRDefault="00227537" w:rsidP="00E34B09">
      <w:pPr>
        <w:pStyle w:val="Heading2"/>
      </w:pPr>
      <w:bookmarkStart w:id="523" w:name="_Toc206061778"/>
      <w:r w:rsidRPr="00D67069">
        <w:lastRenderedPageBreak/>
        <w:t xml:space="preserve">City </w:t>
      </w:r>
      <w:r>
        <w:t>o</w:t>
      </w:r>
      <w:r w:rsidRPr="00D67069">
        <w:t>f Norwood Payneham &amp; St Peters</w:t>
      </w:r>
      <w:bookmarkEnd w:id="523"/>
    </w:p>
    <w:p w14:paraId="0015EAE2" w14:textId="77777777" w:rsidR="00D67069" w:rsidRPr="00D67069" w:rsidRDefault="00D67069" w:rsidP="00D67069">
      <w:pPr>
        <w:jc w:val="center"/>
        <w:rPr>
          <w:smallCaps/>
          <w:szCs w:val="17"/>
        </w:rPr>
      </w:pPr>
      <w:r w:rsidRPr="00D67069">
        <w:rPr>
          <w:smallCaps/>
          <w:szCs w:val="17"/>
        </w:rPr>
        <w:t>Local Government (Elections) Act 1999</w:t>
      </w:r>
    </w:p>
    <w:p w14:paraId="63E08FFB" w14:textId="77777777" w:rsidR="00D67069" w:rsidRPr="00D67069" w:rsidRDefault="00D67069" w:rsidP="00D67069">
      <w:pPr>
        <w:jc w:val="center"/>
        <w:rPr>
          <w:i/>
          <w:szCs w:val="17"/>
        </w:rPr>
      </w:pPr>
      <w:r w:rsidRPr="00D67069">
        <w:rPr>
          <w:i/>
          <w:szCs w:val="17"/>
        </w:rPr>
        <w:t>Supplementary Election—Nominations Received</w:t>
      </w:r>
    </w:p>
    <w:p w14:paraId="39006CA6" w14:textId="77777777" w:rsidR="00D67069" w:rsidRPr="00D67069" w:rsidRDefault="00D67069" w:rsidP="00D67069">
      <w:pPr>
        <w:rPr>
          <w:rFonts w:eastAsia="Times New Roman"/>
          <w:szCs w:val="17"/>
        </w:rPr>
      </w:pPr>
      <w:r w:rsidRPr="00D67069">
        <w:rPr>
          <w:rFonts w:eastAsia="Times New Roman"/>
          <w:szCs w:val="17"/>
        </w:rPr>
        <w:t>At the close of nominations at 12 noon on Thursday, 7 August 2025, the following people have been accepted as candidates and are listed below in the order in which they will appear on the ballot paper.</w:t>
      </w:r>
    </w:p>
    <w:p w14:paraId="6054E2F6" w14:textId="77777777" w:rsidR="00D67069" w:rsidRPr="00D67069" w:rsidRDefault="00D67069" w:rsidP="00D67069">
      <w:pPr>
        <w:ind w:left="142"/>
        <w:rPr>
          <w:rFonts w:eastAsia="Times New Roman"/>
          <w:b/>
          <w:bCs/>
          <w:szCs w:val="17"/>
        </w:rPr>
      </w:pPr>
      <w:r w:rsidRPr="00D67069">
        <w:rPr>
          <w:rFonts w:eastAsia="Times New Roman"/>
          <w:b/>
          <w:bCs/>
          <w:szCs w:val="17"/>
        </w:rPr>
        <w:t>St Peters Ward—1 Vacancy</w:t>
      </w:r>
    </w:p>
    <w:p w14:paraId="3393DC39" w14:textId="77777777" w:rsidR="00D67069" w:rsidRPr="00D67069" w:rsidRDefault="00D67069" w:rsidP="00D67069">
      <w:pPr>
        <w:spacing w:after="20"/>
        <w:ind w:left="284"/>
        <w:rPr>
          <w:rFonts w:eastAsia="Times New Roman"/>
          <w:szCs w:val="17"/>
        </w:rPr>
      </w:pPr>
      <w:r w:rsidRPr="00D67069">
        <w:rPr>
          <w:rFonts w:eastAsia="Times New Roman"/>
          <w:szCs w:val="17"/>
        </w:rPr>
        <w:t xml:space="preserve">RAKSHIT, Rima </w:t>
      </w:r>
    </w:p>
    <w:p w14:paraId="4A743CEA" w14:textId="77777777" w:rsidR="00D67069" w:rsidRPr="00D67069" w:rsidRDefault="00D67069" w:rsidP="00D67069">
      <w:pPr>
        <w:spacing w:after="20"/>
        <w:ind w:left="284"/>
        <w:rPr>
          <w:rFonts w:eastAsia="Times New Roman"/>
          <w:szCs w:val="17"/>
        </w:rPr>
      </w:pPr>
      <w:r w:rsidRPr="00D67069">
        <w:rPr>
          <w:rFonts w:eastAsia="Times New Roman"/>
          <w:szCs w:val="17"/>
        </w:rPr>
        <w:t xml:space="preserve">CAVENEY, Ben </w:t>
      </w:r>
    </w:p>
    <w:p w14:paraId="6851BE6A" w14:textId="77777777" w:rsidR="00D67069" w:rsidRPr="00D67069" w:rsidRDefault="00D67069" w:rsidP="00D67069">
      <w:pPr>
        <w:spacing w:after="20"/>
        <w:ind w:left="284"/>
        <w:rPr>
          <w:rFonts w:eastAsia="Times New Roman"/>
          <w:szCs w:val="17"/>
        </w:rPr>
      </w:pPr>
      <w:r w:rsidRPr="00D67069">
        <w:rPr>
          <w:rFonts w:eastAsia="Times New Roman"/>
          <w:szCs w:val="17"/>
        </w:rPr>
        <w:t xml:space="preserve">YOUNG, Zane </w:t>
      </w:r>
    </w:p>
    <w:p w14:paraId="2302C772" w14:textId="77777777" w:rsidR="00D67069" w:rsidRPr="00D67069" w:rsidRDefault="00D67069" w:rsidP="00D67069">
      <w:pPr>
        <w:spacing w:after="20"/>
        <w:ind w:left="284"/>
        <w:rPr>
          <w:rFonts w:eastAsia="Times New Roman"/>
          <w:szCs w:val="17"/>
        </w:rPr>
      </w:pPr>
      <w:r w:rsidRPr="00D67069">
        <w:rPr>
          <w:rFonts w:eastAsia="Times New Roman"/>
          <w:szCs w:val="17"/>
        </w:rPr>
        <w:t xml:space="preserve">EXCELL, Rita </w:t>
      </w:r>
    </w:p>
    <w:p w14:paraId="3CAA1936" w14:textId="203D4A42" w:rsidR="00D67069" w:rsidRPr="00D67069" w:rsidRDefault="00D67069" w:rsidP="00D67069">
      <w:pPr>
        <w:tabs>
          <w:tab w:val="left" w:pos="5742"/>
        </w:tabs>
        <w:spacing w:after="20"/>
        <w:ind w:left="284"/>
        <w:rPr>
          <w:rFonts w:eastAsia="Times New Roman"/>
          <w:szCs w:val="17"/>
        </w:rPr>
      </w:pPr>
      <w:r w:rsidRPr="00D67069">
        <w:rPr>
          <w:rFonts w:eastAsia="Times New Roman"/>
          <w:szCs w:val="17"/>
        </w:rPr>
        <w:t xml:space="preserve">GOODE, Matthew </w:t>
      </w:r>
    </w:p>
    <w:p w14:paraId="6495FA51" w14:textId="77777777" w:rsidR="00D67069" w:rsidRPr="00D67069" w:rsidRDefault="00D67069" w:rsidP="00D67069">
      <w:pPr>
        <w:spacing w:after="20"/>
        <w:ind w:left="284"/>
        <w:rPr>
          <w:rFonts w:eastAsia="Times New Roman"/>
          <w:szCs w:val="17"/>
        </w:rPr>
      </w:pPr>
      <w:r w:rsidRPr="00D67069">
        <w:rPr>
          <w:rFonts w:eastAsia="Times New Roman"/>
          <w:szCs w:val="17"/>
        </w:rPr>
        <w:t xml:space="preserve">CHENOWETH, Spencer </w:t>
      </w:r>
    </w:p>
    <w:p w14:paraId="68B0DD20" w14:textId="77777777" w:rsidR="00D67069" w:rsidRPr="00D67069" w:rsidRDefault="00D67069" w:rsidP="00D67069">
      <w:pPr>
        <w:spacing w:after="20"/>
        <w:ind w:left="284"/>
        <w:rPr>
          <w:rFonts w:eastAsia="Times New Roman"/>
          <w:szCs w:val="17"/>
        </w:rPr>
      </w:pPr>
      <w:r w:rsidRPr="00D67069">
        <w:rPr>
          <w:rFonts w:eastAsia="Times New Roman"/>
          <w:szCs w:val="17"/>
        </w:rPr>
        <w:t xml:space="preserve">GRAHAM, Patrick Litchfield </w:t>
      </w:r>
    </w:p>
    <w:p w14:paraId="5A0EC024" w14:textId="2EB31782" w:rsidR="003274D3" w:rsidRPr="003274D3" w:rsidRDefault="00D67069" w:rsidP="003274D3">
      <w:pPr>
        <w:ind w:left="284"/>
        <w:rPr>
          <w:rFonts w:eastAsia="Times New Roman"/>
          <w:szCs w:val="17"/>
        </w:rPr>
      </w:pPr>
      <w:r w:rsidRPr="00D67069">
        <w:rPr>
          <w:rFonts w:eastAsia="Times New Roman"/>
          <w:szCs w:val="17"/>
        </w:rPr>
        <w:t xml:space="preserve">KUSHNIR, Julienne </w:t>
      </w:r>
    </w:p>
    <w:p w14:paraId="3A4B030A" w14:textId="6B84A083" w:rsidR="00D67069" w:rsidRPr="00D67069" w:rsidRDefault="00D67069" w:rsidP="00D67069">
      <w:pPr>
        <w:ind w:left="142"/>
        <w:rPr>
          <w:rFonts w:eastAsia="Times New Roman"/>
          <w:b/>
          <w:bCs/>
          <w:szCs w:val="17"/>
        </w:rPr>
      </w:pPr>
      <w:r w:rsidRPr="00D67069">
        <w:rPr>
          <w:rFonts w:eastAsia="Times New Roman"/>
          <w:b/>
          <w:bCs/>
          <w:szCs w:val="17"/>
        </w:rPr>
        <w:t>Campaign Disclosure Returns</w:t>
      </w:r>
    </w:p>
    <w:p w14:paraId="6AC05D70" w14:textId="77777777" w:rsidR="00D67069" w:rsidRPr="00D67069" w:rsidRDefault="00D67069" w:rsidP="00D67069">
      <w:pPr>
        <w:ind w:left="284"/>
        <w:rPr>
          <w:rFonts w:eastAsia="Times New Roman"/>
          <w:szCs w:val="17"/>
        </w:rPr>
      </w:pPr>
      <w:r w:rsidRPr="00D67069">
        <w:rPr>
          <w:rFonts w:eastAsia="Times New Roman"/>
          <w:szCs w:val="17"/>
        </w:rPr>
        <w:t>Candidates must lodge the following returns with the Electoral Commissioner:</w:t>
      </w:r>
    </w:p>
    <w:p w14:paraId="70CD847A"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Campaign donation return</w:t>
      </w:r>
    </w:p>
    <w:p w14:paraId="176020A7" w14:textId="77777777" w:rsidR="00D67069" w:rsidRPr="00D67069" w:rsidRDefault="00D67069" w:rsidP="00D67069">
      <w:pPr>
        <w:ind w:left="709" w:hanging="142"/>
        <w:rPr>
          <w:rFonts w:eastAsia="Times New Roman"/>
          <w:szCs w:val="17"/>
        </w:rPr>
      </w:pPr>
      <w:r w:rsidRPr="00D67069">
        <w:rPr>
          <w:rFonts w:eastAsia="Times New Roman"/>
          <w:szCs w:val="17"/>
        </w:rPr>
        <w:t>◦</w:t>
      </w:r>
      <w:r w:rsidRPr="00D67069">
        <w:rPr>
          <w:rFonts w:eastAsia="Times New Roman"/>
          <w:szCs w:val="17"/>
        </w:rPr>
        <w:tab/>
        <w:t>Return no. 1—lodgement from Friday, 15 August to Thursday, 21 August 2025</w:t>
      </w:r>
    </w:p>
    <w:p w14:paraId="5DD16289" w14:textId="77777777" w:rsidR="00D67069" w:rsidRPr="00D67069" w:rsidRDefault="00D67069" w:rsidP="00D67069">
      <w:pPr>
        <w:ind w:left="709" w:hanging="142"/>
        <w:rPr>
          <w:rFonts w:eastAsia="Times New Roman"/>
          <w:szCs w:val="17"/>
        </w:rPr>
      </w:pPr>
      <w:r w:rsidRPr="00D67069">
        <w:rPr>
          <w:rFonts w:eastAsia="Times New Roman"/>
          <w:szCs w:val="17"/>
        </w:rPr>
        <w:t>◦</w:t>
      </w:r>
      <w:r w:rsidRPr="00D67069">
        <w:rPr>
          <w:rFonts w:eastAsia="Times New Roman"/>
          <w:szCs w:val="17"/>
        </w:rPr>
        <w:tab/>
        <w:t>Return no. 2—within 30 days of the conclusion of the election</w:t>
      </w:r>
    </w:p>
    <w:p w14:paraId="44BE00A1"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Large gift return</w:t>
      </w:r>
    </w:p>
    <w:p w14:paraId="482AF8AE" w14:textId="77777777" w:rsidR="00D67069" w:rsidRPr="00D67069" w:rsidRDefault="00D67069" w:rsidP="00D67069">
      <w:pPr>
        <w:ind w:left="709" w:hanging="142"/>
        <w:rPr>
          <w:rFonts w:eastAsia="Times New Roman"/>
          <w:szCs w:val="17"/>
        </w:rPr>
      </w:pPr>
      <w:r w:rsidRPr="00D67069">
        <w:rPr>
          <w:rFonts w:eastAsia="Times New Roman"/>
          <w:szCs w:val="17"/>
        </w:rPr>
        <w:t>◦</w:t>
      </w:r>
      <w:r w:rsidRPr="00D67069">
        <w:rPr>
          <w:rFonts w:eastAsia="Times New Roman"/>
          <w:szCs w:val="17"/>
        </w:rPr>
        <w:tab/>
        <w:t>Return lodgement within 5 days after receipt, only required for gifts in excess of $2,500</w:t>
      </w:r>
    </w:p>
    <w:p w14:paraId="3392FD09" w14:textId="77777777" w:rsidR="00D67069" w:rsidRPr="00D67069" w:rsidRDefault="00D67069" w:rsidP="00D67069">
      <w:pPr>
        <w:ind w:left="284"/>
        <w:rPr>
          <w:rFonts w:eastAsia="Times New Roman"/>
          <w:szCs w:val="17"/>
        </w:rPr>
      </w:pPr>
      <w:r w:rsidRPr="00D67069">
        <w:rPr>
          <w:rFonts w:eastAsia="Times New Roman"/>
          <w:szCs w:val="17"/>
        </w:rPr>
        <w:t xml:space="preserve">Detailed information about candidate disclosure return requirements can be found at </w:t>
      </w:r>
      <w:hyperlink r:id="rId295" w:history="1">
        <w:r w:rsidRPr="00D67069">
          <w:rPr>
            <w:rFonts w:eastAsia="Times New Roman"/>
            <w:color w:val="0000FF"/>
            <w:szCs w:val="17"/>
            <w:u w:val="single"/>
          </w:rPr>
          <w:t>www.ecsa.sa.gov.au</w:t>
        </w:r>
      </w:hyperlink>
      <w:r w:rsidRPr="00D67069">
        <w:rPr>
          <w:rFonts w:eastAsia="Times New Roman"/>
          <w:szCs w:val="17"/>
        </w:rPr>
        <w:t>.</w:t>
      </w:r>
    </w:p>
    <w:p w14:paraId="2902033C" w14:textId="77777777" w:rsidR="00D67069" w:rsidRPr="00D67069" w:rsidRDefault="00D67069" w:rsidP="00D67069">
      <w:pPr>
        <w:ind w:left="142"/>
        <w:rPr>
          <w:rFonts w:eastAsia="Times New Roman"/>
          <w:b/>
          <w:bCs/>
          <w:szCs w:val="17"/>
        </w:rPr>
      </w:pPr>
      <w:r w:rsidRPr="00D67069">
        <w:rPr>
          <w:rFonts w:eastAsia="Times New Roman"/>
          <w:b/>
          <w:bCs/>
          <w:szCs w:val="17"/>
        </w:rPr>
        <w:t>Voting Conducted by Post</w:t>
      </w:r>
    </w:p>
    <w:p w14:paraId="4D42DAC8" w14:textId="77777777" w:rsidR="00D67069" w:rsidRPr="00D67069" w:rsidRDefault="00D67069" w:rsidP="00D67069">
      <w:pPr>
        <w:ind w:left="284"/>
        <w:rPr>
          <w:rFonts w:eastAsia="Times New Roman"/>
          <w:szCs w:val="17"/>
        </w:rPr>
      </w:pPr>
      <w:r w:rsidRPr="00D67069">
        <w:rPr>
          <w:rFonts w:eastAsia="Times New Roman"/>
          <w:szCs w:val="17"/>
        </w:rPr>
        <w:t>The election is conducted entirely by post and no polling booths will be open for voting. Ballot papers and reply-paid envelopes are mailed out between Tuesday, 26 August and Monday, 1 September 2025 to every person, body corporate and group listed on the voters roll at the close of rolls on 5pm, Monday, 30 June 2025. Voting is voluntary.</w:t>
      </w:r>
    </w:p>
    <w:p w14:paraId="18CFF729" w14:textId="77777777" w:rsidR="00D67069" w:rsidRPr="00D67069" w:rsidRDefault="00D67069" w:rsidP="00D67069">
      <w:pPr>
        <w:ind w:left="284"/>
        <w:rPr>
          <w:rFonts w:eastAsia="Times New Roman"/>
          <w:szCs w:val="17"/>
        </w:rPr>
      </w:pPr>
      <w:r w:rsidRPr="00D67069">
        <w:rPr>
          <w:rFonts w:eastAsia="Times New Roman"/>
          <w:szCs w:val="17"/>
        </w:rPr>
        <w:t>A person who has not received voting material by Thursday, 4 September 2025, and believes they are entitled to vote, should contact the deputy returning officer on 1300 655 232 before 5pm, Monday, 15 September 2025.</w:t>
      </w:r>
    </w:p>
    <w:p w14:paraId="7D49A4D3" w14:textId="77777777" w:rsidR="00D67069" w:rsidRPr="00D67069" w:rsidRDefault="00D67069" w:rsidP="00D67069">
      <w:pPr>
        <w:ind w:left="284"/>
        <w:rPr>
          <w:rFonts w:eastAsia="Times New Roman"/>
          <w:spacing w:val="-2"/>
          <w:szCs w:val="17"/>
        </w:rPr>
      </w:pPr>
      <w:r w:rsidRPr="00D67069">
        <w:rPr>
          <w:rFonts w:eastAsia="Times New Roman"/>
          <w:spacing w:val="-2"/>
          <w:szCs w:val="17"/>
        </w:rPr>
        <w:t>Completed voting material must be sent to reach the returning officer no later than 12 noon on polling day, Monday, 22 September 2025.</w:t>
      </w:r>
    </w:p>
    <w:p w14:paraId="0D45370E" w14:textId="77777777" w:rsidR="00D67069" w:rsidRPr="00D67069" w:rsidRDefault="00D67069" w:rsidP="00D67069">
      <w:pPr>
        <w:ind w:left="142"/>
        <w:rPr>
          <w:rFonts w:eastAsia="Times New Roman"/>
          <w:b/>
          <w:bCs/>
          <w:szCs w:val="17"/>
        </w:rPr>
      </w:pPr>
      <w:r w:rsidRPr="00D67069">
        <w:rPr>
          <w:rFonts w:eastAsia="Times New Roman"/>
          <w:b/>
          <w:bCs/>
          <w:szCs w:val="17"/>
        </w:rPr>
        <w:t>Assisted Voting</w:t>
      </w:r>
    </w:p>
    <w:p w14:paraId="335DC610" w14:textId="77777777" w:rsidR="00D67069" w:rsidRPr="00D67069" w:rsidRDefault="00D67069" w:rsidP="00D67069">
      <w:pPr>
        <w:ind w:left="284"/>
        <w:rPr>
          <w:rFonts w:eastAsia="Times New Roman"/>
          <w:szCs w:val="17"/>
        </w:rPr>
      </w:pPr>
      <w:r w:rsidRPr="00D67069">
        <w:rPr>
          <w:rFonts w:eastAsia="Times New Roman"/>
          <w:szCs w:val="17"/>
        </w:rPr>
        <w:t xml:space="preserve">Prescribed electors under Section 41A(8) of the </w:t>
      </w:r>
      <w:r w:rsidRPr="00D67069">
        <w:rPr>
          <w:rFonts w:eastAsia="Times New Roman"/>
          <w:i/>
          <w:iCs/>
          <w:szCs w:val="17"/>
        </w:rPr>
        <w:t>Local Government (Elections) Act 1999</w:t>
      </w:r>
      <w:r w:rsidRPr="00D67069">
        <w:rPr>
          <w:rFonts w:eastAsia="Times New Roman"/>
          <w:szCs w:val="17"/>
        </w:rPr>
        <w:t>, may vote via the telephone assisted voting method by calling the Electoral Commission SA on:</w:t>
      </w:r>
    </w:p>
    <w:p w14:paraId="2F843392"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1300 655 232 within South Australia only</w:t>
      </w:r>
    </w:p>
    <w:p w14:paraId="7DBB471F"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08 7424 7400 from interstate</w:t>
      </w:r>
    </w:p>
    <w:p w14:paraId="14A45D5C"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+61 8 7424 7400 from overseas</w:t>
      </w:r>
    </w:p>
    <w:p w14:paraId="009E57E2" w14:textId="77777777" w:rsidR="00D67069" w:rsidRPr="00D67069" w:rsidRDefault="00D67069" w:rsidP="00D67069">
      <w:pPr>
        <w:ind w:left="284"/>
        <w:rPr>
          <w:rFonts w:eastAsia="Times New Roman"/>
          <w:szCs w:val="17"/>
        </w:rPr>
      </w:pPr>
      <w:r w:rsidRPr="00D67069">
        <w:rPr>
          <w:rFonts w:eastAsia="Times New Roman"/>
          <w:szCs w:val="17"/>
        </w:rPr>
        <w:t>The Telephone Assisted Voting Centre will operate for the following times and days:</w:t>
      </w:r>
    </w:p>
    <w:p w14:paraId="559E3B30"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9am</w:t>
      </w:r>
      <w:r w:rsidRPr="00D67069">
        <w:rPr>
          <w:rFonts w:ascii="Segoe UI" w:eastAsia="Times New Roman" w:hAnsi="Segoe UI" w:cs="Segoe UI"/>
          <w:sz w:val="18"/>
          <w:szCs w:val="18"/>
        </w:rPr>
        <w:t>-</w:t>
      </w:r>
      <w:r w:rsidRPr="00D67069">
        <w:rPr>
          <w:rFonts w:eastAsia="Times New Roman"/>
          <w:szCs w:val="17"/>
        </w:rPr>
        <w:t>5pm, Thursday, 18 September and Friday, 19 September 2025.</w:t>
      </w:r>
    </w:p>
    <w:p w14:paraId="32518239"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9am</w:t>
      </w:r>
      <w:r w:rsidRPr="00D67069">
        <w:rPr>
          <w:rFonts w:ascii="Segoe UI" w:eastAsia="Times New Roman" w:hAnsi="Segoe UI" w:cs="Segoe UI"/>
          <w:sz w:val="18"/>
          <w:szCs w:val="18"/>
        </w:rPr>
        <w:t>-</w:t>
      </w:r>
      <w:r w:rsidRPr="00D67069">
        <w:rPr>
          <w:rFonts w:eastAsia="Times New Roman"/>
          <w:szCs w:val="17"/>
        </w:rPr>
        <w:t>12 noon, Monday, 22 September 2025 (close of voting)</w:t>
      </w:r>
    </w:p>
    <w:p w14:paraId="7BFD8538" w14:textId="77777777" w:rsidR="00D67069" w:rsidRPr="00D67069" w:rsidRDefault="00D67069" w:rsidP="00D67069">
      <w:pPr>
        <w:ind w:left="142"/>
        <w:rPr>
          <w:rFonts w:eastAsia="Times New Roman"/>
          <w:b/>
          <w:bCs/>
          <w:szCs w:val="17"/>
        </w:rPr>
      </w:pPr>
      <w:r w:rsidRPr="00D67069">
        <w:rPr>
          <w:rFonts w:eastAsia="Times New Roman"/>
          <w:b/>
          <w:bCs/>
          <w:szCs w:val="17"/>
        </w:rPr>
        <w:t>Vote Counting Location</w:t>
      </w:r>
    </w:p>
    <w:p w14:paraId="47EC9E3E" w14:textId="77777777" w:rsidR="00D67069" w:rsidRPr="00D67069" w:rsidRDefault="00D67069" w:rsidP="00D67069">
      <w:pPr>
        <w:ind w:left="284"/>
        <w:rPr>
          <w:rFonts w:eastAsia="Times New Roman"/>
          <w:szCs w:val="17"/>
        </w:rPr>
      </w:pPr>
      <w:r w:rsidRPr="00D67069">
        <w:rPr>
          <w:rFonts w:eastAsia="Times New Roman"/>
          <w:szCs w:val="17"/>
        </w:rPr>
        <w:t>The scrutiny and count will take place from 9:30am on Tuesday, 23 September 2025 at the following location:</w:t>
      </w:r>
    </w:p>
    <w:p w14:paraId="5B7F95C0"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Electoral Commission SA Central Processing Centre</w:t>
      </w:r>
    </w:p>
    <w:p w14:paraId="48A0CFCD" w14:textId="77777777" w:rsidR="00D67069" w:rsidRPr="00D67069" w:rsidRDefault="00D67069" w:rsidP="00D67069">
      <w:pPr>
        <w:ind w:left="709" w:hanging="142"/>
        <w:rPr>
          <w:rFonts w:eastAsia="Times New Roman"/>
          <w:szCs w:val="17"/>
        </w:rPr>
      </w:pPr>
      <w:r w:rsidRPr="00D67069">
        <w:rPr>
          <w:rFonts w:eastAsia="Times New Roman"/>
          <w:szCs w:val="17"/>
        </w:rPr>
        <w:t>◦</w:t>
      </w:r>
      <w:r w:rsidRPr="00D67069">
        <w:rPr>
          <w:rFonts w:eastAsia="Times New Roman"/>
          <w:szCs w:val="17"/>
        </w:rPr>
        <w:tab/>
        <w:t>7 Hudson Court, Netley 5037</w:t>
      </w:r>
    </w:p>
    <w:p w14:paraId="5C50B846" w14:textId="77777777" w:rsidR="00D67069" w:rsidRPr="00D67069" w:rsidRDefault="00D67069" w:rsidP="00D67069">
      <w:pPr>
        <w:ind w:left="284"/>
        <w:rPr>
          <w:rFonts w:eastAsia="Times New Roman"/>
          <w:szCs w:val="17"/>
        </w:rPr>
      </w:pPr>
      <w:r w:rsidRPr="00D67069">
        <w:rPr>
          <w:rFonts w:eastAsia="Times New Roman"/>
          <w:szCs w:val="17"/>
        </w:rPr>
        <w:t>A provisional declaration will be made at the conclusion of the election count.</w:t>
      </w:r>
    </w:p>
    <w:p w14:paraId="1FBA363D"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45BF8FB6"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Mick Sherry</w:t>
      </w:r>
    </w:p>
    <w:p w14:paraId="60F912E1" w14:textId="77777777" w:rsidR="00D67069" w:rsidRPr="00D67069" w:rsidRDefault="00D67069" w:rsidP="00D67069">
      <w:pPr>
        <w:spacing w:after="0"/>
        <w:jc w:val="right"/>
        <w:rPr>
          <w:rFonts w:eastAsia="Times New Roman"/>
          <w:szCs w:val="17"/>
        </w:rPr>
      </w:pPr>
      <w:r w:rsidRPr="00D67069">
        <w:rPr>
          <w:rFonts w:eastAsia="Times New Roman"/>
          <w:szCs w:val="17"/>
        </w:rPr>
        <w:t>Returning Officer</w:t>
      </w:r>
    </w:p>
    <w:p w14:paraId="4E5632CE" w14:textId="77777777" w:rsidR="00D67069" w:rsidRPr="00D67069" w:rsidRDefault="00D67069" w:rsidP="00D67069">
      <w:pPr>
        <w:pBdr>
          <w:top w:val="single" w:sz="4" w:space="1" w:color="auto"/>
        </w:pBdr>
        <w:spacing w:before="100" w:after="0" w:line="14" w:lineRule="exact"/>
        <w:jc w:val="center"/>
        <w:rPr>
          <w:rFonts w:eastAsia="Times New Roman"/>
          <w:szCs w:val="17"/>
        </w:rPr>
      </w:pPr>
    </w:p>
    <w:p w14:paraId="5BE7E658" w14:textId="77777777" w:rsidR="00D67069" w:rsidRPr="00D67069" w:rsidRDefault="00D67069" w:rsidP="00D670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59FD3FED" w14:textId="7FEAEA2D" w:rsidR="00D67069" w:rsidRDefault="00D67069">
      <w:pPr>
        <w:spacing w:after="0" w:line="240" w:lineRule="auto"/>
        <w:jc w:val="left"/>
        <w:rPr>
          <w:rFonts w:eastAsia="Times New Roman"/>
          <w:szCs w:val="17"/>
          <w:lang w:val="en-US"/>
        </w:rPr>
      </w:pPr>
      <w:r>
        <w:rPr>
          <w:lang w:val="en-US"/>
        </w:rPr>
        <w:br w:type="page"/>
      </w:r>
    </w:p>
    <w:p w14:paraId="6484CBA9" w14:textId="77777777" w:rsidR="00D67069" w:rsidRPr="00D67069" w:rsidRDefault="00D67069" w:rsidP="00D67069">
      <w:pPr>
        <w:jc w:val="center"/>
        <w:rPr>
          <w:caps/>
          <w:szCs w:val="17"/>
        </w:rPr>
      </w:pPr>
      <w:r w:rsidRPr="00D67069">
        <w:rPr>
          <w:caps/>
          <w:noProof/>
          <w:szCs w:val="17"/>
        </w:rPr>
        <w:lastRenderedPageBreak/>
        <w:drawing>
          <wp:anchor distT="0" distB="0" distL="114300" distR="114300" simplePos="0" relativeHeight="251663360" behindDoc="1" locked="0" layoutInCell="1" allowOverlap="1" wp14:anchorId="74879194" wp14:editId="2CC41920">
            <wp:simplePos x="0" y="0"/>
            <wp:positionH relativeFrom="column">
              <wp:align>center</wp:align>
            </wp:positionH>
            <wp:positionV relativeFrom="paragraph">
              <wp:posOffset>147320</wp:posOffset>
            </wp:positionV>
            <wp:extent cx="5583600" cy="8629200"/>
            <wp:effectExtent l="0" t="0" r="0" b="635"/>
            <wp:wrapNone/>
            <wp:docPr id="1926814396" name="Picture 1" descr="A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14396" name="Picture 1" descr="A text on a white background&#10;&#10;AI-generated content may be incorrect."/>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t="3054"/>
                    <a:stretch>
                      <a:fillRect/>
                    </a:stretch>
                  </pic:blipFill>
                  <pic:spPr bwMode="auto">
                    <a:xfrm>
                      <a:off x="0" y="0"/>
                      <a:ext cx="5583600" cy="862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069">
        <w:rPr>
          <w:caps/>
          <w:szCs w:val="17"/>
        </w:rPr>
        <w:t>CITY OF NORWOOD PAYNEHAM &amp; ST PETERS</w:t>
      </w:r>
    </w:p>
    <w:p w14:paraId="5585EBDC" w14:textId="77777777" w:rsidR="00D67069" w:rsidRPr="00D67069" w:rsidRDefault="00D67069" w:rsidP="00D67069"/>
    <w:p w14:paraId="0DB62C1E" w14:textId="77777777" w:rsidR="00D67069" w:rsidRPr="00D67069" w:rsidRDefault="00D67069" w:rsidP="00D67069">
      <w:pPr>
        <w:spacing w:line="240" w:lineRule="auto"/>
      </w:pPr>
      <w:r w:rsidRPr="00D67069">
        <w:rPr>
          <w:noProof/>
        </w:rPr>
        <w:lastRenderedPageBreak/>
        <w:drawing>
          <wp:inline distT="0" distB="0" distL="0" distR="0" wp14:anchorId="745B9FDF" wp14:editId="1FFC4A88">
            <wp:extent cx="5584190" cy="8900160"/>
            <wp:effectExtent l="0" t="0" r="0" b="0"/>
            <wp:docPr id="1033387217"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87217" name="Picture 2" descr="A black text on a white background&#10;&#10;AI-generated content may be incorrect."/>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7DAB8261" wp14:editId="46D978CE">
            <wp:extent cx="5584190" cy="8900160"/>
            <wp:effectExtent l="0" t="0" r="0" b="0"/>
            <wp:docPr id="1399677348"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7348" name="Picture 3" descr="A black text on a white background&#10;&#10;AI-generated content may be incorrect."/>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53A19197" wp14:editId="1192C698">
            <wp:extent cx="5584190" cy="8900160"/>
            <wp:effectExtent l="0" t="0" r="0" b="0"/>
            <wp:docPr id="172111418"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1418" name="Picture 4" descr="A black text on a white background&#10;&#10;AI-generated content may be incorrect."/>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5C22C86E" wp14:editId="61624235">
            <wp:extent cx="5584190" cy="8900160"/>
            <wp:effectExtent l="0" t="0" r="0" b="0"/>
            <wp:docPr id="2068276017" name="Picture 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76017" name="Picture 5" descr="A black text on a white background&#10;&#10;AI-generated content may be incorrect."/>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0DC7235F" wp14:editId="77967061">
            <wp:extent cx="5584190" cy="8900160"/>
            <wp:effectExtent l="0" t="0" r="0" b="0"/>
            <wp:docPr id="368631802" name="Picture 6"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31802" name="Picture 6" descr="A black text on a white background&#10;&#10;AI-generated content may be incorrect."/>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65FA9157" wp14:editId="42D4C500">
            <wp:extent cx="5584190" cy="8900160"/>
            <wp:effectExtent l="0" t="0" r="0" b="0"/>
            <wp:docPr id="1389635196" name="Picture 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35196" name="Picture 7" descr="A black text on a white background&#10;&#10;AI-generated content may be incorrect."/>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0B7E5A61" wp14:editId="455AAE12">
            <wp:extent cx="5584190" cy="8900160"/>
            <wp:effectExtent l="0" t="0" r="0" b="0"/>
            <wp:docPr id="1841349672" name="Picture 8"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49672" name="Picture 8" descr="A black and white text&#10;&#10;AI-generated content may be incorrect."/>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746AAAD7" wp14:editId="1D2591E5">
            <wp:extent cx="5584190" cy="8900160"/>
            <wp:effectExtent l="0" t="0" r="0" b="0"/>
            <wp:docPr id="460836786" name="Picture 9"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6786" name="Picture 9" descr="A black text on a white background&#10;&#10;AI-generated content may be incorrect."/>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29CD6BDA" wp14:editId="33F6C663">
            <wp:extent cx="5584190" cy="8900160"/>
            <wp:effectExtent l="0" t="0" r="0" b="0"/>
            <wp:docPr id="613842252" name="Picture 10"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42252" name="Picture 10" descr="A black text on a white background&#10;&#10;AI-generated content may be incorrect."/>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070B9395" wp14:editId="35EF2F4F">
            <wp:extent cx="5584190" cy="8900160"/>
            <wp:effectExtent l="0" t="0" r="0" b="0"/>
            <wp:docPr id="2092563207" name="Picture 1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63207" name="Picture 11" descr="A black text on a white background&#10;&#10;AI-generated content may be incorrect."/>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68D8B53F" wp14:editId="55F1BD12">
            <wp:extent cx="5584190" cy="8900160"/>
            <wp:effectExtent l="0" t="0" r="0" b="0"/>
            <wp:docPr id="993737542" name="Picture 1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37542" name="Picture 12" descr="A black text on a white background&#10;&#10;AI-generated content may be incorrect."/>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21BBCE6B" wp14:editId="25A8C09B">
            <wp:extent cx="5584190" cy="8900160"/>
            <wp:effectExtent l="0" t="0" r="0" b="0"/>
            <wp:docPr id="597013331" name="Picture 13"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13331" name="Picture 13" descr="A black and white text&#10;&#10;AI-generated content may be incorrect."/>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0FC63D72" wp14:editId="4614C3CF">
            <wp:extent cx="5584190" cy="8900160"/>
            <wp:effectExtent l="0" t="0" r="0" b="0"/>
            <wp:docPr id="1917597646" name="Picture 1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97646" name="Picture 14" descr="A black text on a white background&#10;&#10;AI-generated content may be incorrect."/>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20D86F95" wp14:editId="657B4BB8">
            <wp:extent cx="5584190" cy="8900160"/>
            <wp:effectExtent l="0" t="0" r="0" b="0"/>
            <wp:docPr id="424506535" name="Picture 1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06535" name="Picture 15" descr="A black text on a white background&#10;&#10;AI-generated content may be incorrect."/>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0F005B87" wp14:editId="515FDBAD">
            <wp:extent cx="5584190" cy="8900160"/>
            <wp:effectExtent l="0" t="0" r="0" b="0"/>
            <wp:docPr id="642893521" name="Picture 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93521" name="Picture 16" descr="A close-up of a document&#10;&#10;AI-generated content may be incorrect."/>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584190" cy="8900160"/>
                    </a:xfrm>
                    <a:prstGeom prst="rect">
                      <a:avLst/>
                    </a:prstGeom>
                    <a:noFill/>
                    <a:ln>
                      <a:noFill/>
                    </a:ln>
                  </pic:spPr>
                </pic:pic>
              </a:graphicData>
            </a:graphic>
          </wp:inline>
        </w:drawing>
      </w:r>
      <w:r w:rsidRPr="00D67069">
        <w:rPr>
          <w:noProof/>
        </w:rPr>
        <w:lastRenderedPageBreak/>
        <w:drawing>
          <wp:inline distT="0" distB="0" distL="0" distR="0" wp14:anchorId="48940C7B" wp14:editId="4581A7CE">
            <wp:extent cx="5584190" cy="2859506"/>
            <wp:effectExtent l="0" t="0" r="0" b="0"/>
            <wp:docPr id="594739915" name="Picture 17"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39915" name="Picture 17" descr="A white paper with black text&#10;&#10;AI-generated content may be incorrect."/>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b="67871"/>
                    <a:stretch>
                      <a:fillRect/>
                    </a:stretch>
                  </pic:blipFill>
                  <pic:spPr bwMode="auto">
                    <a:xfrm>
                      <a:off x="0" y="0"/>
                      <a:ext cx="5584190" cy="2859506"/>
                    </a:xfrm>
                    <a:prstGeom prst="rect">
                      <a:avLst/>
                    </a:prstGeom>
                    <a:noFill/>
                    <a:ln>
                      <a:noFill/>
                    </a:ln>
                    <a:extLst>
                      <a:ext uri="{53640926-AAD7-44D8-BBD7-CCE9431645EC}">
                        <a14:shadowObscured xmlns:a14="http://schemas.microsoft.com/office/drawing/2010/main"/>
                      </a:ext>
                    </a:extLst>
                  </pic:spPr>
                </pic:pic>
              </a:graphicData>
            </a:graphic>
          </wp:inline>
        </w:drawing>
      </w:r>
    </w:p>
    <w:p w14:paraId="20C74288"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175027C3"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Mario Barone PSM</w:t>
      </w:r>
    </w:p>
    <w:p w14:paraId="799C1968" w14:textId="3BE16A73" w:rsidR="00D67069" w:rsidRDefault="00D67069" w:rsidP="00D67069">
      <w:pPr>
        <w:spacing w:after="0"/>
        <w:jc w:val="right"/>
        <w:rPr>
          <w:rFonts w:eastAsia="Times New Roman"/>
          <w:szCs w:val="17"/>
        </w:rPr>
      </w:pPr>
      <w:r w:rsidRPr="00D67069">
        <w:rPr>
          <w:rFonts w:eastAsia="Times New Roman"/>
          <w:szCs w:val="17"/>
        </w:rPr>
        <w:t>Chief Executive Officer</w:t>
      </w:r>
    </w:p>
    <w:p w14:paraId="72F2689C" w14:textId="77777777" w:rsidR="00D67069" w:rsidRDefault="00D67069" w:rsidP="00D67069">
      <w:pPr>
        <w:pBdr>
          <w:bottom w:val="single" w:sz="4" w:space="1" w:color="auto"/>
        </w:pBdr>
        <w:spacing w:after="0" w:line="52" w:lineRule="exact"/>
        <w:jc w:val="center"/>
      </w:pPr>
    </w:p>
    <w:p w14:paraId="29CCED10" w14:textId="77777777" w:rsidR="00D67069" w:rsidRDefault="00D67069" w:rsidP="00D67069">
      <w:pPr>
        <w:pBdr>
          <w:top w:val="single" w:sz="4" w:space="1" w:color="auto"/>
        </w:pBdr>
        <w:spacing w:before="34" w:after="0" w:line="14" w:lineRule="exact"/>
        <w:jc w:val="center"/>
      </w:pPr>
    </w:p>
    <w:p w14:paraId="1E8AA2A6" w14:textId="77777777" w:rsidR="00D67069" w:rsidRPr="00D67069" w:rsidRDefault="00D67069" w:rsidP="003274D3">
      <w:pPr>
        <w:pStyle w:val="NoSpacing"/>
      </w:pPr>
    </w:p>
    <w:p w14:paraId="56B900F1" w14:textId="31B9C122" w:rsidR="00D67069" w:rsidRPr="00D67069" w:rsidRDefault="00227537" w:rsidP="00E34B09">
      <w:pPr>
        <w:pStyle w:val="Heading2"/>
      </w:pPr>
      <w:bookmarkStart w:id="524" w:name="_Toc206061779"/>
      <w:r w:rsidRPr="00D67069">
        <w:t xml:space="preserve">City </w:t>
      </w:r>
      <w:r>
        <w:t>o</w:t>
      </w:r>
      <w:r w:rsidRPr="00D67069">
        <w:t>f Port Adelaide Enfield</w:t>
      </w:r>
      <w:bookmarkEnd w:id="524"/>
    </w:p>
    <w:p w14:paraId="12660568" w14:textId="77777777" w:rsidR="00D67069" w:rsidRPr="00D67069" w:rsidRDefault="00D67069" w:rsidP="00D67069">
      <w:pPr>
        <w:jc w:val="center"/>
        <w:rPr>
          <w:iCs/>
          <w:szCs w:val="17"/>
        </w:rPr>
      </w:pPr>
      <w:r w:rsidRPr="00D67069">
        <w:rPr>
          <w:i/>
          <w:szCs w:val="17"/>
        </w:rPr>
        <w:t>Application of Dogs By-Law 2022</w:t>
      </w:r>
    </w:p>
    <w:p w14:paraId="6EEA10D0" w14:textId="77777777" w:rsidR="00D67069" w:rsidRPr="00D67069" w:rsidRDefault="00D67069" w:rsidP="00D67069">
      <w:pPr>
        <w:rPr>
          <w:rFonts w:eastAsia="Times New Roman"/>
          <w:szCs w:val="17"/>
        </w:rPr>
      </w:pPr>
      <w:r w:rsidRPr="00D67069">
        <w:rPr>
          <w:rFonts w:eastAsia="Times New Roman"/>
          <w:szCs w:val="17"/>
        </w:rPr>
        <w:t xml:space="preserve">Pursuant to Section 246(4a) of the </w:t>
      </w:r>
      <w:r w:rsidRPr="00D67069">
        <w:rPr>
          <w:rFonts w:eastAsia="Times New Roman"/>
          <w:i/>
          <w:iCs/>
          <w:szCs w:val="17"/>
        </w:rPr>
        <w:t>Local Government Act 1999</w:t>
      </w:r>
      <w:r w:rsidRPr="00D67069">
        <w:rPr>
          <w:rFonts w:eastAsia="Times New Roman"/>
          <w:szCs w:val="17"/>
        </w:rPr>
        <w:t xml:space="preserve"> (the </w:t>
      </w:r>
      <w:r w:rsidRPr="00D67069">
        <w:rPr>
          <w:rFonts w:eastAsia="Times New Roman"/>
          <w:b/>
          <w:bCs/>
          <w:szCs w:val="17"/>
        </w:rPr>
        <w:t>Ac</w:t>
      </w:r>
      <w:r w:rsidRPr="00D67069">
        <w:rPr>
          <w:rFonts w:eastAsia="Times New Roman"/>
          <w:szCs w:val="17"/>
        </w:rPr>
        <w:t>t), notice is hereby given that:</w:t>
      </w:r>
    </w:p>
    <w:p w14:paraId="2493F7F2" w14:textId="77777777" w:rsidR="00D67069" w:rsidRPr="00D67069" w:rsidRDefault="00D67069" w:rsidP="00D67069">
      <w:pPr>
        <w:ind w:left="284" w:hanging="284"/>
        <w:rPr>
          <w:rFonts w:eastAsia="Times New Roman"/>
          <w:szCs w:val="17"/>
        </w:rPr>
      </w:pPr>
      <w:r w:rsidRPr="00D67069">
        <w:rPr>
          <w:rFonts w:eastAsia="Times New Roman"/>
          <w:szCs w:val="17"/>
        </w:rPr>
        <w:t>1.</w:t>
      </w:r>
      <w:r w:rsidRPr="00D67069">
        <w:rPr>
          <w:rFonts w:eastAsia="Times New Roman"/>
          <w:szCs w:val="17"/>
        </w:rPr>
        <w:tab/>
        <w:t xml:space="preserve">at its meeting on 9 August 2022 and pursuant to the power contained in Section 246(3)(e) of the Act, the City of Port Adelaide Enfield (the </w:t>
      </w:r>
      <w:r w:rsidRPr="00D67069">
        <w:rPr>
          <w:rFonts w:eastAsia="Times New Roman"/>
          <w:b/>
          <w:bCs/>
          <w:szCs w:val="17"/>
        </w:rPr>
        <w:t>Council</w:t>
      </w:r>
      <w:r w:rsidRPr="00D67069">
        <w:rPr>
          <w:rFonts w:eastAsia="Times New Roman"/>
          <w:szCs w:val="17"/>
        </w:rPr>
        <w:t xml:space="preserve">), resolved that for the purposes of Clause 9.1 of the Dogs By-law 2022 (the </w:t>
      </w:r>
      <w:r w:rsidRPr="00D67069">
        <w:rPr>
          <w:rFonts w:eastAsia="Times New Roman"/>
          <w:b/>
          <w:bCs/>
          <w:szCs w:val="17"/>
        </w:rPr>
        <w:t>By-law</w:t>
      </w:r>
      <w:r w:rsidRPr="00D67069">
        <w:rPr>
          <w:rFonts w:eastAsia="Times New Roman"/>
          <w:szCs w:val="17"/>
        </w:rPr>
        <w:t xml:space="preserve">), </w:t>
      </w:r>
      <w:r w:rsidRPr="00D67069">
        <w:rPr>
          <w:rFonts w:eastAsia="Times New Roman"/>
          <w:spacing w:val="-4"/>
          <w:szCs w:val="17"/>
        </w:rPr>
        <w:t>the following Local Government land</w:t>
      </w:r>
      <w:r w:rsidRPr="00D67069">
        <w:rPr>
          <w:rFonts w:eastAsia="Times New Roman"/>
          <w:szCs w:val="17"/>
        </w:rPr>
        <w:t xml:space="preserve"> or public places are ʻDog on-Leash Areasʼ at all times (unless otherwise stated):</w:t>
      </w:r>
    </w:p>
    <w:p w14:paraId="5B9BC678" w14:textId="77777777" w:rsidR="00D67069" w:rsidRPr="00D67069" w:rsidRDefault="00D67069" w:rsidP="00D67069">
      <w:pPr>
        <w:ind w:left="709" w:hanging="425"/>
        <w:rPr>
          <w:rFonts w:eastAsia="Times New Roman"/>
          <w:szCs w:val="17"/>
        </w:rPr>
      </w:pPr>
      <w:r w:rsidRPr="00D67069">
        <w:rPr>
          <w:rFonts w:eastAsia="Times New Roman"/>
          <w:szCs w:val="17"/>
        </w:rPr>
        <w:t>1.1.</w:t>
      </w:r>
      <w:r w:rsidRPr="00D67069">
        <w:rPr>
          <w:rFonts w:eastAsia="Times New Roman"/>
          <w:szCs w:val="17"/>
        </w:rPr>
        <w:tab/>
        <w:t>Glanville Par 3 Golf Course, Park Ave, Semaphore South</w:t>
      </w:r>
    </w:p>
    <w:p w14:paraId="0219D558" w14:textId="77777777" w:rsidR="00D67069" w:rsidRPr="00D67069" w:rsidRDefault="00D67069" w:rsidP="00D67069">
      <w:pPr>
        <w:ind w:left="709" w:hanging="425"/>
        <w:rPr>
          <w:rFonts w:eastAsia="Times New Roman"/>
          <w:szCs w:val="17"/>
        </w:rPr>
      </w:pPr>
      <w:r w:rsidRPr="00D67069">
        <w:rPr>
          <w:rFonts w:eastAsia="Times New Roman"/>
          <w:szCs w:val="17"/>
        </w:rPr>
        <w:t>1.2.</w:t>
      </w:r>
      <w:r w:rsidRPr="00D67069">
        <w:rPr>
          <w:rFonts w:eastAsia="Times New Roman"/>
          <w:szCs w:val="17"/>
        </w:rPr>
        <w:tab/>
        <w:t>the portion of Linear Park, Moore St, Windsor Gardens as identified in the applicable plan;</w:t>
      </w:r>
    </w:p>
    <w:p w14:paraId="341A4C17" w14:textId="77777777" w:rsidR="00D67069" w:rsidRPr="00D67069" w:rsidRDefault="00D67069" w:rsidP="00D67069">
      <w:pPr>
        <w:ind w:left="709" w:hanging="425"/>
        <w:rPr>
          <w:rFonts w:eastAsia="Times New Roman"/>
          <w:szCs w:val="17"/>
        </w:rPr>
      </w:pPr>
      <w:r w:rsidRPr="00D67069">
        <w:rPr>
          <w:rFonts w:eastAsia="Times New Roman"/>
          <w:szCs w:val="17"/>
        </w:rPr>
        <w:t>1.3.</w:t>
      </w:r>
      <w:r w:rsidRPr="00D67069">
        <w:rPr>
          <w:rFonts w:eastAsia="Times New Roman"/>
          <w:szCs w:val="17"/>
        </w:rPr>
        <w:tab/>
        <w:t>Northgate Reserve, Folland Ave, Northgate;</w:t>
      </w:r>
    </w:p>
    <w:p w14:paraId="6FE5CDE5" w14:textId="77777777" w:rsidR="00D67069" w:rsidRPr="00D67069" w:rsidRDefault="00D67069" w:rsidP="00D67069">
      <w:pPr>
        <w:ind w:left="709" w:hanging="425"/>
        <w:rPr>
          <w:rFonts w:eastAsia="Times New Roman"/>
          <w:szCs w:val="17"/>
        </w:rPr>
      </w:pPr>
      <w:r w:rsidRPr="00D67069">
        <w:rPr>
          <w:rFonts w:eastAsia="Times New Roman"/>
          <w:szCs w:val="17"/>
        </w:rPr>
        <w:t>1.4.</w:t>
      </w:r>
      <w:r w:rsidRPr="00D67069">
        <w:rPr>
          <w:rFonts w:eastAsia="Times New Roman"/>
          <w:szCs w:val="17"/>
        </w:rPr>
        <w:tab/>
        <w:t>R B Connolly Reserve, Grose Cres, North Haven;</w:t>
      </w:r>
    </w:p>
    <w:p w14:paraId="5E18BC3B" w14:textId="77777777" w:rsidR="00D67069" w:rsidRPr="00D67069" w:rsidRDefault="00D67069" w:rsidP="00D67069">
      <w:pPr>
        <w:ind w:left="709" w:hanging="425"/>
        <w:rPr>
          <w:rFonts w:eastAsia="Times New Roman"/>
          <w:szCs w:val="17"/>
        </w:rPr>
      </w:pPr>
      <w:r w:rsidRPr="00D67069">
        <w:rPr>
          <w:rFonts w:eastAsia="Times New Roman"/>
          <w:szCs w:val="17"/>
        </w:rPr>
        <w:t>1.5.</w:t>
      </w:r>
      <w:r w:rsidRPr="00D67069">
        <w:rPr>
          <w:rFonts w:eastAsia="Times New Roman"/>
          <w:szCs w:val="17"/>
        </w:rPr>
        <w:tab/>
        <w:t>Roy Amer Reserve, Sir Ross Smith Blvd, Oakden;</w:t>
      </w:r>
    </w:p>
    <w:p w14:paraId="75FA0EF4" w14:textId="77777777" w:rsidR="00D67069" w:rsidRPr="00D67069" w:rsidRDefault="00D67069" w:rsidP="00D67069">
      <w:pPr>
        <w:ind w:left="709" w:hanging="425"/>
        <w:rPr>
          <w:rFonts w:eastAsia="Times New Roman"/>
          <w:szCs w:val="17"/>
        </w:rPr>
      </w:pPr>
      <w:r w:rsidRPr="00D67069">
        <w:rPr>
          <w:rFonts w:eastAsia="Times New Roman"/>
          <w:szCs w:val="17"/>
        </w:rPr>
        <w:t>1.6.</w:t>
      </w:r>
      <w:r w:rsidRPr="00D67069">
        <w:rPr>
          <w:rFonts w:eastAsia="Times New Roman"/>
          <w:szCs w:val="17"/>
        </w:rPr>
        <w:tab/>
        <w:t>Stockade Botanical Park, Hoods Rd, Northfield;</w:t>
      </w:r>
    </w:p>
    <w:p w14:paraId="151C9995" w14:textId="77777777" w:rsidR="00D67069" w:rsidRPr="00D67069" w:rsidRDefault="00D67069" w:rsidP="00D67069">
      <w:pPr>
        <w:ind w:left="709" w:hanging="425"/>
        <w:rPr>
          <w:rFonts w:eastAsia="Times New Roman"/>
          <w:szCs w:val="17"/>
        </w:rPr>
      </w:pPr>
      <w:r w:rsidRPr="00D67069">
        <w:rPr>
          <w:rFonts w:eastAsia="Times New Roman"/>
          <w:szCs w:val="17"/>
        </w:rPr>
        <w:t>1.7.</w:t>
      </w:r>
      <w:r w:rsidRPr="00D67069">
        <w:rPr>
          <w:rFonts w:eastAsia="Times New Roman"/>
          <w:szCs w:val="17"/>
        </w:rPr>
        <w:tab/>
        <w:t>Thomas Turner Reserve, Geraldine St, Valley View between 4:30pm and 5:30am on weekdays and otherwise, between 8:30am and 6:30pm on weekends;</w:t>
      </w:r>
    </w:p>
    <w:p w14:paraId="053CB52F" w14:textId="77777777" w:rsidR="00D67069" w:rsidRPr="00D67069" w:rsidRDefault="00D67069" w:rsidP="00D67069">
      <w:pPr>
        <w:ind w:left="709" w:hanging="425"/>
        <w:rPr>
          <w:rFonts w:eastAsia="Times New Roman"/>
          <w:szCs w:val="17"/>
        </w:rPr>
      </w:pPr>
      <w:r w:rsidRPr="00D67069">
        <w:rPr>
          <w:rFonts w:eastAsia="Times New Roman"/>
          <w:szCs w:val="17"/>
        </w:rPr>
        <w:t>1.8.</w:t>
      </w:r>
      <w:r w:rsidRPr="00D67069">
        <w:rPr>
          <w:rFonts w:eastAsia="Times New Roman"/>
          <w:szCs w:val="17"/>
        </w:rPr>
        <w:tab/>
        <w:t>Valleyview Par 3 Golf Course, Grand Junction Rd, Valley View; and</w:t>
      </w:r>
    </w:p>
    <w:p w14:paraId="04FF8D91" w14:textId="77777777" w:rsidR="00D67069" w:rsidRPr="00D67069" w:rsidRDefault="00D67069" w:rsidP="00D67069">
      <w:pPr>
        <w:ind w:left="709" w:hanging="425"/>
        <w:rPr>
          <w:rFonts w:eastAsia="Times New Roman"/>
          <w:szCs w:val="17"/>
        </w:rPr>
      </w:pPr>
      <w:r w:rsidRPr="00D67069">
        <w:rPr>
          <w:rFonts w:eastAsia="Times New Roman"/>
          <w:szCs w:val="17"/>
        </w:rPr>
        <w:t>1.9.</w:t>
      </w:r>
      <w:r w:rsidRPr="00D67069">
        <w:rPr>
          <w:rFonts w:eastAsia="Times New Roman"/>
          <w:szCs w:val="17"/>
        </w:rPr>
        <w:tab/>
        <w:t>Walkley Heights Reserve, Creekview Dr, Walkley Heights;</w:t>
      </w:r>
    </w:p>
    <w:p w14:paraId="5AE69DB6" w14:textId="77777777" w:rsidR="00D67069" w:rsidRPr="00D67069" w:rsidRDefault="00D67069" w:rsidP="00D67069">
      <w:pPr>
        <w:ind w:left="284" w:hanging="284"/>
        <w:rPr>
          <w:rFonts w:eastAsia="Times New Roman"/>
          <w:szCs w:val="17"/>
        </w:rPr>
      </w:pPr>
      <w:r w:rsidRPr="00D67069">
        <w:rPr>
          <w:rFonts w:eastAsia="Times New Roman"/>
          <w:szCs w:val="17"/>
        </w:rPr>
        <w:t>2.</w:t>
      </w:r>
      <w:r w:rsidRPr="00D67069">
        <w:rPr>
          <w:rFonts w:eastAsia="Times New Roman"/>
          <w:szCs w:val="17"/>
        </w:rPr>
        <w:tab/>
        <w:t>at its meeting on 9 August 2022, and pursuant to the power contained in Section 246(3)(e) of the Act, and for the purposes of Clause 10 of the By-law, the Council resolved that the following Local Government land or public places are ʻDog Prohibited Areasʼ:</w:t>
      </w:r>
    </w:p>
    <w:p w14:paraId="5C3D2522" w14:textId="77777777" w:rsidR="00D67069" w:rsidRPr="00D67069" w:rsidRDefault="00D67069" w:rsidP="00D67069">
      <w:pPr>
        <w:ind w:left="709" w:hanging="425"/>
        <w:rPr>
          <w:rFonts w:eastAsia="Times New Roman"/>
          <w:szCs w:val="17"/>
        </w:rPr>
      </w:pPr>
      <w:r w:rsidRPr="00D67069">
        <w:rPr>
          <w:rFonts w:eastAsia="Times New Roman"/>
          <w:szCs w:val="17"/>
        </w:rPr>
        <w:t>2.1.</w:t>
      </w:r>
      <w:r w:rsidRPr="00D67069">
        <w:rPr>
          <w:rFonts w:eastAsia="Times New Roman"/>
          <w:szCs w:val="17"/>
        </w:rPr>
        <w:tab/>
        <w:t>Barker Inlet Reserve, Salisbury Hwy, Wingfield</w:t>
      </w:r>
    </w:p>
    <w:p w14:paraId="30C67746" w14:textId="77777777" w:rsidR="00D67069" w:rsidRPr="00D67069" w:rsidRDefault="00D67069" w:rsidP="00D67069">
      <w:pPr>
        <w:ind w:left="709" w:hanging="425"/>
        <w:rPr>
          <w:rFonts w:eastAsia="Times New Roman"/>
          <w:szCs w:val="17"/>
        </w:rPr>
      </w:pPr>
      <w:r w:rsidRPr="00D67069">
        <w:rPr>
          <w:rFonts w:eastAsia="Times New Roman"/>
          <w:szCs w:val="17"/>
        </w:rPr>
        <w:t>2.2.</w:t>
      </w:r>
      <w:r w:rsidRPr="00D67069">
        <w:rPr>
          <w:rFonts w:eastAsia="Times New Roman"/>
          <w:szCs w:val="17"/>
        </w:rPr>
        <w:tab/>
        <w:t>Range Wetlands, Hanson Rd North, Wingfield</w:t>
      </w:r>
    </w:p>
    <w:p w14:paraId="48DA7DD0" w14:textId="77777777" w:rsidR="00D67069" w:rsidRPr="00D67069" w:rsidRDefault="00D67069" w:rsidP="00D67069">
      <w:pPr>
        <w:ind w:left="709" w:hanging="425"/>
        <w:rPr>
          <w:rFonts w:eastAsia="Times New Roman"/>
          <w:szCs w:val="17"/>
        </w:rPr>
      </w:pPr>
      <w:r w:rsidRPr="00D67069">
        <w:rPr>
          <w:rFonts w:eastAsia="Times New Roman"/>
          <w:szCs w:val="17"/>
        </w:rPr>
        <w:t>2.3.</w:t>
      </w:r>
      <w:r w:rsidRPr="00D67069">
        <w:rPr>
          <w:rFonts w:eastAsia="Times New Roman"/>
          <w:szCs w:val="17"/>
        </w:rPr>
        <w:tab/>
        <w:t>Magazine Creek Wetlands, Whicker Rd, Gillman</w:t>
      </w:r>
    </w:p>
    <w:p w14:paraId="0119760C" w14:textId="77777777" w:rsidR="00D67069" w:rsidRPr="00D67069" w:rsidRDefault="00D67069" w:rsidP="00D67069">
      <w:pPr>
        <w:ind w:left="709" w:hanging="425"/>
        <w:rPr>
          <w:rFonts w:eastAsia="Times New Roman"/>
          <w:szCs w:val="17"/>
        </w:rPr>
      </w:pPr>
      <w:r w:rsidRPr="00D67069">
        <w:rPr>
          <w:rFonts w:eastAsia="Times New Roman"/>
          <w:szCs w:val="17"/>
        </w:rPr>
        <w:t>2.4.</w:t>
      </w:r>
      <w:r w:rsidRPr="00D67069">
        <w:rPr>
          <w:rFonts w:eastAsia="Times New Roman"/>
          <w:szCs w:val="17"/>
        </w:rPr>
        <w:tab/>
        <w:t>Folland Park, Turnbull Rd, Enfield</w:t>
      </w:r>
    </w:p>
    <w:p w14:paraId="48D269E6" w14:textId="77777777" w:rsidR="00D67069" w:rsidRPr="00D67069" w:rsidRDefault="00D67069" w:rsidP="00D67069">
      <w:pPr>
        <w:ind w:left="709" w:hanging="425"/>
        <w:rPr>
          <w:rFonts w:eastAsia="Times New Roman"/>
          <w:szCs w:val="17"/>
        </w:rPr>
      </w:pPr>
      <w:r w:rsidRPr="00D67069">
        <w:rPr>
          <w:rFonts w:eastAsia="Times New Roman"/>
          <w:szCs w:val="17"/>
        </w:rPr>
        <w:t>2.5.</w:t>
      </w:r>
      <w:r w:rsidRPr="00D67069">
        <w:rPr>
          <w:rFonts w:eastAsia="Times New Roman"/>
          <w:szCs w:val="17"/>
        </w:rPr>
        <w:tab/>
        <w:t>The portion of TK Shutter Reserve Klemzig, Fourth Ave, Klemzig as identified in the applicable plan</w:t>
      </w:r>
    </w:p>
    <w:p w14:paraId="4B357798" w14:textId="77777777" w:rsidR="00D67069" w:rsidRPr="00D67069" w:rsidRDefault="00D67069" w:rsidP="00D67069">
      <w:pPr>
        <w:ind w:left="709" w:hanging="425"/>
        <w:rPr>
          <w:rFonts w:eastAsia="Times New Roman"/>
          <w:szCs w:val="17"/>
        </w:rPr>
      </w:pPr>
      <w:r w:rsidRPr="00D67069">
        <w:rPr>
          <w:rFonts w:eastAsia="Times New Roman"/>
          <w:szCs w:val="17"/>
        </w:rPr>
        <w:t>2.6.</w:t>
      </w:r>
      <w:r w:rsidRPr="00D67069">
        <w:rPr>
          <w:rFonts w:eastAsia="Times New Roman"/>
          <w:szCs w:val="17"/>
        </w:rPr>
        <w:tab/>
        <w:t>The portion of Regency Park Oval, South Rd, Regency Park on which is located or installed an artificial playing surface designed for playing sport and as identified in the applicable plan;</w:t>
      </w:r>
    </w:p>
    <w:p w14:paraId="5D39DBC2" w14:textId="77777777" w:rsidR="00D67069" w:rsidRPr="00D67069" w:rsidRDefault="00D67069" w:rsidP="00D67069">
      <w:pPr>
        <w:ind w:left="284" w:hanging="284"/>
        <w:rPr>
          <w:rFonts w:eastAsia="Times New Roman"/>
          <w:szCs w:val="17"/>
        </w:rPr>
      </w:pPr>
      <w:r w:rsidRPr="00D67069">
        <w:rPr>
          <w:rFonts w:eastAsia="Times New Roman"/>
          <w:szCs w:val="17"/>
        </w:rPr>
        <w:t>3.</w:t>
      </w:r>
      <w:r w:rsidRPr="00D67069">
        <w:rPr>
          <w:rFonts w:eastAsia="Times New Roman"/>
          <w:szCs w:val="17"/>
        </w:rPr>
        <w:tab/>
      </w:r>
      <w:r w:rsidRPr="00D67069">
        <w:rPr>
          <w:rFonts w:eastAsia="Times New Roman"/>
          <w:spacing w:val="-4"/>
          <w:szCs w:val="17"/>
        </w:rPr>
        <w:t>at its meeting on 11 April 2023, the Council, in accordance with Section 246(3)(e) of the Act, resolved to apply Clause 10 of the By-law to</w:t>
      </w:r>
      <w:r w:rsidRPr="00D67069">
        <w:rPr>
          <w:rFonts w:eastAsia="Times New Roman"/>
          <w:szCs w:val="17"/>
        </w:rPr>
        <w:t xml:space="preserve"> all </w:t>
      </w:r>
      <w:r w:rsidRPr="00D67069">
        <w:rPr>
          <w:rFonts w:eastAsia="Times New Roman"/>
          <w:spacing w:val="-4"/>
          <w:szCs w:val="17"/>
        </w:rPr>
        <w:t>children’s playgrounds (as that term is defined in Clause 6.4 of the By-law) that are located on Local Government land or on a public place</w:t>
      </w:r>
      <w:r w:rsidRPr="00D67069">
        <w:rPr>
          <w:rFonts w:eastAsia="Times New Roman"/>
          <w:szCs w:val="17"/>
        </w:rPr>
        <w:t>, with the effect that these children’s playgrounds are ‘Dog Prohibited Areas’;</w:t>
      </w:r>
    </w:p>
    <w:p w14:paraId="0FB07DA4" w14:textId="77777777" w:rsidR="00D67069" w:rsidRPr="00D67069" w:rsidRDefault="00D67069" w:rsidP="00D67069">
      <w:pPr>
        <w:ind w:left="284" w:hanging="284"/>
        <w:rPr>
          <w:rFonts w:eastAsia="Times New Roman"/>
          <w:szCs w:val="17"/>
        </w:rPr>
      </w:pPr>
      <w:r w:rsidRPr="00D67069">
        <w:rPr>
          <w:rFonts w:eastAsia="Times New Roman"/>
          <w:szCs w:val="17"/>
        </w:rPr>
        <w:t>4.</w:t>
      </w:r>
      <w:r w:rsidRPr="00D67069">
        <w:rPr>
          <w:rFonts w:eastAsia="Times New Roman"/>
          <w:szCs w:val="17"/>
        </w:rPr>
        <w:tab/>
      </w:r>
      <w:r w:rsidRPr="00D67069">
        <w:rPr>
          <w:rFonts w:eastAsia="Times New Roman"/>
          <w:spacing w:val="-4"/>
          <w:szCs w:val="17"/>
        </w:rPr>
        <w:t>at its meeting on 13 February 2024, the Council, in accordance with Section 246(3)(e) of the Act, resolved that Clause 9.1.1 of the By-law</w:t>
      </w:r>
      <w:r w:rsidRPr="00D67069">
        <w:rPr>
          <w:rFonts w:eastAsia="Times New Roman"/>
          <w:szCs w:val="17"/>
        </w:rPr>
        <w:t xml:space="preserve"> applies to all foreshore areas between the hours of 10:00am and 8:00pm on any day during the period of daylight savings so that dogs are required to be on-leash in these areas during these times, and as identified in the applicable plan;</w:t>
      </w:r>
    </w:p>
    <w:p w14:paraId="00D0C018" w14:textId="55128A9A" w:rsidR="003274D3" w:rsidRDefault="00D67069" w:rsidP="00D67069">
      <w:pPr>
        <w:ind w:left="284" w:hanging="284"/>
        <w:rPr>
          <w:rFonts w:eastAsia="Times New Roman"/>
          <w:szCs w:val="17"/>
        </w:rPr>
      </w:pPr>
      <w:r w:rsidRPr="00D67069">
        <w:rPr>
          <w:rFonts w:eastAsia="Times New Roman"/>
          <w:szCs w:val="17"/>
        </w:rPr>
        <w:t>5.</w:t>
      </w:r>
      <w:r w:rsidRPr="00D67069">
        <w:rPr>
          <w:rFonts w:eastAsia="Times New Roman"/>
          <w:szCs w:val="17"/>
        </w:rPr>
        <w:tab/>
      </w:r>
      <w:r w:rsidRPr="00D67069">
        <w:rPr>
          <w:rFonts w:eastAsia="Times New Roman"/>
          <w:spacing w:val="-4"/>
          <w:szCs w:val="17"/>
        </w:rPr>
        <w:t>at its meeting on 11 February 2025, the Council, in accordance with Section 246(3)(e) of the Act, resolved that Clause 9.1 of the By-law</w:t>
      </w:r>
      <w:r w:rsidRPr="00D67069">
        <w:rPr>
          <w:rFonts w:eastAsia="Times New Roman"/>
          <w:szCs w:val="17"/>
        </w:rPr>
        <w:t xml:space="preserve"> </w:t>
      </w:r>
      <w:r w:rsidRPr="00D67069">
        <w:rPr>
          <w:rFonts w:eastAsia="Times New Roman"/>
          <w:spacing w:val="2"/>
          <w:szCs w:val="17"/>
        </w:rPr>
        <w:t xml:space="preserve">applies to Dingley Dell Reserve on the Corner of Angwin Avenue and Athol Avenue, Blair Athol, with effect from 1 April 2025 </w:t>
      </w:r>
      <w:r w:rsidRPr="00D67069">
        <w:rPr>
          <w:rFonts w:eastAsia="Times New Roman"/>
          <w:szCs w:val="17"/>
        </w:rPr>
        <w:t>so that it is a ‘Dog On-Leash Area’ at all times; and</w:t>
      </w:r>
    </w:p>
    <w:p w14:paraId="435C2C08" w14:textId="77777777" w:rsidR="003274D3" w:rsidRDefault="003274D3">
      <w:pPr>
        <w:spacing w:after="0" w:line="240" w:lineRule="auto"/>
        <w:jc w:val="left"/>
        <w:rPr>
          <w:rFonts w:eastAsia="Times New Roman"/>
          <w:szCs w:val="17"/>
        </w:rPr>
      </w:pPr>
      <w:r>
        <w:rPr>
          <w:rFonts w:eastAsia="Times New Roman"/>
          <w:szCs w:val="17"/>
        </w:rPr>
        <w:br w:type="page"/>
      </w:r>
    </w:p>
    <w:p w14:paraId="6365FF15" w14:textId="77777777" w:rsidR="00D67069" w:rsidRPr="00D67069" w:rsidRDefault="00D67069" w:rsidP="00D67069">
      <w:pPr>
        <w:ind w:left="284" w:hanging="284"/>
        <w:rPr>
          <w:rFonts w:eastAsia="Times New Roman"/>
          <w:szCs w:val="17"/>
        </w:rPr>
      </w:pPr>
      <w:r w:rsidRPr="00D67069">
        <w:rPr>
          <w:rFonts w:eastAsia="Times New Roman"/>
          <w:szCs w:val="17"/>
        </w:rPr>
        <w:lastRenderedPageBreak/>
        <w:t>6.</w:t>
      </w:r>
      <w:r w:rsidRPr="00D67069">
        <w:rPr>
          <w:rFonts w:eastAsia="Times New Roman"/>
          <w:szCs w:val="17"/>
        </w:rPr>
        <w:tab/>
        <w:t xml:space="preserve">at its meeting on 8 April 2025, the Council, in accordance with Section 246(3)(e) of the Act, resolved that Clause 9.1 of the By-law applies to Yitpi Yartapuultiku at 1300 Old Port Road, Port Adelaide, so that it is a ‘Dog On-Leash Area’ at all times. Further details of the land subject of the above resolutions and the applicable plans showing the locations of the land are available for inspection on the Council’s website at </w:t>
      </w:r>
      <w:hyperlink r:id="rId313" w:history="1">
        <w:r w:rsidRPr="00D67069">
          <w:rPr>
            <w:rFonts w:eastAsia="Times New Roman"/>
            <w:color w:val="0000FF"/>
            <w:szCs w:val="17"/>
            <w:u w:val="single"/>
          </w:rPr>
          <w:t>https://www.cityofpae.sa.gov.au/</w:t>
        </w:r>
      </w:hyperlink>
    </w:p>
    <w:p w14:paraId="5AF7A278" w14:textId="77777777" w:rsidR="00D67069" w:rsidRPr="00D67069" w:rsidRDefault="00D67069" w:rsidP="00D67069">
      <w:pPr>
        <w:ind w:left="284" w:hanging="284"/>
        <w:rPr>
          <w:rFonts w:eastAsia="Times New Roman"/>
          <w:szCs w:val="17"/>
        </w:rPr>
      </w:pPr>
      <w:r w:rsidRPr="00D67069">
        <w:rPr>
          <w:rFonts w:eastAsia="Times New Roman"/>
          <w:szCs w:val="17"/>
        </w:rPr>
        <w:t>Dated: 14 August 2025</w:t>
      </w:r>
    </w:p>
    <w:p w14:paraId="6920B2BA"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Mark Withers</w:t>
      </w:r>
    </w:p>
    <w:p w14:paraId="2675814F" w14:textId="77777777" w:rsidR="00D67069" w:rsidRDefault="00D67069" w:rsidP="00D67069">
      <w:pPr>
        <w:spacing w:after="0"/>
        <w:jc w:val="right"/>
        <w:rPr>
          <w:rFonts w:eastAsia="Times New Roman"/>
          <w:szCs w:val="17"/>
        </w:rPr>
      </w:pPr>
      <w:r w:rsidRPr="00D67069">
        <w:rPr>
          <w:rFonts w:eastAsia="Times New Roman"/>
          <w:szCs w:val="17"/>
        </w:rPr>
        <w:t>Chief Executive Officer</w:t>
      </w:r>
    </w:p>
    <w:p w14:paraId="3012DC49" w14:textId="77777777" w:rsidR="00D67069" w:rsidRDefault="00D67069" w:rsidP="00D67069">
      <w:pPr>
        <w:pBdr>
          <w:bottom w:val="single" w:sz="4" w:space="1" w:color="auto"/>
        </w:pBdr>
        <w:spacing w:after="0" w:line="52" w:lineRule="exact"/>
        <w:jc w:val="center"/>
        <w:rPr>
          <w:rFonts w:eastAsia="Times New Roman"/>
          <w:szCs w:val="17"/>
        </w:rPr>
      </w:pPr>
    </w:p>
    <w:p w14:paraId="465B029B" w14:textId="77777777" w:rsidR="00D67069" w:rsidRDefault="00D67069" w:rsidP="00D67069">
      <w:pPr>
        <w:pBdr>
          <w:top w:val="single" w:sz="4" w:space="1" w:color="auto"/>
        </w:pBdr>
        <w:spacing w:before="34" w:after="0" w:line="14" w:lineRule="exact"/>
        <w:jc w:val="center"/>
        <w:rPr>
          <w:rFonts w:eastAsia="Times New Roman"/>
          <w:szCs w:val="17"/>
        </w:rPr>
      </w:pPr>
    </w:p>
    <w:p w14:paraId="40C91A4F" w14:textId="77777777" w:rsidR="00D67069" w:rsidRPr="00D67069" w:rsidRDefault="00D67069" w:rsidP="003274D3">
      <w:pPr>
        <w:pStyle w:val="NoSpacing"/>
      </w:pPr>
    </w:p>
    <w:p w14:paraId="28E2D602" w14:textId="7F0BE305" w:rsidR="00D67069" w:rsidRPr="00D67069" w:rsidRDefault="00227537" w:rsidP="00E34B09">
      <w:pPr>
        <w:pStyle w:val="Heading2"/>
      </w:pPr>
      <w:bookmarkStart w:id="525" w:name="_Toc206061780"/>
      <w:r w:rsidRPr="00D67069">
        <w:t xml:space="preserve">Town </w:t>
      </w:r>
      <w:r>
        <w:t>o</w:t>
      </w:r>
      <w:r w:rsidRPr="00D67069">
        <w:t>f Gawler</w:t>
      </w:r>
      <w:bookmarkEnd w:id="525"/>
      <w:r w:rsidRPr="00D67069">
        <w:t xml:space="preserve"> </w:t>
      </w:r>
    </w:p>
    <w:p w14:paraId="2138D030" w14:textId="77777777" w:rsidR="00D67069" w:rsidRPr="00D67069" w:rsidRDefault="00D67069" w:rsidP="00D67069">
      <w:pPr>
        <w:jc w:val="center"/>
        <w:rPr>
          <w:smallCaps/>
          <w:szCs w:val="17"/>
        </w:rPr>
      </w:pPr>
      <w:r w:rsidRPr="00D67069">
        <w:rPr>
          <w:smallCaps/>
          <w:szCs w:val="17"/>
        </w:rPr>
        <w:t>Local Government (Elections) Act 1999</w:t>
      </w:r>
    </w:p>
    <w:p w14:paraId="1B978387" w14:textId="77777777" w:rsidR="00D67069" w:rsidRPr="00D67069" w:rsidRDefault="00D67069" w:rsidP="00D67069">
      <w:pPr>
        <w:jc w:val="center"/>
        <w:rPr>
          <w:i/>
          <w:szCs w:val="17"/>
        </w:rPr>
      </w:pPr>
      <w:r w:rsidRPr="00D67069">
        <w:rPr>
          <w:i/>
          <w:szCs w:val="17"/>
        </w:rPr>
        <w:t>Supplementary Election—Nominations Received</w:t>
      </w:r>
    </w:p>
    <w:p w14:paraId="1E9D8D77" w14:textId="77777777" w:rsidR="00D67069" w:rsidRPr="00D67069" w:rsidRDefault="00D67069" w:rsidP="00D67069">
      <w:pPr>
        <w:rPr>
          <w:rFonts w:eastAsia="Times New Roman"/>
          <w:szCs w:val="17"/>
        </w:rPr>
      </w:pPr>
      <w:r w:rsidRPr="00D67069">
        <w:rPr>
          <w:rFonts w:eastAsia="Times New Roman"/>
          <w:szCs w:val="17"/>
        </w:rPr>
        <w:t>At the close of nominations at 12 noon on Thursday, 7 August 2025, the following people have been accepted as candidates and are listed below in the order in which they will appear on the ballot paper.</w:t>
      </w:r>
    </w:p>
    <w:p w14:paraId="1D48C348" w14:textId="77777777" w:rsidR="00D67069" w:rsidRPr="00D67069" w:rsidRDefault="00D67069" w:rsidP="00D67069">
      <w:pPr>
        <w:rPr>
          <w:rFonts w:eastAsia="Times New Roman"/>
          <w:b/>
          <w:bCs/>
          <w:szCs w:val="17"/>
        </w:rPr>
      </w:pPr>
      <w:r w:rsidRPr="00D67069">
        <w:rPr>
          <w:rFonts w:eastAsia="Times New Roman"/>
          <w:b/>
          <w:bCs/>
          <w:szCs w:val="17"/>
        </w:rPr>
        <w:t>Mayor—1 Vacancy</w:t>
      </w:r>
    </w:p>
    <w:p w14:paraId="0B786BB7" w14:textId="77777777" w:rsidR="00D67069" w:rsidRPr="00D67069" w:rsidRDefault="00D67069" w:rsidP="00D67069">
      <w:pPr>
        <w:spacing w:after="40"/>
        <w:ind w:left="142"/>
        <w:rPr>
          <w:rFonts w:eastAsia="Times New Roman"/>
          <w:szCs w:val="17"/>
        </w:rPr>
      </w:pPr>
      <w:r w:rsidRPr="00D67069">
        <w:rPr>
          <w:rFonts w:eastAsia="Times New Roman"/>
          <w:szCs w:val="17"/>
        </w:rPr>
        <w:t xml:space="preserve">SHANKS, Nathan </w:t>
      </w:r>
    </w:p>
    <w:p w14:paraId="25C8F4B1" w14:textId="77777777" w:rsidR="00D67069" w:rsidRPr="00D67069" w:rsidRDefault="00D67069" w:rsidP="00D67069">
      <w:pPr>
        <w:spacing w:after="40"/>
        <w:ind w:left="142"/>
        <w:rPr>
          <w:rFonts w:eastAsia="Times New Roman"/>
          <w:szCs w:val="17"/>
        </w:rPr>
      </w:pPr>
      <w:r w:rsidRPr="00D67069">
        <w:rPr>
          <w:rFonts w:eastAsia="Times New Roman"/>
          <w:szCs w:val="17"/>
        </w:rPr>
        <w:t xml:space="preserve">DAVIES, Cody </w:t>
      </w:r>
    </w:p>
    <w:p w14:paraId="29600065" w14:textId="77777777" w:rsidR="00D67069" w:rsidRPr="00D67069" w:rsidRDefault="00D67069" w:rsidP="00D67069">
      <w:pPr>
        <w:ind w:left="142"/>
        <w:rPr>
          <w:rFonts w:eastAsia="Times New Roman"/>
          <w:szCs w:val="17"/>
        </w:rPr>
      </w:pPr>
      <w:r w:rsidRPr="00D67069">
        <w:rPr>
          <w:rFonts w:eastAsia="Times New Roman"/>
          <w:szCs w:val="17"/>
        </w:rPr>
        <w:t xml:space="preserve">LITTLE, Paul Robert </w:t>
      </w:r>
    </w:p>
    <w:p w14:paraId="62FBF137" w14:textId="77777777" w:rsidR="00D67069" w:rsidRPr="00D67069" w:rsidRDefault="00D67069" w:rsidP="00D67069">
      <w:pPr>
        <w:rPr>
          <w:rFonts w:eastAsia="Times New Roman"/>
          <w:b/>
          <w:bCs/>
          <w:szCs w:val="17"/>
        </w:rPr>
      </w:pPr>
      <w:r w:rsidRPr="00D67069">
        <w:rPr>
          <w:rFonts w:eastAsia="Times New Roman"/>
          <w:b/>
          <w:bCs/>
          <w:szCs w:val="17"/>
        </w:rPr>
        <w:t>Campaign Disclosure Returns</w:t>
      </w:r>
    </w:p>
    <w:p w14:paraId="7661B29A" w14:textId="77777777" w:rsidR="00D67069" w:rsidRPr="00D67069" w:rsidRDefault="00D67069" w:rsidP="00D67069">
      <w:pPr>
        <w:ind w:left="142"/>
        <w:rPr>
          <w:rFonts w:eastAsia="Times New Roman"/>
          <w:szCs w:val="17"/>
        </w:rPr>
      </w:pPr>
      <w:r w:rsidRPr="00D67069">
        <w:rPr>
          <w:rFonts w:eastAsia="Times New Roman"/>
          <w:szCs w:val="17"/>
        </w:rPr>
        <w:t>Candidates must lodge the following returns with the Electoral Commissioner:</w:t>
      </w:r>
    </w:p>
    <w:p w14:paraId="1D0DC62B"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Campaign donation return</w:t>
      </w:r>
    </w:p>
    <w:p w14:paraId="34781BCA"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Return no. 1—lodgement from Friday, 15 August to Thursday, 21 August 2025</w:t>
      </w:r>
    </w:p>
    <w:p w14:paraId="7ECEE8C0"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Return no. 2—within 30 days of the conclusion of the election</w:t>
      </w:r>
    </w:p>
    <w:p w14:paraId="62C3FBD1"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Large gift return</w:t>
      </w:r>
    </w:p>
    <w:p w14:paraId="13A07AB0"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Return lodgement within 5 days after receipt, only required for gifts in excess of $2,500</w:t>
      </w:r>
    </w:p>
    <w:p w14:paraId="0E8F6BC9" w14:textId="77777777" w:rsidR="00D67069" w:rsidRPr="00D67069" w:rsidRDefault="00D67069" w:rsidP="00D67069">
      <w:pPr>
        <w:ind w:left="142"/>
        <w:rPr>
          <w:rFonts w:eastAsia="Times New Roman"/>
          <w:szCs w:val="17"/>
        </w:rPr>
      </w:pPr>
      <w:r w:rsidRPr="00D67069">
        <w:rPr>
          <w:rFonts w:eastAsia="Times New Roman"/>
          <w:szCs w:val="17"/>
        </w:rPr>
        <w:t xml:space="preserve">Detailed information about candidate disclosure return requirements can be found at </w:t>
      </w:r>
      <w:hyperlink r:id="rId314" w:history="1">
        <w:r w:rsidRPr="00D67069">
          <w:rPr>
            <w:rFonts w:eastAsia="Times New Roman"/>
            <w:color w:val="0000FF"/>
            <w:szCs w:val="17"/>
            <w:u w:val="single"/>
          </w:rPr>
          <w:t>https://www.ecsa.sa.gov.au</w:t>
        </w:r>
      </w:hyperlink>
      <w:r w:rsidRPr="00D67069">
        <w:rPr>
          <w:rFonts w:eastAsia="Times New Roman"/>
          <w:szCs w:val="17"/>
        </w:rPr>
        <w:t>.</w:t>
      </w:r>
    </w:p>
    <w:p w14:paraId="2F26BA30" w14:textId="77777777" w:rsidR="00D67069" w:rsidRPr="00D67069" w:rsidRDefault="00D67069" w:rsidP="00D67069">
      <w:pPr>
        <w:rPr>
          <w:rFonts w:eastAsia="Times New Roman"/>
          <w:b/>
          <w:bCs/>
          <w:szCs w:val="17"/>
        </w:rPr>
      </w:pPr>
      <w:r w:rsidRPr="00D67069">
        <w:rPr>
          <w:rFonts w:eastAsia="Times New Roman"/>
          <w:b/>
          <w:bCs/>
          <w:szCs w:val="17"/>
        </w:rPr>
        <w:t>Voting Conducted by Post</w:t>
      </w:r>
    </w:p>
    <w:p w14:paraId="7BC197CE" w14:textId="77777777" w:rsidR="00D67069" w:rsidRPr="00D67069" w:rsidRDefault="00D67069" w:rsidP="00D67069">
      <w:pPr>
        <w:ind w:left="142"/>
        <w:rPr>
          <w:rFonts w:eastAsia="Times New Roman"/>
          <w:szCs w:val="17"/>
        </w:rPr>
      </w:pPr>
      <w:r w:rsidRPr="00D67069">
        <w:rPr>
          <w:rFonts w:eastAsia="Times New Roman"/>
          <w:szCs w:val="17"/>
        </w:rPr>
        <w:t>The election is conducted entirely by post and no polling booths will be open for voting. Ballot papers and reply-paid envelopes are mailed out between Tuesday, 26 August and Monday, 1 September 2025 to every person, body corporate and group listed on the voters roll at the close of rolls on 5pm, Monday, 30 June 2025. Voting is voluntary.</w:t>
      </w:r>
    </w:p>
    <w:p w14:paraId="4CE9A7E8" w14:textId="77777777" w:rsidR="00D67069" w:rsidRPr="00D67069" w:rsidRDefault="00D67069" w:rsidP="00D67069">
      <w:pPr>
        <w:ind w:left="142"/>
        <w:rPr>
          <w:rFonts w:eastAsia="Times New Roman"/>
          <w:szCs w:val="17"/>
        </w:rPr>
      </w:pPr>
      <w:r w:rsidRPr="00D67069">
        <w:rPr>
          <w:rFonts w:eastAsia="Times New Roman"/>
          <w:szCs w:val="17"/>
        </w:rPr>
        <w:t>A person who has not received voting material by Thursday, 4 September 2025, and believes they are entitled to vote, should contact the deputy returning officer on 1300 655 232 before 5pm, Monday, 15 September 2025.</w:t>
      </w:r>
    </w:p>
    <w:p w14:paraId="3ADB42AD" w14:textId="77777777" w:rsidR="00D67069" w:rsidRPr="00D67069" w:rsidRDefault="00D67069" w:rsidP="00D67069">
      <w:pPr>
        <w:ind w:left="142"/>
        <w:rPr>
          <w:rFonts w:eastAsia="Times New Roman"/>
          <w:szCs w:val="17"/>
        </w:rPr>
      </w:pPr>
      <w:r w:rsidRPr="00D67069">
        <w:rPr>
          <w:rFonts w:eastAsia="Times New Roman"/>
          <w:szCs w:val="17"/>
        </w:rPr>
        <w:t>Completed voting material must be sent to reach the returning officer no later than 12 noon on polling day Monday, 22 September 2025.</w:t>
      </w:r>
    </w:p>
    <w:p w14:paraId="0899C70F" w14:textId="77777777" w:rsidR="00D67069" w:rsidRPr="00D67069" w:rsidRDefault="00D67069" w:rsidP="00D67069">
      <w:pPr>
        <w:rPr>
          <w:rFonts w:eastAsia="Times New Roman"/>
          <w:b/>
          <w:bCs/>
          <w:szCs w:val="17"/>
        </w:rPr>
      </w:pPr>
      <w:r w:rsidRPr="00D67069">
        <w:rPr>
          <w:rFonts w:eastAsia="Times New Roman"/>
          <w:b/>
          <w:bCs/>
          <w:szCs w:val="17"/>
        </w:rPr>
        <w:t>Assisted Voting</w:t>
      </w:r>
    </w:p>
    <w:p w14:paraId="0E76469F" w14:textId="77777777" w:rsidR="00D67069" w:rsidRPr="00D67069" w:rsidRDefault="00D67069" w:rsidP="00D67069">
      <w:pPr>
        <w:ind w:left="142"/>
        <w:rPr>
          <w:rFonts w:eastAsia="Times New Roman"/>
          <w:szCs w:val="17"/>
        </w:rPr>
      </w:pPr>
      <w:r w:rsidRPr="00D67069">
        <w:rPr>
          <w:rFonts w:eastAsia="Times New Roman"/>
          <w:szCs w:val="17"/>
        </w:rPr>
        <w:t xml:space="preserve">Prescribed electors under Section 41A(8) of the </w:t>
      </w:r>
      <w:r w:rsidRPr="00D67069">
        <w:rPr>
          <w:rFonts w:eastAsia="Times New Roman"/>
          <w:i/>
          <w:iCs/>
          <w:szCs w:val="17"/>
        </w:rPr>
        <w:t>Local Government (Elections) Act 1999</w:t>
      </w:r>
      <w:r w:rsidRPr="00D67069">
        <w:rPr>
          <w:rFonts w:eastAsia="Times New Roman"/>
          <w:szCs w:val="17"/>
        </w:rPr>
        <w:t>, may vote via the telephone assisted voting method by calling the Electoral Commission SA on:</w:t>
      </w:r>
    </w:p>
    <w:p w14:paraId="6A7FEFC4"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1300 655 232 within South Australia only</w:t>
      </w:r>
    </w:p>
    <w:p w14:paraId="491E2046"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08 7424 7400 from interstate</w:t>
      </w:r>
    </w:p>
    <w:p w14:paraId="23C8F0C1"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+61 8 7424 7400 from overseas</w:t>
      </w:r>
    </w:p>
    <w:p w14:paraId="6EC8CEFD" w14:textId="77777777" w:rsidR="00D67069" w:rsidRPr="00D67069" w:rsidRDefault="00D67069" w:rsidP="00D67069">
      <w:pPr>
        <w:ind w:left="142"/>
        <w:rPr>
          <w:rFonts w:eastAsia="Times New Roman"/>
          <w:szCs w:val="17"/>
        </w:rPr>
      </w:pPr>
      <w:r w:rsidRPr="00D67069">
        <w:rPr>
          <w:rFonts w:eastAsia="Times New Roman"/>
          <w:szCs w:val="17"/>
        </w:rPr>
        <w:t>The Telephone Assisted Voting Centre will operate for the following times and days:</w:t>
      </w:r>
    </w:p>
    <w:p w14:paraId="28B9A690"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9am-5pm, Thursday, 18 September and Friday, 19 September 2025</w:t>
      </w:r>
    </w:p>
    <w:p w14:paraId="7537B674"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9am-12 noon, Monday, 22 September 2025 (close of voting)</w:t>
      </w:r>
    </w:p>
    <w:p w14:paraId="755F7FAA" w14:textId="77777777" w:rsidR="00D67069" w:rsidRPr="00D67069" w:rsidRDefault="00D67069" w:rsidP="00D67069">
      <w:pPr>
        <w:rPr>
          <w:rFonts w:eastAsia="Times New Roman"/>
          <w:b/>
          <w:bCs/>
          <w:szCs w:val="17"/>
        </w:rPr>
      </w:pPr>
      <w:r w:rsidRPr="00D67069">
        <w:rPr>
          <w:rFonts w:eastAsia="Times New Roman"/>
          <w:b/>
          <w:bCs/>
          <w:szCs w:val="17"/>
        </w:rPr>
        <w:t>Vote Counting Location</w:t>
      </w:r>
    </w:p>
    <w:p w14:paraId="6BB1A2F4" w14:textId="77777777" w:rsidR="00D67069" w:rsidRPr="00D67069" w:rsidRDefault="00D67069" w:rsidP="00D67069">
      <w:pPr>
        <w:ind w:left="142"/>
        <w:rPr>
          <w:rFonts w:eastAsia="Times New Roman"/>
          <w:szCs w:val="17"/>
        </w:rPr>
      </w:pPr>
      <w:r w:rsidRPr="00D67069">
        <w:rPr>
          <w:rFonts w:eastAsia="Times New Roman"/>
          <w:szCs w:val="17"/>
        </w:rPr>
        <w:t>The scrutiny and count will take place from 9:30am on Tuesday, 23 September 2025 at the following location:</w:t>
      </w:r>
    </w:p>
    <w:p w14:paraId="18C550C5"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Electoral Commission SA Central Processing Centre</w:t>
      </w:r>
    </w:p>
    <w:p w14:paraId="64B85F38" w14:textId="77777777" w:rsidR="00D67069" w:rsidRPr="00D67069" w:rsidRDefault="00D67069" w:rsidP="00D67069">
      <w:pPr>
        <w:ind w:left="567" w:hanging="142"/>
        <w:rPr>
          <w:rFonts w:eastAsia="Times New Roman"/>
          <w:szCs w:val="17"/>
        </w:rPr>
      </w:pPr>
      <w:r w:rsidRPr="00D67069">
        <w:rPr>
          <w:rFonts w:eastAsia="Times New Roman"/>
          <w:szCs w:val="17"/>
        </w:rPr>
        <w:t>◦</w:t>
      </w:r>
      <w:r w:rsidRPr="00D67069">
        <w:rPr>
          <w:rFonts w:eastAsia="Times New Roman"/>
          <w:szCs w:val="17"/>
        </w:rPr>
        <w:tab/>
        <w:t>7 Hudson Court, Netley 5037</w:t>
      </w:r>
    </w:p>
    <w:p w14:paraId="1029D664" w14:textId="77777777" w:rsidR="00D67069" w:rsidRPr="00D67069" w:rsidRDefault="00D67069" w:rsidP="00D67069">
      <w:pPr>
        <w:ind w:left="142"/>
        <w:rPr>
          <w:rFonts w:eastAsia="Times New Roman"/>
          <w:szCs w:val="17"/>
        </w:rPr>
      </w:pPr>
      <w:r w:rsidRPr="00D67069">
        <w:rPr>
          <w:rFonts w:eastAsia="Times New Roman"/>
          <w:szCs w:val="17"/>
        </w:rPr>
        <w:t>A provisional declaration will be made at the conclusion of the election count.</w:t>
      </w:r>
    </w:p>
    <w:p w14:paraId="30127526" w14:textId="77777777" w:rsidR="00D67069" w:rsidRPr="00D67069" w:rsidRDefault="00D67069" w:rsidP="00D67069">
      <w:pPr>
        <w:rPr>
          <w:rFonts w:eastAsia="Times New Roman"/>
          <w:szCs w:val="17"/>
        </w:rPr>
      </w:pPr>
      <w:r w:rsidRPr="00D67069">
        <w:rPr>
          <w:rFonts w:eastAsia="Times New Roman"/>
          <w:szCs w:val="17"/>
        </w:rPr>
        <w:t>Dated: 14 August 2025</w:t>
      </w:r>
    </w:p>
    <w:p w14:paraId="4F24FCD5"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Mick Sherry</w:t>
      </w:r>
    </w:p>
    <w:p w14:paraId="590462E6" w14:textId="77777777" w:rsidR="00D67069" w:rsidRDefault="00D67069" w:rsidP="00D67069">
      <w:pPr>
        <w:spacing w:after="0"/>
        <w:jc w:val="right"/>
        <w:rPr>
          <w:rFonts w:eastAsia="Times New Roman"/>
          <w:szCs w:val="17"/>
        </w:rPr>
      </w:pPr>
      <w:r w:rsidRPr="00D67069">
        <w:rPr>
          <w:rFonts w:eastAsia="Times New Roman"/>
          <w:szCs w:val="17"/>
        </w:rPr>
        <w:t>Returning Officer</w:t>
      </w:r>
    </w:p>
    <w:p w14:paraId="526FA9A0" w14:textId="77777777" w:rsidR="00D67069" w:rsidRDefault="00D67069" w:rsidP="00D67069">
      <w:pPr>
        <w:pBdr>
          <w:bottom w:val="single" w:sz="4" w:space="1" w:color="auto"/>
        </w:pBdr>
        <w:spacing w:after="0" w:line="52" w:lineRule="exact"/>
        <w:jc w:val="center"/>
        <w:rPr>
          <w:rFonts w:eastAsia="Times New Roman"/>
          <w:szCs w:val="17"/>
        </w:rPr>
      </w:pPr>
    </w:p>
    <w:p w14:paraId="30F03AE9" w14:textId="77777777" w:rsidR="00D67069" w:rsidRDefault="00D67069" w:rsidP="00D67069">
      <w:pPr>
        <w:pBdr>
          <w:top w:val="single" w:sz="4" w:space="1" w:color="auto"/>
        </w:pBdr>
        <w:spacing w:before="34" w:after="0" w:line="14" w:lineRule="exact"/>
        <w:jc w:val="center"/>
        <w:rPr>
          <w:rFonts w:eastAsia="Times New Roman"/>
          <w:szCs w:val="17"/>
        </w:rPr>
      </w:pPr>
    </w:p>
    <w:p w14:paraId="1DDC1D6C" w14:textId="1A0F5D29" w:rsidR="003274D3" w:rsidRDefault="003274D3">
      <w:pPr>
        <w:spacing w:after="0" w:line="240" w:lineRule="auto"/>
        <w:jc w:val="left"/>
      </w:pPr>
      <w:r>
        <w:br w:type="page"/>
      </w:r>
    </w:p>
    <w:p w14:paraId="52AFED2A" w14:textId="0BA2607B" w:rsidR="00D67069" w:rsidRPr="00D67069" w:rsidRDefault="00227537" w:rsidP="00E34B09">
      <w:pPr>
        <w:pStyle w:val="Heading2"/>
      </w:pPr>
      <w:bookmarkStart w:id="526" w:name="_Toc206061781"/>
      <w:r w:rsidRPr="00D67069">
        <w:lastRenderedPageBreak/>
        <w:t>Adelaide Hills Council</w:t>
      </w:r>
      <w:bookmarkEnd w:id="526"/>
    </w:p>
    <w:p w14:paraId="422A37BA" w14:textId="77777777" w:rsidR="00D67069" w:rsidRPr="00D67069" w:rsidRDefault="00D67069" w:rsidP="00D67069">
      <w:pPr>
        <w:jc w:val="center"/>
        <w:rPr>
          <w:smallCaps/>
          <w:szCs w:val="17"/>
        </w:rPr>
      </w:pPr>
      <w:r w:rsidRPr="00D67069">
        <w:rPr>
          <w:smallCaps/>
          <w:szCs w:val="17"/>
        </w:rPr>
        <w:t>Local Government (Elections) Act 1999</w:t>
      </w:r>
    </w:p>
    <w:p w14:paraId="68A8C1BF" w14:textId="77777777" w:rsidR="00D67069" w:rsidRPr="00D67069" w:rsidRDefault="00D67069" w:rsidP="00D67069">
      <w:pPr>
        <w:jc w:val="center"/>
        <w:rPr>
          <w:i/>
          <w:szCs w:val="17"/>
        </w:rPr>
      </w:pPr>
      <w:r w:rsidRPr="00D67069">
        <w:rPr>
          <w:i/>
          <w:szCs w:val="17"/>
        </w:rPr>
        <w:t>Supplementary Election—Nominations Received</w:t>
      </w:r>
    </w:p>
    <w:p w14:paraId="2D1D9ACC" w14:textId="77777777" w:rsidR="00D67069" w:rsidRPr="00D67069" w:rsidRDefault="00D67069" w:rsidP="00D67069">
      <w:r w:rsidRPr="00D67069">
        <w:t>At the close of nominations at 12 noon on Thursday, 7 August 2025, the following people have been accepted as candidates and are listed below in the order in which they will appear on the ballot paper.</w:t>
      </w:r>
    </w:p>
    <w:p w14:paraId="63C858DA" w14:textId="77777777" w:rsidR="00D67069" w:rsidRPr="00D67069" w:rsidRDefault="00D67069" w:rsidP="00D67069">
      <w:pPr>
        <w:spacing w:after="40"/>
        <w:rPr>
          <w:b/>
          <w:bCs/>
        </w:rPr>
      </w:pPr>
      <w:r w:rsidRPr="00D67069">
        <w:rPr>
          <w:b/>
          <w:bCs/>
        </w:rPr>
        <w:t>Ranges Ward—1 Vacancy</w:t>
      </w:r>
    </w:p>
    <w:p w14:paraId="18058DBF" w14:textId="77777777" w:rsidR="00D67069" w:rsidRPr="00D67069" w:rsidRDefault="00D67069" w:rsidP="00D67069">
      <w:pPr>
        <w:spacing w:after="40"/>
        <w:ind w:left="142"/>
      </w:pPr>
      <w:r w:rsidRPr="00D67069">
        <w:t>WOOLCOCK, Lisa Clare</w:t>
      </w:r>
    </w:p>
    <w:p w14:paraId="281B971A" w14:textId="77777777" w:rsidR="00D67069" w:rsidRPr="00D67069" w:rsidRDefault="00D67069" w:rsidP="00D67069">
      <w:pPr>
        <w:spacing w:after="40"/>
        <w:ind w:left="142"/>
      </w:pPr>
      <w:r w:rsidRPr="00D67069">
        <w:t>McDONNELL, Georgia</w:t>
      </w:r>
    </w:p>
    <w:p w14:paraId="45809B8F" w14:textId="77777777" w:rsidR="00D67069" w:rsidRPr="00D67069" w:rsidRDefault="00D67069" w:rsidP="00D67069">
      <w:pPr>
        <w:spacing w:after="40"/>
        <w:ind w:left="142"/>
      </w:pPr>
      <w:r w:rsidRPr="00D67069">
        <w:t>TRANTER, Jenn</w:t>
      </w:r>
    </w:p>
    <w:p w14:paraId="71DC91FD" w14:textId="77777777" w:rsidR="00D67069" w:rsidRPr="00D67069" w:rsidRDefault="00D67069" w:rsidP="00D67069">
      <w:pPr>
        <w:spacing w:after="40"/>
        <w:ind w:left="142"/>
      </w:pPr>
      <w:r w:rsidRPr="00D67069">
        <w:t>CUTHBERTSON, Mark</w:t>
      </w:r>
    </w:p>
    <w:p w14:paraId="35D99D55" w14:textId="77777777" w:rsidR="00D67069" w:rsidRPr="00D67069" w:rsidRDefault="00D67069" w:rsidP="00D67069">
      <w:pPr>
        <w:spacing w:after="40"/>
        <w:ind w:left="142"/>
      </w:pPr>
      <w:r w:rsidRPr="00D67069">
        <w:t>SADLER, James Grant</w:t>
      </w:r>
    </w:p>
    <w:p w14:paraId="78759A9F" w14:textId="77777777" w:rsidR="00D67069" w:rsidRPr="00D67069" w:rsidRDefault="00D67069" w:rsidP="00D67069">
      <w:pPr>
        <w:ind w:left="142"/>
      </w:pPr>
      <w:r w:rsidRPr="00D67069">
        <w:t>De’ATH, James</w:t>
      </w:r>
    </w:p>
    <w:p w14:paraId="52B9B04F" w14:textId="77777777" w:rsidR="00D67069" w:rsidRPr="00D67069" w:rsidRDefault="00D67069" w:rsidP="00D67069">
      <w:pPr>
        <w:rPr>
          <w:b/>
          <w:bCs/>
        </w:rPr>
      </w:pPr>
      <w:r w:rsidRPr="00D67069">
        <w:rPr>
          <w:b/>
          <w:bCs/>
        </w:rPr>
        <w:t>Valleys Ward—2 Vacancies</w:t>
      </w:r>
    </w:p>
    <w:p w14:paraId="38ADABEE" w14:textId="77777777" w:rsidR="00D67069" w:rsidRPr="00D67069" w:rsidRDefault="00D67069" w:rsidP="00D67069">
      <w:pPr>
        <w:spacing w:after="40"/>
        <w:ind w:left="142"/>
      </w:pPr>
      <w:r w:rsidRPr="00D67069">
        <w:t>ROBERTS, Scott</w:t>
      </w:r>
    </w:p>
    <w:p w14:paraId="79A98C25" w14:textId="77777777" w:rsidR="00D67069" w:rsidRPr="00D67069" w:rsidRDefault="00D67069" w:rsidP="00D67069">
      <w:pPr>
        <w:spacing w:after="40"/>
        <w:ind w:left="142"/>
      </w:pPr>
      <w:r w:rsidRPr="00D67069">
        <w:t>GLADIGAU, Richard</w:t>
      </w:r>
    </w:p>
    <w:p w14:paraId="78725A9A" w14:textId="77777777" w:rsidR="00D67069" w:rsidRPr="00D67069" w:rsidRDefault="00D67069" w:rsidP="00D67069">
      <w:pPr>
        <w:spacing w:after="40"/>
        <w:ind w:left="142"/>
      </w:pPr>
      <w:r w:rsidRPr="00D67069">
        <w:t>PENNO, Mell</w:t>
      </w:r>
    </w:p>
    <w:p w14:paraId="560ACD31" w14:textId="77777777" w:rsidR="00D67069" w:rsidRPr="00D67069" w:rsidRDefault="00D67069" w:rsidP="00D67069">
      <w:pPr>
        <w:spacing w:after="40"/>
        <w:ind w:left="142"/>
      </w:pPr>
      <w:r w:rsidRPr="00D67069">
        <w:t>TRESCOWTHICK, Alex</w:t>
      </w:r>
    </w:p>
    <w:p w14:paraId="776EA564" w14:textId="77777777" w:rsidR="00D67069" w:rsidRPr="00D67069" w:rsidRDefault="00D67069" w:rsidP="00D67069">
      <w:pPr>
        <w:spacing w:after="40"/>
        <w:ind w:left="142"/>
      </w:pPr>
      <w:r w:rsidRPr="00D67069">
        <w:t>STEINBECK, Matthew</w:t>
      </w:r>
    </w:p>
    <w:p w14:paraId="6ACBF04D" w14:textId="77777777" w:rsidR="00D67069" w:rsidRPr="00D67069" w:rsidRDefault="00D67069" w:rsidP="00D67069">
      <w:pPr>
        <w:ind w:left="142"/>
      </w:pPr>
      <w:r w:rsidRPr="00D67069">
        <w:t>BRAY, Martin</w:t>
      </w:r>
    </w:p>
    <w:p w14:paraId="2CCEA74B" w14:textId="77777777" w:rsidR="00D67069" w:rsidRPr="00D67069" w:rsidRDefault="00D67069" w:rsidP="00D67069">
      <w:pPr>
        <w:rPr>
          <w:b/>
          <w:bCs/>
        </w:rPr>
      </w:pPr>
      <w:r w:rsidRPr="00D67069">
        <w:rPr>
          <w:b/>
          <w:bCs/>
        </w:rPr>
        <w:t>Campaign Disclosure Returns</w:t>
      </w:r>
    </w:p>
    <w:p w14:paraId="0EF4C2B0" w14:textId="77777777" w:rsidR="00D67069" w:rsidRPr="00D67069" w:rsidRDefault="00D67069" w:rsidP="00D67069">
      <w:pPr>
        <w:ind w:left="142"/>
      </w:pPr>
      <w:r w:rsidRPr="00D67069">
        <w:t>Candidates must lodge the following returns with the Electoral Commissioner:</w:t>
      </w:r>
    </w:p>
    <w:p w14:paraId="5EDD96A1" w14:textId="77777777" w:rsidR="00D67069" w:rsidRPr="00D67069" w:rsidRDefault="00D67069" w:rsidP="00D67069">
      <w:pPr>
        <w:ind w:left="426" w:hanging="142"/>
      </w:pPr>
      <w:r w:rsidRPr="00D67069">
        <w:t>•</w:t>
      </w:r>
      <w:r w:rsidRPr="00D67069">
        <w:tab/>
        <w:t>Campaign donation return</w:t>
      </w:r>
    </w:p>
    <w:p w14:paraId="75E87D45" w14:textId="77777777" w:rsidR="00D67069" w:rsidRPr="00D67069" w:rsidRDefault="00D67069" w:rsidP="00D67069">
      <w:pPr>
        <w:ind w:left="426"/>
      </w:pPr>
      <w:r w:rsidRPr="00D67069">
        <w:t>◦</w:t>
      </w:r>
      <w:r w:rsidRPr="00D67069">
        <w:tab/>
        <w:t>Return no. 1—lodgement from Friday, 15 August to Thursday, 21 August 2025</w:t>
      </w:r>
    </w:p>
    <w:p w14:paraId="731AB7A6" w14:textId="77777777" w:rsidR="00D67069" w:rsidRPr="00D67069" w:rsidRDefault="00D67069" w:rsidP="00D67069">
      <w:pPr>
        <w:ind w:left="426"/>
      </w:pPr>
      <w:r w:rsidRPr="00D67069">
        <w:t>◦</w:t>
      </w:r>
      <w:r w:rsidRPr="00D67069">
        <w:tab/>
        <w:t>Return no. 2—within 30 days of the conclusion of the election</w:t>
      </w:r>
    </w:p>
    <w:p w14:paraId="6304579C" w14:textId="77777777" w:rsidR="00D67069" w:rsidRPr="00D67069" w:rsidRDefault="00D67069" w:rsidP="00D67069">
      <w:pPr>
        <w:ind w:left="426" w:hanging="142"/>
      </w:pPr>
      <w:r w:rsidRPr="00D67069">
        <w:t>•</w:t>
      </w:r>
      <w:r w:rsidRPr="00D67069">
        <w:tab/>
        <w:t>Large gift return</w:t>
      </w:r>
    </w:p>
    <w:p w14:paraId="38A1E2B3" w14:textId="77777777" w:rsidR="00D67069" w:rsidRPr="00D67069" w:rsidRDefault="00D67069" w:rsidP="00D67069">
      <w:pPr>
        <w:ind w:left="426"/>
      </w:pPr>
      <w:r w:rsidRPr="00D67069">
        <w:t>◦</w:t>
      </w:r>
      <w:r w:rsidRPr="00D67069">
        <w:tab/>
        <w:t>Return lodgement within 5 days after receipt, only required for gifts in excess of $2,500</w:t>
      </w:r>
    </w:p>
    <w:p w14:paraId="3582BD80" w14:textId="77777777" w:rsidR="00D67069" w:rsidRPr="00D67069" w:rsidRDefault="00D67069" w:rsidP="00D67069">
      <w:pPr>
        <w:ind w:left="142"/>
      </w:pPr>
      <w:r w:rsidRPr="00D67069">
        <w:t xml:space="preserve">Detailed information about candidate disclosure return requirements can be found at </w:t>
      </w:r>
      <w:hyperlink r:id="rId315" w:history="1">
        <w:r w:rsidRPr="00D67069">
          <w:rPr>
            <w:color w:val="0000FF"/>
            <w:u w:val="single"/>
          </w:rPr>
          <w:t>www.ecsa.sa.gov.au</w:t>
        </w:r>
      </w:hyperlink>
    </w:p>
    <w:p w14:paraId="73ACB47C" w14:textId="77777777" w:rsidR="00D67069" w:rsidRPr="00D67069" w:rsidRDefault="00D67069" w:rsidP="00D67069">
      <w:pPr>
        <w:rPr>
          <w:b/>
          <w:bCs/>
        </w:rPr>
      </w:pPr>
      <w:r w:rsidRPr="00D67069">
        <w:rPr>
          <w:b/>
          <w:bCs/>
        </w:rPr>
        <w:t>Voting Conducted by Post</w:t>
      </w:r>
    </w:p>
    <w:p w14:paraId="4394E2D9" w14:textId="77777777" w:rsidR="00D67069" w:rsidRPr="00D67069" w:rsidRDefault="00D67069" w:rsidP="00D67069">
      <w:pPr>
        <w:ind w:left="142"/>
      </w:pPr>
      <w:r w:rsidRPr="00D67069">
        <w:t>The elections are conducted entirely by post and no polling booths will be open for voting. Ballot papers and reply-paid envelopes are mailed out between Tuesday, 26 August and Monday, 1 September 2025 to every person, body corporate and group listed on each voters roll at the close of rolls on 5pm, Monday, 30 June. Voting is voluntary.</w:t>
      </w:r>
    </w:p>
    <w:p w14:paraId="41CF6497" w14:textId="77777777" w:rsidR="00D67069" w:rsidRPr="00D67069" w:rsidRDefault="00D67069" w:rsidP="00D67069">
      <w:pPr>
        <w:ind w:left="142"/>
      </w:pPr>
      <w:r w:rsidRPr="00D67069">
        <w:t>A person who has not received voting material by Thursday, 4 September 2025, and believes they are entitled to vote, should contact the deputy returning officer on 1300 655 232 before 5pm, Monday, 15 September 2025.</w:t>
      </w:r>
    </w:p>
    <w:p w14:paraId="4C52D2D1" w14:textId="77777777" w:rsidR="00D67069" w:rsidRPr="00D67069" w:rsidRDefault="00D67069" w:rsidP="00D67069">
      <w:pPr>
        <w:ind w:left="142"/>
      </w:pPr>
      <w:r w:rsidRPr="00D67069">
        <w:t>Completed voting material must be sent to reach the returning officer no later than 12 noon on polling day Monday, 22 September 2025.</w:t>
      </w:r>
    </w:p>
    <w:p w14:paraId="206E6D3A" w14:textId="77777777" w:rsidR="00D67069" w:rsidRPr="00D67069" w:rsidRDefault="00D67069" w:rsidP="00D67069">
      <w:pPr>
        <w:rPr>
          <w:b/>
          <w:bCs/>
        </w:rPr>
      </w:pPr>
      <w:r w:rsidRPr="00D67069">
        <w:rPr>
          <w:b/>
          <w:bCs/>
        </w:rPr>
        <w:t>Assisted Voting</w:t>
      </w:r>
    </w:p>
    <w:p w14:paraId="4761009E" w14:textId="77777777" w:rsidR="00D67069" w:rsidRPr="00D67069" w:rsidRDefault="00D67069" w:rsidP="00D67069">
      <w:pPr>
        <w:ind w:left="142"/>
      </w:pPr>
      <w:r w:rsidRPr="00D67069">
        <w:t xml:space="preserve">Prescribed electors under Section 41A(8) of the </w:t>
      </w:r>
      <w:r w:rsidRPr="00D67069">
        <w:rPr>
          <w:i/>
          <w:iCs/>
        </w:rPr>
        <w:t>Local Government (Elections) Act 1999</w:t>
      </w:r>
      <w:r w:rsidRPr="00D67069">
        <w:t>, may vote via the telephone assisted voting method by calling the Electoral Commission SA on:</w:t>
      </w:r>
    </w:p>
    <w:p w14:paraId="6F61903A" w14:textId="77777777" w:rsidR="00D67069" w:rsidRPr="00D67069" w:rsidRDefault="00D67069" w:rsidP="00D67069">
      <w:pPr>
        <w:ind w:left="426" w:hanging="142"/>
      </w:pPr>
      <w:r w:rsidRPr="00D67069">
        <w:t>•</w:t>
      </w:r>
      <w:r w:rsidRPr="00D67069">
        <w:tab/>
        <w:t>1300 655 232 within South Australia only</w:t>
      </w:r>
    </w:p>
    <w:p w14:paraId="0CE6F151" w14:textId="77777777" w:rsidR="00D67069" w:rsidRPr="00D67069" w:rsidRDefault="00D67069" w:rsidP="00D67069">
      <w:pPr>
        <w:ind w:left="426" w:hanging="142"/>
      </w:pPr>
      <w:r w:rsidRPr="00D67069">
        <w:t>•</w:t>
      </w:r>
      <w:r w:rsidRPr="00D67069">
        <w:tab/>
        <w:t>08 7424 7400 from interstate</w:t>
      </w:r>
    </w:p>
    <w:p w14:paraId="12C467CD" w14:textId="77777777" w:rsidR="00D67069" w:rsidRPr="00D67069" w:rsidRDefault="00D67069" w:rsidP="00D67069">
      <w:pPr>
        <w:ind w:left="426" w:hanging="142"/>
      </w:pPr>
      <w:r w:rsidRPr="00D67069">
        <w:t>•</w:t>
      </w:r>
      <w:r w:rsidRPr="00D67069">
        <w:tab/>
        <w:t>+61 8 7424 7400 from overseas</w:t>
      </w:r>
    </w:p>
    <w:p w14:paraId="13CEDFDE" w14:textId="77777777" w:rsidR="00D67069" w:rsidRPr="00D67069" w:rsidRDefault="00D67069" w:rsidP="00D67069">
      <w:pPr>
        <w:ind w:left="142"/>
      </w:pPr>
      <w:r w:rsidRPr="00D67069">
        <w:t>The Telephone Assisted Voting Centre will operate for the following times and days:</w:t>
      </w:r>
    </w:p>
    <w:p w14:paraId="026F0A90" w14:textId="77777777" w:rsidR="00D67069" w:rsidRPr="00D67069" w:rsidRDefault="00D67069" w:rsidP="00D67069">
      <w:pPr>
        <w:ind w:left="426" w:hanging="142"/>
      </w:pPr>
      <w:r w:rsidRPr="00D67069">
        <w:t>•</w:t>
      </w:r>
      <w:r w:rsidRPr="00D67069">
        <w:tab/>
        <w:t>9am-5pm, Thursday, 18 September and Friday 19 September 2025</w:t>
      </w:r>
    </w:p>
    <w:p w14:paraId="78F4F1A7" w14:textId="77777777" w:rsidR="00D67069" w:rsidRPr="00D67069" w:rsidRDefault="00D67069" w:rsidP="00D67069">
      <w:pPr>
        <w:ind w:left="426" w:hanging="142"/>
      </w:pPr>
      <w:r w:rsidRPr="00D67069">
        <w:t>•</w:t>
      </w:r>
      <w:r w:rsidRPr="00D67069">
        <w:tab/>
        <w:t>9am-12 noon, Monday, 22 September 2025 (close of voting)</w:t>
      </w:r>
    </w:p>
    <w:p w14:paraId="67E78E7A" w14:textId="77777777" w:rsidR="00D67069" w:rsidRPr="00D67069" w:rsidRDefault="00D67069" w:rsidP="00D67069">
      <w:pPr>
        <w:rPr>
          <w:b/>
          <w:bCs/>
        </w:rPr>
      </w:pPr>
      <w:r w:rsidRPr="00D67069">
        <w:rPr>
          <w:b/>
          <w:bCs/>
        </w:rPr>
        <w:t>Vote Counting Location</w:t>
      </w:r>
    </w:p>
    <w:p w14:paraId="3951C400" w14:textId="77777777" w:rsidR="00D67069" w:rsidRPr="00D67069" w:rsidRDefault="00D67069" w:rsidP="00D67069">
      <w:pPr>
        <w:ind w:left="142"/>
      </w:pPr>
      <w:r w:rsidRPr="00D67069">
        <w:t>The scrutiny and counts will take place from 9:30am on Tuesday, 23 September 2025 at the following location:</w:t>
      </w:r>
    </w:p>
    <w:p w14:paraId="10D8FA23" w14:textId="77777777" w:rsidR="00D67069" w:rsidRPr="00D67069" w:rsidRDefault="00D67069" w:rsidP="00D67069">
      <w:pPr>
        <w:ind w:left="426" w:hanging="142"/>
      </w:pPr>
      <w:r w:rsidRPr="00D67069">
        <w:t>•</w:t>
      </w:r>
      <w:r w:rsidRPr="00D67069">
        <w:tab/>
        <w:t>Electoral Commission SA Central Processing Centre</w:t>
      </w:r>
    </w:p>
    <w:p w14:paraId="6F00C4CA" w14:textId="77777777" w:rsidR="00D67069" w:rsidRPr="00D67069" w:rsidRDefault="00D67069" w:rsidP="00D67069">
      <w:pPr>
        <w:ind w:left="426"/>
      </w:pPr>
      <w:r w:rsidRPr="00D67069">
        <w:t>◦</w:t>
      </w:r>
      <w:r w:rsidRPr="00D67069">
        <w:tab/>
        <w:t>7 Hudson Court, Netley 5037</w:t>
      </w:r>
    </w:p>
    <w:p w14:paraId="0B8A5C71" w14:textId="77777777" w:rsidR="00D67069" w:rsidRPr="00D67069" w:rsidRDefault="00D67069" w:rsidP="00D67069">
      <w:pPr>
        <w:ind w:left="142"/>
      </w:pPr>
      <w:r w:rsidRPr="00D67069">
        <w:t>A provisional declaration will be made at the conclusion of each election count.</w:t>
      </w:r>
    </w:p>
    <w:p w14:paraId="5609139F"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354299EC"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Mick Sherry</w:t>
      </w:r>
    </w:p>
    <w:p w14:paraId="5717C06F" w14:textId="77777777" w:rsidR="00D67069" w:rsidRDefault="00D67069" w:rsidP="00D67069">
      <w:pPr>
        <w:spacing w:after="0"/>
        <w:jc w:val="right"/>
        <w:rPr>
          <w:rFonts w:eastAsia="Times New Roman"/>
          <w:szCs w:val="17"/>
        </w:rPr>
      </w:pPr>
      <w:r w:rsidRPr="00D67069">
        <w:rPr>
          <w:rFonts w:eastAsia="Times New Roman"/>
          <w:szCs w:val="17"/>
        </w:rPr>
        <w:t>Returning Officer</w:t>
      </w:r>
    </w:p>
    <w:p w14:paraId="429DAA13" w14:textId="77777777" w:rsidR="00D67069" w:rsidRDefault="00D67069" w:rsidP="00D67069">
      <w:pPr>
        <w:pBdr>
          <w:bottom w:val="single" w:sz="4" w:space="1" w:color="auto"/>
        </w:pBdr>
        <w:spacing w:after="0" w:line="52" w:lineRule="exact"/>
        <w:jc w:val="center"/>
        <w:rPr>
          <w:rFonts w:eastAsia="Times New Roman"/>
          <w:szCs w:val="17"/>
        </w:rPr>
      </w:pPr>
    </w:p>
    <w:p w14:paraId="50C5F57A" w14:textId="77777777" w:rsidR="00D67069" w:rsidRDefault="00D67069" w:rsidP="00D67069">
      <w:pPr>
        <w:pBdr>
          <w:top w:val="single" w:sz="4" w:space="1" w:color="auto"/>
        </w:pBdr>
        <w:spacing w:before="34" w:after="0" w:line="14" w:lineRule="exact"/>
        <w:jc w:val="center"/>
        <w:rPr>
          <w:rFonts w:eastAsia="Times New Roman"/>
          <w:szCs w:val="17"/>
        </w:rPr>
      </w:pPr>
    </w:p>
    <w:p w14:paraId="70F90AD9" w14:textId="6DA58C37" w:rsidR="003274D3" w:rsidRDefault="003274D3">
      <w:pPr>
        <w:spacing w:after="0" w:line="240" w:lineRule="auto"/>
        <w:jc w:val="left"/>
        <w:rPr>
          <w:rFonts w:eastAsia="Times New Roman"/>
          <w:szCs w:val="17"/>
        </w:rPr>
      </w:pPr>
      <w:r>
        <w:rPr>
          <w:rFonts w:eastAsia="Times New Roman"/>
          <w:szCs w:val="17"/>
        </w:rPr>
        <w:br w:type="page"/>
      </w:r>
    </w:p>
    <w:p w14:paraId="06CEC83E" w14:textId="383BCB86" w:rsidR="00D67069" w:rsidRPr="00D67069" w:rsidRDefault="00227537" w:rsidP="00E34B09">
      <w:pPr>
        <w:pStyle w:val="Heading2"/>
      </w:pPr>
      <w:bookmarkStart w:id="527" w:name="_Toc206061782"/>
      <w:r w:rsidRPr="00D67069">
        <w:lastRenderedPageBreak/>
        <w:t>Adelaide Plains Council</w:t>
      </w:r>
      <w:bookmarkEnd w:id="527"/>
    </w:p>
    <w:p w14:paraId="45E4B3A3" w14:textId="77777777" w:rsidR="00D67069" w:rsidRPr="00D67069" w:rsidRDefault="00D67069" w:rsidP="00D67069">
      <w:pPr>
        <w:jc w:val="center"/>
        <w:rPr>
          <w:i/>
          <w:szCs w:val="17"/>
        </w:rPr>
      </w:pPr>
      <w:r w:rsidRPr="00D67069">
        <w:rPr>
          <w:i/>
          <w:szCs w:val="17"/>
        </w:rPr>
        <w:t>Adoption of Valuations and Declaration of Rates</w:t>
      </w:r>
    </w:p>
    <w:p w14:paraId="71CC4822" w14:textId="77777777" w:rsidR="00D67069" w:rsidRPr="00D67069" w:rsidRDefault="00D67069" w:rsidP="00D67069">
      <w:pPr>
        <w:rPr>
          <w:rFonts w:eastAsia="Times New Roman"/>
          <w:szCs w:val="17"/>
        </w:rPr>
      </w:pPr>
      <w:r w:rsidRPr="00D67069">
        <w:rPr>
          <w:rFonts w:eastAsia="Times New Roman"/>
          <w:szCs w:val="17"/>
        </w:rPr>
        <w:t>Notice is hereby given that the Adelaide Plains Council, at a Special meeting held on 6 August 2025, in respect of the financial year ending 30 June 2026, adopted its Annual Business Plan and Budget and made the following decisions:</w:t>
      </w:r>
    </w:p>
    <w:p w14:paraId="44F82AF9" w14:textId="77777777" w:rsidR="00D67069" w:rsidRPr="00D67069" w:rsidRDefault="00D67069" w:rsidP="00D67069">
      <w:pPr>
        <w:ind w:left="142"/>
        <w:rPr>
          <w:rFonts w:eastAsia="Times New Roman"/>
          <w:b/>
          <w:bCs/>
          <w:szCs w:val="17"/>
        </w:rPr>
      </w:pPr>
      <w:r w:rsidRPr="00D67069">
        <w:rPr>
          <w:rFonts w:eastAsia="Times New Roman"/>
          <w:b/>
          <w:bCs/>
          <w:szCs w:val="17"/>
        </w:rPr>
        <w:t>Adoption of Valuations</w:t>
      </w:r>
    </w:p>
    <w:p w14:paraId="7F957E93" w14:textId="77777777" w:rsidR="00D67069" w:rsidRPr="00D67069" w:rsidRDefault="00D67069" w:rsidP="00D67069">
      <w:pPr>
        <w:ind w:left="142"/>
        <w:rPr>
          <w:rFonts w:eastAsia="Times New Roman"/>
          <w:szCs w:val="17"/>
        </w:rPr>
      </w:pPr>
      <w:r w:rsidRPr="00D67069">
        <w:rPr>
          <w:rFonts w:eastAsia="Times New Roman"/>
          <w:szCs w:val="17"/>
        </w:rPr>
        <w:t xml:space="preserve">Pursuant to Section 167(2)(a) of the </w:t>
      </w:r>
      <w:r w:rsidRPr="00D67069">
        <w:rPr>
          <w:rFonts w:eastAsia="Times New Roman"/>
          <w:i/>
          <w:iCs/>
          <w:szCs w:val="17"/>
        </w:rPr>
        <w:t>Local Government Act 1999</w:t>
      </w:r>
      <w:r w:rsidRPr="00D67069">
        <w:rPr>
          <w:rFonts w:eastAsia="Times New Roman"/>
          <w:szCs w:val="17"/>
        </w:rPr>
        <w:t>, the Council adopted, for rating purposes, the most recent valuations of the Valuer-General available to the Council of the capital value of land within the Council’s area totalling $4,125,752,060, of which $4,082,754,878 is the total capital value of rateable land.</w:t>
      </w:r>
    </w:p>
    <w:p w14:paraId="2525D1BA" w14:textId="77777777" w:rsidR="00D67069" w:rsidRPr="00D67069" w:rsidRDefault="00D67069" w:rsidP="00D67069">
      <w:pPr>
        <w:ind w:left="142"/>
        <w:rPr>
          <w:rFonts w:eastAsia="Times New Roman"/>
          <w:b/>
          <w:bCs/>
          <w:szCs w:val="17"/>
        </w:rPr>
      </w:pPr>
      <w:r w:rsidRPr="00D67069">
        <w:rPr>
          <w:rFonts w:eastAsia="Times New Roman"/>
          <w:b/>
          <w:bCs/>
          <w:szCs w:val="17"/>
        </w:rPr>
        <w:t>Declaration of Rates and Service Charges</w:t>
      </w:r>
    </w:p>
    <w:p w14:paraId="36EB9E05" w14:textId="77777777" w:rsidR="00D67069" w:rsidRPr="00D67069" w:rsidRDefault="00D67069" w:rsidP="00D67069">
      <w:pPr>
        <w:ind w:left="142"/>
        <w:rPr>
          <w:rFonts w:eastAsia="Times New Roman"/>
          <w:i/>
          <w:iCs/>
          <w:szCs w:val="17"/>
        </w:rPr>
      </w:pPr>
      <w:r w:rsidRPr="00D67069">
        <w:rPr>
          <w:rFonts w:eastAsia="Times New Roman"/>
          <w:i/>
          <w:iCs/>
          <w:szCs w:val="17"/>
        </w:rPr>
        <w:t>General Rates</w:t>
      </w:r>
    </w:p>
    <w:p w14:paraId="0819EA4E" w14:textId="77777777" w:rsidR="00D67069" w:rsidRPr="00D67069" w:rsidRDefault="00D67069" w:rsidP="00D67069">
      <w:pPr>
        <w:ind w:left="142"/>
        <w:rPr>
          <w:rFonts w:eastAsia="Times New Roman"/>
          <w:szCs w:val="17"/>
        </w:rPr>
      </w:pPr>
      <w:r w:rsidRPr="00D67069">
        <w:rPr>
          <w:rFonts w:eastAsia="Times New Roman"/>
          <w:spacing w:val="-2"/>
          <w:szCs w:val="17"/>
        </w:rPr>
        <w:t xml:space="preserve">Pursuant to Sections 152(1)(c), 153(1)(b) and 156(1)(a) of the </w:t>
      </w:r>
      <w:r w:rsidRPr="00D67069">
        <w:rPr>
          <w:rFonts w:eastAsia="Times New Roman"/>
          <w:i/>
          <w:iCs/>
          <w:spacing w:val="-2"/>
          <w:szCs w:val="17"/>
        </w:rPr>
        <w:t>Local Government Act 1999</w:t>
      </w:r>
      <w:r w:rsidRPr="00D67069">
        <w:rPr>
          <w:rFonts w:eastAsia="Times New Roman"/>
          <w:spacing w:val="-2"/>
          <w:szCs w:val="17"/>
        </w:rPr>
        <w:t>, the Council declared differential general rates</w:t>
      </w:r>
      <w:r w:rsidRPr="00D67069">
        <w:rPr>
          <w:rFonts w:eastAsia="Times New Roman"/>
          <w:szCs w:val="17"/>
        </w:rPr>
        <w:t xml:space="preserve"> on all rateable land within its area comprising two components:</w:t>
      </w:r>
    </w:p>
    <w:p w14:paraId="653E668F" w14:textId="77777777" w:rsidR="00D67069" w:rsidRPr="00D67069" w:rsidRDefault="00D67069" w:rsidP="00D67069">
      <w:pPr>
        <w:ind w:left="567" w:hanging="284"/>
        <w:rPr>
          <w:rFonts w:eastAsia="Times New Roman"/>
          <w:szCs w:val="17"/>
        </w:rPr>
      </w:pPr>
      <w:r w:rsidRPr="00D67069">
        <w:rPr>
          <w:rFonts w:eastAsia="Times New Roman"/>
          <w:szCs w:val="17"/>
        </w:rPr>
        <w:t>(a)</w:t>
      </w:r>
      <w:r w:rsidRPr="00D67069">
        <w:rPr>
          <w:rFonts w:eastAsia="Times New Roman"/>
          <w:szCs w:val="17"/>
        </w:rPr>
        <w:tab/>
        <w:t xml:space="preserve">one component being a differential rate based on the capital value of rateable land varying according to land use as follows: </w:t>
      </w:r>
    </w:p>
    <w:p w14:paraId="25F16CF1"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0.333631 cents in the dollar on rateable land attributed with a land use category of Residential;</w:t>
      </w:r>
    </w:p>
    <w:p w14:paraId="39ED3018"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0.444062 cents in the dollar on rateable land attributed with a land use category of Commercial Shop;</w:t>
      </w:r>
    </w:p>
    <w:p w14:paraId="5B5ADAB0"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0.523466 cents in the dollar on rateable land attributed with a land use category of Commercial Office or Commercial Other;</w:t>
      </w:r>
    </w:p>
    <w:p w14:paraId="47848733"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0.473755 cents in the dollar on rateable land attributed with a land use category of Industry Light;</w:t>
      </w:r>
    </w:p>
    <w:p w14:paraId="424393A2"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0.592194 cents in the dollar on rateable land attributed with a land use category of Industry Other;</w:t>
      </w:r>
    </w:p>
    <w:p w14:paraId="35837B1B"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0.316615 cents in the dollar on rateable land attributed with a land use category of Primary Production; and</w:t>
      </w:r>
    </w:p>
    <w:p w14:paraId="101678B4" w14:textId="77777777" w:rsidR="00D67069" w:rsidRPr="00D67069" w:rsidRDefault="00D67069" w:rsidP="00D67069">
      <w:pPr>
        <w:spacing w:after="40"/>
        <w:ind w:left="709" w:hanging="142"/>
        <w:rPr>
          <w:rFonts w:eastAsia="Times New Roman"/>
          <w:szCs w:val="17"/>
        </w:rPr>
      </w:pPr>
      <w:r w:rsidRPr="00D67069">
        <w:rPr>
          <w:rFonts w:eastAsia="Times New Roman"/>
          <w:szCs w:val="17"/>
        </w:rPr>
        <w:t>•</w:t>
      </w:r>
      <w:r w:rsidRPr="00D67069">
        <w:rPr>
          <w:rFonts w:eastAsia="Times New Roman"/>
          <w:szCs w:val="17"/>
        </w:rPr>
        <w:tab/>
        <w:t>0.341304 cents in the dollar on rateable land attributed with a land use category of Vacant Land; and</w:t>
      </w:r>
    </w:p>
    <w:p w14:paraId="49214637" w14:textId="77777777" w:rsidR="00D67069" w:rsidRPr="00D67069" w:rsidRDefault="00D67069" w:rsidP="00D67069">
      <w:pPr>
        <w:ind w:left="709" w:hanging="141"/>
        <w:rPr>
          <w:rFonts w:eastAsia="Times New Roman"/>
          <w:szCs w:val="17"/>
        </w:rPr>
      </w:pPr>
      <w:r w:rsidRPr="00D67069">
        <w:rPr>
          <w:rFonts w:eastAsia="Times New Roman"/>
          <w:szCs w:val="17"/>
        </w:rPr>
        <w:t>•</w:t>
      </w:r>
      <w:r w:rsidRPr="00D67069">
        <w:rPr>
          <w:rFonts w:eastAsia="Times New Roman"/>
          <w:szCs w:val="17"/>
        </w:rPr>
        <w:tab/>
        <w:t>0.334298 cents in the dollar on rateable land attributed with a land use category of Other;</w:t>
      </w:r>
    </w:p>
    <w:p w14:paraId="1C8F87FF" w14:textId="77777777" w:rsidR="00D67069" w:rsidRPr="00D67069" w:rsidRDefault="00D67069" w:rsidP="00D67069">
      <w:pPr>
        <w:ind w:left="567" w:hanging="284"/>
        <w:rPr>
          <w:rFonts w:eastAsia="Times New Roman"/>
          <w:szCs w:val="17"/>
        </w:rPr>
      </w:pPr>
      <w:r w:rsidRPr="00D67069">
        <w:rPr>
          <w:rFonts w:eastAsia="Times New Roman"/>
          <w:szCs w:val="17"/>
        </w:rPr>
        <w:t>(b)</w:t>
      </w:r>
      <w:r w:rsidRPr="00D67069">
        <w:rPr>
          <w:rFonts w:eastAsia="Times New Roman"/>
          <w:szCs w:val="17"/>
        </w:rPr>
        <w:tab/>
        <w:t>the other component being a fixed charge of $417.</w:t>
      </w:r>
    </w:p>
    <w:p w14:paraId="4960F736" w14:textId="77777777" w:rsidR="00D67069" w:rsidRPr="00D67069" w:rsidRDefault="00D67069" w:rsidP="00D67069">
      <w:pPr>
        <w:ind w:left="142"/>
        <w:rPr>
          <w:rFonts w:eastAsia="Times New Roman"/>
          <w:i/>
          <w:iCs/>
          <w:szCs w:val="17"/>
        </w:rPr>
      </w:pPr>
      <w:r w:rsidRPr="00D67069">
        <w:rPr>
          <w:rFonts w:eastAsia="Times New Roman"/>
          <w:i/>
          <w:iCs/>
          <w:szCs w:val="17"/>
        </w:rPr>
        <w:t xml:space="preserve">Kerbside Waste Collection Annual Service Charges </w:t>
      </w:r>
    </w:p>
    <w:p w14:paraId="27F8A796" w14:textId="77777777" w:rsidR="00D67069" w:rsidRPr="00D67069" w:rsidRDefault="00D67069" w:rsidP="00D67069">
      <w:pPr>
        <w:ind w:left="142"/>
        <w:rPr>
          <w:rFonts w:eastAsia="Times New Roman"/>
          <w:szCs w:val="17"/>
        </w:rPr>
      </w:pPr>
      <w:r w:rsidRPr="00D67069">
        <w:rPr>
          <w:rFonts w:eastAsia="Times New Roman"/>
          <w:szCs w:val="17"/>
        </w:rPr>
        <w:t xml:space="preserve">Pursuant to Section 155(2) of the </w:t>
      </w:r>
      <w:r w:rsidRPr="00D67069">
        <w:rPr>
          <w:rFonts w:eastAsia="Times New Roman"/>
          <w:i/>
          <w:iCs/>
          <w:szCs w:val="17"/>
        </w:rPr>
        <w:t>Local Government Act 1999</w:t>
      </w:r>
      <w:r w:rsidRPr="00D67069">
        <w:rPr>
          <w:rFonts w:eastAsia="Times New Roman"/>
          <w:szCs w:val="17"/>
        </w:rPr>
        <w:t>, the Council imposed;</w:t>
      </w:r>
    </w:p>
    <w:p w14:paraId="0941FE96"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r>
      <w:r w:rsidRPr="00D67069">
        <w:rPr>
          <w:rFonts w:eastAsia="Times New Roman"/>
          <w:spacing w:val="4"/>
          <w:szCs w:val="17"/>
        </w:rPr>
        <w:t>an annual service charge of $216 per assessment in respect of all occupied land to which Council provides or makes available</w:t>
      </w:r>
      <w:r w:rsidRPr="00D67069">
        <w:rPr>
          <w:rFonts w:eastAsia="Times New Roman"/>
          <w:szCs w:val="17"/>
        </w:rPr>
        <w:t xml:space="preserve"> the </w:t>
      </w:r>
      <w:r w:rsidRPr="00D67069">
        <w:rPr>
          <w:rFonts w:eastAsia="Times New Roman"/>
          <w:spacing w:val="2"/>
          <w:szCs w:val="17"/>
        </w:rPr>
        <w:t>prescribed service of kerbside waste collection 3‐bin service (noting that this service is provided within the townships of Mallala, Two</w:t>
      </w:r>
      <w:r w:rsidRPr="00D67069">
        <w:rPr>
          <w:rFonts w:eastAsia="Times New Roman"/>
          <w:szCs w:val="17"/>
        </w:rPr>
        <w:t xml:space="preserve"> Wells and Dublin), and;</w:t>
      </w:r>
    </w:p>
    <w:p w14:paraId="43D072D8"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an annual service charge of $216 per assessment in respect of all occupied land to which Council provides the prescribed service of kerbside waste collection 2‐bin service (noting that this service is provided outside the townships of Mallala, Two Wells and Dublin) upon the (existing or future) application to participate in such service by the ratepayer,</w:t>
      </w:r>
    </w:p>
    <w:p w14:paraId="2ED2A4B5" w14:textId="77777777" w:rsidR="00D67069" w:rsidRPr="00D67069" w:rsidRDefault="00D67069" w:rsidP="00D67069">
      <w:pPr>
        <w:ind w:left="142"/>
        <w:rPr>
          <w:rFonts w:eastAsia="Times New Roman"/>
          <w:szCs w:val="17"/>
        </w:rPr>
      </w:pPr>
      <w:r w:rsidRPr="00D67069">
        <w:rPr>
          <w:rFonts w:eastAsia="Times New Roman"/>
          <w:szCs w:val="17"/>
        </w:rPr>
        <w:t>provided that the sliding scale provided for in regulations will apply to reduce the service charge, as prescribed.</w:t>
      </w:r>
    </w:p>
    <w:p w14:paraId="62057E3B" w14:textId="77777777" w:rsidR="00D67069" w:rsidRPr="00D67069" w:rsidRDefault="00D67069" w:rsidP="00D67069">
      <w:pPr>
        <w:ind w:left="142"/>
        <w:rPr>
          <w:rFonts w:eastAsia="Times New Roman"/>
          <w:i/>
          <w:iCs/>
          <w:szCs w:val="17"/>
        </w:rPr>
      </w:pPr>
      <w:r w:rsidRPr="00D67069">
        <w:rPr>
          <w:rFonts w:eastAsia="Times New Roman"/>
          <w:i/>
          <w:iCs/>
          <w:szCs w:val="17"/>
        </w:rPr>
        <w:t xml:space="preserve">Community Wastewater Management Systems Annual Service Charges </w:t>
      </w:r>
    </w:p>
    <w:p w14:paraId="07C88C68" w14:textId="77777777" w:rsidR="00D67069" w:rsidRPr="00D67069" w:rsidRDefault="00D67069" w:rsidP="00D67069">
      <w:pPr>
        <w:ind w:left="142"/>
        <w:rPr>
          <w:rFonts w:eastAsia="Times New Roman"/>
          <w:szCs w:val="17"/>
        </w:rPr>
      </w:pPr>
      <w:r w:rsidRPr="00D67069">
        <w:rPr>
          <w:rFonts w:eastAsia="Times New Roman"/>
          <w:szCs w:val="17"/>
        </w:rPr>
        <w:t xml:space="preserve">Pursuant to Section 155(2) of the </w:t>
      </w:r>
      <w:r w:rsidRPr="00D67069">
        <w:rPr>
          <w:rFonts w:eastAsia="Times New Roman"/>
          <w:i/>
          <w:iCs/>
          <w:szCs w:val="17"/>
        </w:rPr>
        <w:t>Local Government Act 1999</w:t>
      </w:r>
      <w:r w:rsidRPr="00D67069">
        <w:rPr>
          <w:rFonts w:eastAsia="Times New Roman"/>
          <w:szCs w:val="17"/>
        </w:rPr>
        <w:t>, the Council imposed annual service charges of the following amounts in respect of all land to which the service of collecting, treating and disposing of wastewater as part of the Council’s Community Wastewater Management Systems is provided or made available: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2552"/>
      </w:tblGrid>
      <w:tr w:rsidR="00D67069" w:rsidRPr="00D67069" w14:paraId="53089926" w14:textId="77777777" w:rsidTr="00911011">
        <w:tc>
          <w:tcPr>
            <w:tcW w:w="3118" w:type="dxa"/>
          </w:tcPr>
          <w:p w14:paraId="33BF25A2" w14:textId="77777777" w:rsidR="00D67069" w:rsidRPr="00D67069" w:rsidRDefault="00D67069" w:rsidP="00D67069">
            <w:pPr>
              <w:spacing w:after="40"/>
              <w:jc w:val="left"/>
              <w:rPr>
                <w:i/>
                <w:iCs/>
              </w:rPr>
            </w:pPr>
            <w:r w:rsidRPr="00D67069">
              <w:rPr>
                <w:i/>
                <w:iCs/>
              </w:rPr>
              <w:t>Middle Beach</w:t>
            </w:r>
          </w:p>
        </w:tc>
        <w:tc>
          <w:tcPr>
            <w:tcW w:w="2552" w:type="dxa"/>
          </w:tcPr>
          <w:p w14:paraId="47138600" w14:textId="77777777" w:rsidR="00D67069" w:rsidRPr="00D67069" w:rsidRDefault="00D67069" w:rsidP="00D67069">
            <w:pPr>
              <w:spacing w:after="40"/>
              <w:jc w:val="left"/>
              <w:rPr>
                <w:i/>
                <w:iCs/>
              </w:rPr>
            </w:pPr>
            <w:r w:rsidRPr="00D67069">
              <w:rPr>
                <w:i/>
                <w:iCs/>
              </w:rPr>
              <w:t>Mallala Township</w:t>
            </w:r>
          </w:p>
        </w:tc>
      </w:tr>
      <w:tr w:rsidR="00D67069" w:rsidRPr="00D67069" w14:paraId="238939A4" w14:textId="77777777" w:rsidTr="00911011">
        <w:tc>
          <w:tcPr>
            <w:tcW w:w="3118" w:type="dxa"/>
          </w:tcPr>
          <w:p w14:paraId="0BE816E8" w14:textId="77777777" w:rsidR="00D67069" w:rsidRPr="00D67069" w:rsidRDefault="00D67069" w:rsidP="00D67069">
            <w:pPr>
              <w:spacing w:after="0"/>
              <w:ind w:left="147"/>
              <w:jc w:val="left"/>
            </w:pPr>
            <w:r w:rsidRPr="00D67069">
              <w:t>$558 Per Property Connection</w:t>
            </w:r>
          </w:p>
        </w:tc>
        <w:tc>
          <w:tcPr>
            <w:tcW w:w="2552" w:type="dxa"/>
          </w:tcPr>
          <w:p w14:paraId="61C37C6D" w14:textId="77777777" w:rsidR="00D67069" w:rsidRPr="00D67069" w:rsidRDefault="00D67069" w:rsidP="00D67069">
            <w:pPr>
              <w:spacing w:after="0"/>
              <w:ind w:left="137"/>
              <w:jc w:val="left"/>
            </w:pPr>
            <w:r w:rsidRPr="00D67069">
              <w:t>$847 Per Property Connection</w:t>
            </w:r>
          </w:p>
        </w:tc>
      </w:tr>
      <w:tr w:rsidR="00D67069" w:rsidRPr="00D67069" w14:paraId="2C735FEC" w14:textId="77777777" w:rsidTr="00911011">
        <w:tc>
          <w:tcPr>
            <w:tcW w:w="3118" w:type="dxa"/>
          </w:tcPr>
          <w:p w14:paraId="62750C76" w14:textId="77777777" w:rsidR="00D67069" w:rsidRPr="00D67069" w:rsidRDefault="00D67069" w:rsidP="00D67069">
            <w:pPr>
              <w:spacing w:after="0" w:line="80" w:lineRule="exact"/>
              <w:jc w:val="left"/>
            </w:pPr>
          </w:p>
        </w:tc>
        <w:tc>
          <w:tcPr>
            <w:tcW w:w="2552" w:type="dxa"/>
          </w:tcPr>
          <w:p w14:paraId="3F6BFA70" w14:textId="77777777" w:rsidR="00D67069" w:rsidRPr="00D67069" w:rsidRDefault="00D67069" w:rsidP="00D67069">
            <w:pPr>
              <w:spacing w:after="0" w:line="80" w:lineRule="exact"/>
              <w:jc w:val="left"/>
            </w:pPr>
          </w:p>
        </w:tc>
      </w:tr>
    </w:tbl>
    <w:p w14:paraId="6133B447" w14:textId="77777777" w:rsidR="00D67069" w:rsidRPr="00D67069" w:rsidRDefault="00D67069" w:rsidP="00D67069">
      <w:pPr>
        <w:ind w:left="142"/>
        <w:rPr>
          <w:rFonts w:eastAsia="Times New Roman"/>
          <w:i/>
          <w:iCs/>
          <w:szCs w:val="17"/>
        </w:rPr>
      </w:pPr>
      <w:r w:rsidRPr="00D67069">
        <w:rPr>
          <w:rFonts w:eastAsia="Times New Roman"/>
          <w:i/>
          <w:iCs/>
          <w:szCs w:val="17"/>
        </w:rPr>
        <w:t xml:space="preserve">Regional Landscape Levy </w:t>
      </w:r>
    </w:p>
    <w:p w14:paraId="1797F5F1" w14:textId="77777777" w:rsidR="00D67069" w:rsidRPr="00D67069" w:rsidRDefault="00D67069" w:rsidP="00D67069">
      <w:pPr>
        <w:ind w:left="142"/>
        <w:rPr>
          <w:rFonts w:eastAsia="Times New Roman"/>
          <w:szCs w:val="17"/>
        </w:rPr>
      </w:pPr>
      <w:r w:rsidRPr="00D67069">
        <w:rPr>
          <w:rFonts w:eastAsia="Times New Roman"/>
          <w:szCs w:val="17"/>
        </w:rPr>
        <w:t xml:space="preserve">Pursuant to Section 69 of the </w:t>
      </w:r>
      <w:r w:rsidRPr="00D67069">
        <w:rPr>
          <w:rFonts w:eastAsia="Times New Roman"/>
          <w:i/>
          <w:iCs/>
          <w:szCs w:val="17"/>
        </w:rPr>
        <w:t>Landscape Act 2019</w:t>
      </w:r>
      <w:r w:rsidRPr="00D67069">
        <w:rPr>
          <w:rFonts w:eastAsia="Times New Roman"/>
          <w:szCs w:val="17"/>
        </w:rPr>
        <w:t xml:space="preserve"> and Section 154 of the </w:t>
      </w:r>
      <w:r w:rsidRPr="00D67069">
        <w:rPr>
          <w:rFonts w:eastAsia="Times New Roman"/>
          <w:i/>
          <w:iCs/>
          <w:szCs w:val="17"/>
        </w:rPr>
        <w:t>Local Government Act 1999</w:t>
      </w:r>
      <w:r w:rsidRPr="00D67069">
        <w:rPr>
          <w:rFonts w:eastAsia="Times New Roman"/>
          <w:szCs w:val="17"/>
        </w:rPr>
        <w:t xml:space="preserve">, the Council declared a separate rate of 0.009152 cents in the dollar on all rateable land within its area and within the area of the Northern and Yorke Landscape Board </w:t>
      </w:r>
      <w:r w:rsidRPr="00D67069">
        <w:rPr>
          <w:rFonts w:eastAsia="Times New Roman"/>
          <w:spacing w:val="-4"/>
          <w:szCs w:val="17"/>
        </w:rPr>
        <w:t>for the purpose of raising the amount of $371,546 to reimburse the Council for the amount payable to the Northern and Yorke Landscape Board.</w:t>
      </w:r>
    </w:p>
    <w:p w14:paraId="3BC2D27A" w14:textId="77777777" w:rsidR="00D67069" w:rsidRPr="00D67069" w:rsidRDefault="00D67069" w:rsidP="00D67069">
      <w:pPr>
        <w:ind w:left="142"/>
        <w:rPr>
          <w:rFonts w:eastAsia="Times New Roman"/>
          <w:i/>
          <w:iCs/>
          <w:szCs w:val="17"/>
        </w:rPr>
      </w:pPr>
      <w:r w:rsidRPr="00D67069">
        <w:rPr>
          <w:rFonts w:eastAsia="Times New Roman"/>
          <w:i/>
          <w:iCs/>
          <w:szCs w:val="17"/>
        </w:rPr>
        <w:t>Payment of Rates</w:t>
      </w:r>
    </w:p>
    <w:p w14:paraId="3C116770" w14:textId="77777777" w:rsidR="00D67069" w:rsidRPr="00D67069" w:rsidRDefault="00D67069" w:rsidP="00D67069">
      <w:pPr>
        <w:ind w:left="142"/>
        <w:rPr>
          <w:rFonts w:eastAsia="Times New Roman"/>
          <w:szCs w:val="17"/>
        </w:rPr>
      </w:pPr>
      <w:r w:rsidRPr="00D67069">
        <w:rPr>
          <w:rFonts w:eastAsia="Times New Roman"/>
          <w:szCs w:val="17"/>
        </w:rPr>
        <w:t xml:space="preserve">Pursuant to Section 181(2) of the </w:t>
      </w:r>
      <w:r w:rsidRPr="00D67069">
        <w:rPr>
          <w:rFonts w:eastAsia="Times New Roman"/>
          <w:i/>
          <w:iCs/>
          <w:szCs w:val="17"/>
        </w:rPr>
        <w:t>Local Government Act 1999</w:t>
      </w:r>
      <w:r w:rsidRPr="00D67069">
        <w:rPr>
          <w:rFonts w:eastAsia="Times New Roman"/>
          <w:szCs w:val="17"/>
        </w:rPr>
        <w:t>, the Council determined all rates and annual service charges shall be due in four equal or approximately equal instalments payable on 29 September 2025, 3 December 2025, 4 March 2026 and 3 June 2026.</w:t>
      </w:r>
    </w:p>
    <w:p w14:paraId="02BA1AB8"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389FAEF4"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James Miller</w:t>
      </w:r>
    </w:p>
    <w:p w14:paraId="03320490" w14:textId="30E5CA1A" w:rsidR="00D67069" w:rsidRDefault="00D67069" w:rsidP="00D67069">
      <w:pPr>
        <w:spacing w:after="0"/>
        <w:jc w:val="right"/>
        <w:rPr>
          <w:rFonts w:eastAsia="Times New Roman"/>
          <w:szCs w:val="17"/>
        </w:rPr>
      </w:pPr>
      <w:r w:rsidRPr="00D67069">
        <w:rPr>
          <w:rFonts w:eastAsia="Times New Roman"/>
          <w:szCs w:val="17"/>
        </w:rPr>
        <w:t>Chief Executive Officer</w:t>
      </w:r>
    </w:p>
    <w:p w14:paraId="3A629A23" w14:textId="77777777" w:rsidR="00D67069" w:rsidRDefault="00D67069" w:rsidP="00D67069">
      <w:pPr>
        <w:pBdr>
          <w:top w:val="single" w:sz="4" w:space="1" w:color="auto"/>
        </w:pBdr>
        <w:spacing w:before="100" w:after="0" w:line="14" w:lineRule="exact"/>
        <w:jc w:val="center"/>
        <w:rPr>
          <w:rFonts w:eastAsia="Times New Roman"/>
          <w:szCs w:val="17"/>
        </w:rPr>
      </w:pPr>
    </w:p>
    <w:p w14:paraId="299E188B" w14:textId="77777777" w:rsidR="00D67069" w:rsidRPr="00D67069" w:rsidRDefault="00D67069" w:rsidP="006A7F78">
      <w:pPr>
        <w:pStyle w:val="NoSpacing"/>
      </w:pPr>
    </w:p>
    <w:p w14:paraId="27BABC0C" w14:textId="77777777" w:rsidR="00D67069" w:rsidRPr="00D67069" w:rsidRDefault="00D67069" w:rsidP="00D67069">
      <w:pPr>
        <w:jc w:val="center"/>
        <w:rPr>
          <w:caps/>
          <w:szCs w:val="17"/>
        </w:rPr>
      </w:pPr>
      <w:r w:rsidRPr="00D67069">
        <w:rPr>
          <w:caps/>
          <w:szCs w:val="17"/>
        </w:rPr>
        <w:t>Adelaide Plains Council</w:t>
      </w:r>
    </w:p>
    <w:p w14:paraId="41CCD833" w14:textId="77777777" w:rsidR="00D67069" w:rsidRPr="00D67069" w:rsidRDefault="00D67069" w:rsidP="00D67069">
      <w:pPr>
        <w:jc w:val="center"/>
        <w:rPr>
          <w:smallCaps/>
          <w:szCs w:val="17"/>
        </w:rPr>
      </w:pPr>
      <w:r w:rsidRPr="00D67069">
        <w:rPr>
          <w:smallCaps/>
          <w:szCs w:val="17"/>
        </w:rPr>
        <w:t>Section 219(7)</w:t>
      </w:r>
    </w:p>
    <w:p w14:paraId="6A8EED13" w14:textId="77777777" w:rsidR="00D67069" w:rsidRPr="00D67069" w:rsidRDefault="00D67069" w:rsidP="00D67069">
      <w:pPr>
        <w:jc w:val="center"/>
        <w:rPr>
          <w:i/>
          <w:szCs w:val="17"/>
        </w:rPr>
      </w:pPr>
      <w:r w:rsidRPr="00D67069">
        <w:rPr>
          <w:i/>
          <w:szCs w:val="17"/>
        </w:rPr>
        <w:t>Road and Public Places Naming Policy</w:t>
      </w:r>
    </w:p>
    <w:p w14:paraId="0829D5DC" w14:textId="77777777" w:rsidR="00D67069" w:rsidRPr="00D67069" w:rsidRDefault="00D67069" w:rsidP="00D67069">
      <w:r w:rsidRPr="00D67069">
        <w:t xml:space="preserve">Notice is hereby given pursuant to Section 219(7) of the </w:t>
      </w:r>
      <w:r w:rsidRPr="00D67069">
        <w:rPr>
          <w:i/>
          <w:iCs/>
        </w:rPr>
        <w:t>Local Government Act 1999</w:t>
      </w:r>
      <w:r w:rsidRPr="00D67069">
        <w:t xml:space="preserve"> that the Adelaide Plains Council, at its meeting held on 30 July 2025, resolved to adopt the Road and Public Places Naming Policy.</w:t>
      </w:r>
    </w:p>
    <w:p w14:paraId="47FE183C" w14:textId="77777777" w:rsidR="00D67069" w:rsidRPr="00D67069" w:rsidRDefault="00D67069" w:rsidP="00D67069">
      <w:pPr>
        <w:spacing w:after="0"/>
        <w:rPr>
          <w:rFonts w:eastAsia="Times New Roman"/>
          <w:szCs w:val="17"/>
        </w:rPr>
      </w:pPr>
      <w:r w:rsidRPr="00D67069">
        <w:rPr>
          <w:rFonts w:eastAsia="Times New Roman"/>
          <w:szCs w:val="17"/>
        </w:rPr>
        <w:t xml:space="preserve">Dated: 30 July 2025 </w:t>
      </w:r>
    </w:p>
    <w:p w14:paraId="79F4A24A"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James Miller</w:t>
      </w:r>
    </w:p>
    <w:p w14:paraId="3902F1AF" w14:textId="77777777" w:rsidR="00D67069" w:rsidRDefault="00D67069" w:rsidP="00D67069">
      <w:pPr>
        <w:spacing w:after="0"/>
        <w:jc w:val="right"/>
        <w:rPr>
          <w:rFonts w:eastAsia="Times New Roman"/>
          <w:szCs w:val="17"/>
        </w:rPr>
      </w:pPr>
      <w:r w:rsidRPr="00D67069">
        <w:rPr>
          <w:rFonts w:eastAsia="Times New Roman"/>
          <w:szCs w:val="17"/>
        </w:rPr>
        <w:t>Chief Executive Officer</w:t>
      </w:r>
    </w:p>
    <w:p w14:paraId="6742EB94" w14:textId="77777777" w:rsidR="00D67069" w:rsidRDefault="00D67069" w:rsidP="00D67069">
      <w:pPr>
        <w:pBdr>
          <w:bottom w:val="single" w:sz="4" w:space="1" w:color="auto"/>
        </w:pBdr>
        <w:spacing w:after="0" w:line="52" w:lineRule="exact"/>
        <w:jc w:val="center"/>
        <w:rPr>
          <w:rFonts w:eastAsia="Times New Roman"/>
          <w:szCs w:val="17"/>
        </w:rPr>
      </w:pPr>
    </w:p>
    <w:p w14:paraId="7CD0F8DF" w14:textId="77777777" w:rsidR="00D67069" w:rsidRDefault="00D67069" w:rsidP="00D67069">
      <w:pPr>
        <w:pBdr>
          <w:top w:val="single" w:sz="4" w:space="1" w:color="auto"/>
        </w:pBdr>
        <w:spacing w:before="34" w:after="0" w:line="14" w:lineRule="exact"/>
        <w:jc w:val="center"/>
        <w:rPr>
          <w:rFonts w:eastAsia="Times New Roman"/>
          <w:szCs w:val="17"/>
        </w:rPr>
      </w:pPr>
    </w:p>
    <w:p w14:paraId="2B0D889D" w14:textId="77777777" w:rsidR="00D67069" w:rsidRPr="00D67069" w:rsidRDefault="00D67069" w:rsidP="00D670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226B7B5" w14:textId="3AAD22BA" w:rsidR="00D67069" w:rsidRDefault="00D67069">
      <w:pPr>
        <w:spacing w:after="0" w:line="240" w:lineRule="auto"/>
        <w:jc w:val="left"/>
        <w:rPr>
          <w:rFonts w:eastAsia="Times New Roman"/>
          <w:szCs w:val="17"/>
          <w:lang w:val="en-US"/>
        </w:rPr>
      </w:pPr>
      <w:r>
        <w:rPr>
          <w:lang w:val="en-US"/>
        </w:rPr>
        <w:br w:type="page"/>
      </w:r>
    </w:p>
    <w:p w14:paraId="011FDD3F" w14:textId="38CA06E6" w:rsidR="003352F4" w:rsidRPr="003352F4" w:rsidRDefault="003352F4" w:rsidP="003352F4">
      <w:pPr>
        <w:pStyle w:val="Heading2"/>
      </w:pPr>
      <w:bookmarkStart w:id="528" w:name="_Toc206061783"/>
      <w:r w:rsidRPr="003352F4">
        <w:rPr>
          <w:rStyle w:val="Heading2Char"/>
          <w:noProof/>
        </w:rPr>
        <w:lastRenderedPageBreak/>
        <w:drawing>
          <wp:anchor distT="0" distB="0" distL="114300" distR="114300" simplePos="0" relativeHeight="251665408" behindDoc="0" locked="0" layoutInCell="1" allowOverlap="1" wp14:anchorId="191877B5" wp14:editId="2275763B">
            <wp:simplePos x="0" y="0"/>
            <wp:positionH relativeFrom="margin">
              <wp:posOffset>187325</wp:posOffset>
            </wp:positionH>
            <wp:positionV relativeFrom="paragraph">
              <wp:posOffset>158911</wp:posOffset>
            </wp:positionV>
            <wp:extent cx="5590540" cy="8126730"/>
            <wp:effectExtent l="0" t="0" r="0" b="7620"/>
            <wp:wrapTopAndBottom/>
            <wp:docPr id="57826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t="2780" b="5951"/>
                    <a:stretch>
                      <a:fillRect/>
                    </a:stretch>
                  </pic:blipFill>
                  <pic:spPr bwMode="auto">
                    <a:xfrm>
                      <a:off x="0" y="0"/>
                      <a:ext cx="5590540" cy="8126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52F4">
        <w:t>Berri Barmera Council</w:t>
      </w:r>
      <w:bookmarkEnd w:id="528"/>
    </w:p>
    <w:p w14:paraId="1C89CEA0" w14:textId="283FF5EB" w:rsidR="003352F4" w:rsidRDefault="003352F4" w:rsidP="003352F4">
      <w:pPr>
        <w:rPr>
          <w:lang w:val="en-US"/>
        </w:rPr>
      </w:pPr>
    </w:p>
    <w:p w14:paraId="63C76CC2" w14:textId="6548B493" w:rsidR="003352F4" w:rsidRPr="003352F4" w:rsidRDefault="003352F4" w:rsidP="003352F4">
      <w:pPr>
        <w:spacing w:after="0" w:line="240" w:lineRule="auto"/>
        <w:jc w:val="left"/>
        <w:rPr>
          <w:lang w:val="en-US"/>
        </w:rPr>
      </w:pPr>
      <w:r>
        <w:rPr>
          <w:lang w:val="en-US"/>
        </w:rPr>
        <w:br w:type="page"/>
      </w:r>
    </w:p>
    <w:p w14:paraId="4362379B" w14:textId="6E605814" w:rsidR="00D67069" w:rsidRDefault="00D67069" w:rsidP="00D67069">
      <w:pPr>
        <w:pStyle w:val="GG-Title1"/>
        <w:spacing w:line="240" w:lineRule="auto"/>
      </w:pPr>
      <w:r>
        <w:rPr>
          <w:noProof/>
        </w:rPr>
        <w:lastRenderedPageBreak/>
        <w:drawing>
          <wp:inline distT="0" distB="0" distL="0" distR="0" wp14:anchorId="70AD4B0F" wp14:editId="43256540">
            <wp:extent cx="5591175" cy="8905875"/>
            <wp:effectExtent l="0" t="0" r="9525" b="9525"/>
            <wp:docPr id="1141530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0CAA2A2F" wp14:editId="7721100F">
            <wp:extent cx="5591175" cy="8905875"/>
            <wp:effectExtent l="0" t="0" r="9525" b="9525"/>
            <wp:docPr id="755318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4A71F820" wp14:editId="1148B407">
            <wp:extent cx="5591175" cy="8905875"/>
            <wp:effectExtent l="0" t="0" r="9525" b="9525"/>
            <wp:docPr id="1941907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2D2F2033" wp14:editId="03F30C16">
            <wp:extent cx="5591175" cy="8905875"/>
            <wp:effectExtent l="0" t="0" r="9525" b="9525"/>
            <wp:docPr id="1571870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1E236D61" wp14:editId="5027DD5B">
            <wp:extent cx="5591175" cy="8905875"/>
            <wp:effectExtent l="0" t="0" r="9525" b="9525"/>
            <wp:docPr id="1495188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2463D1F7" wp14:editId="247AA568">
            <wp:extent cx="5591175" cy="8905875"/>
            <wp:effectExtent l="0" t="0" r="9525" b="9525"/>
            <wp:docPr id="563819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102854DC" wp14:editId="764C39BC">
            <wp:extent cx="5591175" cy="8905875"/>
            <wp:effectExtent l="0" t="0" r="9525" b="9525"/>
            <wp:docPr id="554738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654FDBE1" wp14:editId="43B326DF">
            <wp:extent cx="5591175" cy="8905875"/>
            <wp:effectExtent l="0" t="0" r="9525" b="9525"/>
            <wp:docPr id="552142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4AE71493" wp14:editId="1E0D23E5">
            <wp:extent cx="5591175" cy="8905875"/>
            <wp:effectExtent l="0" t="0" r="9525" b="9525"/>
            <wp:docPr id="207191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7926CF85" wp14:editId="60F41E85">
            <wp:extent cx="5591175" cy="8905875"/>
            <wp:effectExtent l="0" t="0" r="9525" b="9525"/>
            <wp:docPr id="1934504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1043C23D" wp14:editId="127F638C">
            <wp:extent cx="5591175" cy="8905875"/>
            <wp:effectExtent l="0" t="0" r="9525" b="9525"/>
            <wp:docPr id="11419553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3C1AACFA" wp14:editId="666AD8B9">
            <wp:extent cx="5591175" cy="8905875"/>
            <wp:effectExtent l="0" t="0" r="9525" b="9525"/>
            <wp:docPr id="1793317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2C090C3F" wp14:editId="72279AF6">
            <wp:extent cx="5591175" cy="8905875"/>
            <wp:effectExtent l="0" t="0" r="9525" b="9525"/>
            <wp:docPr id="1840995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591175" cy="8905875"/>
                    </a:xfrm>
                    <a:prstGeom prst="rect">
                      <a:avLst/>
                    </a:prstGeom>
                    <a:noFill/>
                    <a:ln>
                      <a:noFill/>
                    </a:ln>
                  </pic:spPr>
                </pic:pic>
              </a:graphicData>
            </a:graphic>
          </wp:inline>
        </w:drawing>
      </w:r>
      <w:r>
        <w:rPr>
          <w:noProof/>
        </w:rPr>
        <w:lastRenderedPageBreak/>
        <w:drawing>
          <wp:inline distT="0" distB="0" distL="0" distR="0" wp14:anchorId="7470B38B" wp14:editId="22A4D628">
            <wp:extent cx="5591175" cy="3671887"/>
            <wp:effectExtent l="0" t="0" r="0" b="5080"/>
            <wp:docPr id="7438242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0" cstate="print">
                      <a:extLst>
                        <a:ext uri="{28A0092B-C50C-407E-A947-70E740481C1C}">
                          <a14:useLocalDpi xmlns:a14="http://schemas.microsoft.com/office/drawing/2010/main" val="0"/>
                        </a:ext>
                      </a:extLst>
                    </a:blip>
                    <a:srcRect b="58770"/>
                    <a:stretch>
                      <a:fillRect/>
                    </a:stretch>
                  </pic:blipFill>
                  <pic:spPr bwMode="auto">
                    <a:xfrm>
                      <a:off x="0" y="0"/>
                      <a:ext cx="5591175" cy="3671887"/>
                    </a:xfrm>
                    <a:prstGeom prst="rect">
                      <a:avLst/>
                    </a:prstGeom>
                    <a:noFill/>
                    <a:ln>
                      <a:noFill/>
                    </a:ln>
                    <a:extLst>
                      <a:ext uri="{53640926-AAD7-44D8-BBD7-CCE9431645EC}">
                        <a14:shadowObscured xmlns:a14="http://schemas.microsoft.com/office/drawing/2010/main"/>
                      </a:ext>
                    </a:extLst>
                  </pic:spPr>
                </pic:pic>
              </a:graphicData>
            </a:graphic>
          </wp:inline>
        </w:drawing>
      </w:r>
    </w:p>
    <w:p w14:paraId="29FC0ABB" w14:textId="77777777" w:rsidR="00D67069" w:rsidRDefault="00D67069" w:rsidP="00D67069">
      <w:pPr>
        <w:pStyle w:val="GG-SDated"/>
      </w:pPr>
      <w:r>
        <w:t>Dated: 14 August 2025</w:t>
      </w:r>
    </w:p>
    <w:p w14:paraId="45345E1B" w14:textId="77777777" w:rsidR="00D67069" w:rsidRDefault="00D67069" w:rsidP="00D67069">
      <w:pPr>
        <w:pStyle w:val="GG-SName"/>
      </w:pPr>
      <w:r>
        <w:t>Tim Pfeiffer</w:t>
      </w:r>
    </w:p>
    <w:p w14:paraId="51E353F3" w14:textId="0F8F5AD0" w:rsidR="00D67069" w:rsidRDefault="00D67069" w:rsidP="00D67069">
      <w:pPr>
        <w:pStyle w:val="GG-Signature"/>
      </w:pPr>
      <w:r>
        <w:t>Chief Executive Officer</w:t>
      </w:r>
    </w:p>
    <w:p w14:paraId="312ED1C3" w14:textId="77777777" w:rsidR="00D67069" w:rsidRDefault="00D67069" w:rsidP="00D67069">
      <w:pPr>
        <w:pStyle w:val="GG-Signature"/>
        <w:pBdr>
          <w:bottom w:val="single" w:sz="4" w:space="1" w:color="auto"/>
        </w:pBdr>
        <w:spacing w:line="52" w:lineRule="exact"/>
        <w:jc w:val="center"/>
      </w:pPr>
    </w:p>
    <w:p w14:paraId="52AF4477" w14:textId="77777777" w:rsidR="00D67069" w:rsidRDefault="00D67069" w:rsidP="00D67069">
      <w:pPr>
        <w:pStyle w:val="GG-Signature"/>
        <w:pBdr>
          <w:top w:val="single" w:sz="4" w:space="1" w:color="auto"/>
        </w:pBdr>
        <w:spacing w:before="34" w:line="14" w:lineRule="exact"/>
        <w:jc w:val="center"/>
      </w:pPr>
    </w:p>
    <w:p w14:paraId="0E72CD10" w14:textId="77777777" w:rsidR="00D67069" w:rsidRPr="00B87575" w:rsidRDefault="00D67069" w:rsidP="00D6706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CBA64CE" w14:textId="72DE9283" w:rsidR="00D67069" w:rsidRDefault="00227537" w:rsidP="003352F4">
      <w:pPr>
        <w:pStyle w:val="Heading2"/>
      </w:pPr>
      <w:bookmarkStart w:id="529" w:name="_Toc206061784"/>
      <w:r>
        <w:t>Light Regional Council</w:t>
      </w:r>
      <w:bookmarkEnd w:id="529"/>
    </w:p>
    <w:p w14:paraId="65B9E962" w14:textId="77777777" w:rsidR="00D67069" w:rsidRDefault="00D67069" w:rsidP="00D67069">
      <w:pPr>
        <w:pStyle w:val="GG-Title3"/>
      </w:pPr>
      <w:r>
        <w:t>Mudla Wirra Ward Councillor Vacancy</w:t>
      </w:r>
    </w:p>
    <w:p w14:paraId="283B376F" w14:textId="77777777" w:rsidR="00D67069" w:rsidRDefault="00D67069" w:rsidP="00D67069">
      <w:pPr>
        <w:pStyle w:val="GG-body"/>
      </w:pPr>
      <w:r w:rsidRPr="00A821DF">
        <w:rPr>
          <w:spacing w:val="-2"/>
        </w:rPr>
        <w:t xml:space="preserve">Notice is hereby given in accordance with Section 54(6) of the </w:t>
      </w:r>
      <w:r w:rsidRPr="00A821DF">
        <w:rPr>
          <w:i/>
          <w:iCs/>
          <w:spacing w:val="-2"/>
        </w:rPr>
        <w:t>Local Government Act 1999</w:t>
      </w:r>
      <w:r w:rsidRPr="00A821DF">
        <w:rPr>
          <w:spacing w:val="-2"/>
        </w:rPr>
        <w:t>, that the office of Councillor Mudla Wirra Ward,</w:t>
      </w:r>
      <w:r>
        <w:t xml:space="preserve"> became vacant due the recent election of Councillor Bill Close to the office of Mayor, effective 12 August 2025. </w:t>
      </w:r>
    </w:p>
    <w:p w14:paraId="02CA6735" w14:textId="77777777" w:rsidR="00D67069" w:rsidRDefault="00D67069" w:rsidP="00D67069">
      <w:pPr>
        <w:pStyle w:val="GG-SDated"/>
      </w:pPr>
      <w:r>
        <w:t>Dated: 14 August 2025</w:t>
      </w:r>
    </w:p>
    <w:p w14:paraId="29E6137A" w14:textId="77777777" w:rsidR="00D67069" w:rsidRDefault="00D67069" w:rsidP="00D67069">
      <w:pPr>
        <w:pStyle w:val="GG-SName"/>
      </w:pPr>
      <w:r>
        <w:t>Richard Dodson</w:t>
      </w:r>
    </w:p>
    <w:p w14:paraId="7A860423" w14:textId="77777777" w:rsidR="00D67069" w:rsidRDefault="00D67069" w:rsidP="00D67069">
      <w:pPr>
        <w:pStyle w:val="GG-Signature"/>
      </w:pPr>
      <w:r>
        <w:t>Chief Executive Officer</w:t>
      </w:r>
    </w:p>
    <w:p w14:paraId="7BA04D1B" w14:textId="77777777" w:rsidR="00D67069" w:rsidRDefault="00D67069" w:rsidP="00D67069">
      <w:pPr>
        <w:pStyle w:val="GG-Signature"/>
        <w:pBdr>
          <w:bottom w:val="single" w:sz="4" w:space="1" w:color="auto"/>
        </w:pBdr>
        <w:spacing w:line="52" w:lineRule="exact"/>
        <w:jc w:val="center"/>
      </w:pPr>
    </w:p>
    <w:p w14:paraId="5606A70A" w14:textId="77777777" w:rsidR="00D67069" w:rsidRDefault="00D67069" w:rsidP="00D67069">
      <w:pPr>
        <w:pStyle w:val="GG-Signature"/>
        <w:pBdr>
          <w:top w:val="single" w:sz="4" w:space="1" w:color="auto"/>
        </w:pBdr>
        <w:spacing w:before="34" w:line="14" w:lineRule="exact"/>
        <w:jc w:val="center"/>
      </w:pPr>
    </w:p>
    <w:p w14:paraId="1E0C87C3" w14:textId="77777777" w:rsidR="00D67069" w:rsidRDefault="00D67069" w:rsidP="00D6706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DBE4698" w14:textId="3E709CC0" w:rsidR="00D67069" w:rsidRPr="00D67069" w:rsidRDefault="00227537" w:rsidP="003352F4">
      <w:pPr>
        <w:pStyle w:val="Heading2"/>
      </w:pPr>
      <w:bookmarkStart w:id="530" w:name="_Toc206061785"/>
      <w:r w:rsidRPr="00D67069">
        <w:t>Mount Barker District Council</w:t>
      </w:r>
      <w:bookmarkEnd w:id="530"/>
    </w:p>
    <w:p w14:paraId="77A6F787" w14:textId="77777777" w:rsidR="00D67069" w:rsidRPr="00D67069" w:rsidRDefault="00D67069" w:rsidP="00D67069">
      <w:pPr>
        <w:jc w:val="center"/>
        <w:rPr>
          <w:smallCaps/>
          <w:szCs w:val="17"/>
        </w:rPr>
      </w:pPr>
      <w:r w:rsidRPr="00D67069">
        <w:rPr>
          <w:smallCaps/>
          <w:szCs w:val="17"/>
        </w:rPr>
        <w:t>Local Government (Elections) Act 1999</w:t>
      </w:r>
    </w:p>
    <w:p w14:paraId="5B72ECBA" w14:textId="77777777" w:rsidR="00D67069" w:rsidRPr="00D67069" w:rsidRDefault="00D67069" w:rsidP="00D67069">
      <w:pPr>
        <w:jc w:val="center"/>
        <w:rPr>
          <w:i/>
          <w:szCs w:val="17"/>
        </w:rPr>
      </w:pPr>
      <w:r w:rsidRPr="00D67069">
        <w:rPr>
          <w:i/>
          <w:szCs w:val="17"/>
        </w:rPr>
        <w:t>Supplementary Election—Nominations Received</w:t>
      </w:r>
    </w:p>
    <w:p w14:paraId="62F090FB" w14:textId="77777777" w:rsidR="00D67069" w:rsidRPr="00D67069" w:rsidRDefault="00D67069" w:rsidP="00D67069">
      <w:pPr>
        <w:rPr>
          <w:rFonts w:eastAsia="Times New Roman"/>
          <w:szCs w:val="17"/>
        </w:rPr>
      </w:pPr>
      <w:r w:rsidRPr="00D67069">
        <w:rPr>
          <w:rFonts w:eastAsia="Times New Roman"/>
          <w:szCs w:val="17"/>
        </w:rPr>
        <w:t>At the close of nominations at 12 noon on Thursday, 7 August 2025, the following people have been accepted as candidates and are listed below in the order in which they will appear on the ballot paper.</w:t>
      </w:r>
    </w:p>
    <w:p w14:paraId="41F6DF3A" w14:textId="77777777" w:rsidR="00D67069" w:rsidRPr="00D67069" w:rsidRDefault="00D67069" w:rsidP="00D67069">
      <w:pPr>
        <w:rPr>
          <w:rFonts w:eastAsia="Times New Roman"/>
          <w:b/>
          <w:bCs/>
          <w:szCs w:val="17"/>
        </w:rPr>
      </w:pPr>
      <w:r w:rsidRPr="00D67069">
        <w:rPr>
          <w:rFonts w:eastAsia="Times New Roman"/>
          <w:b/>
          <w:bCs/>
          <w:szCs w:val="17"/>
        </w:rPr>
        <w:t>South Ward—1 Vacancy</w:t>
      </w:r>
    </w:p>
    <w:p w14:paraId="36DE7915" w14:textId="77777777" w:rsidR="00D67069" w:rsidRPr="00D67069" w:rsidRDefault="00D67069" w:rsidP="00D67069">
      <w:pPr>
        <w:spacing w:after="40"/>
        <w:ind w:left="142"/>
        <w:rPr>
          <w:rFonts w:eastAsia="Times New Roman"/>
          <w:szCs w:val="17"/>
        </w:rPr>
      </w:pPr>
      <w:r w:rsidRPr="00D67069">
        <w:rPr>
          <w:rFonts w:eastAsia="Times New Roman"/>
          <w:szCs w:val="17"/>
        </w:rPr>
        <w:t>ATKINSON, Diane</w:t>
      </w:r>
    </w:p>
    <w:p w14:paraId="0FD7D946" w14:textId="77777777" w:rsidR="00D67069" w:rsidRPr="00D67069" w:rsidRDefault="00D67069" w:rsidP="00D67069">
      <w:pPr>
        <w:spacing w:after="40"/>
        <w:ind w:left="142"/>
        <w:rPr>
          <w:rFonts w:eastAsia="Times New Roman"/>
          <w:szCs w:val="17"/>
        </w:rPr>
      </w:pPr>
      <w:r w:rsidRPr="00D67069">
        <w:rPr>
          <w:rFonts w:eastAsia="Times New Roman"/>
          <w:szCs w:val="17"/>
        </w:rPr>
        <w:t>FORDHAM, Anne Elizabeth</w:t>
      </w:r>
    </w:p>
    <w:p w14:paraId="66B70035" w14:textId="77777777" w:rsidR="00D67069" w:rsidRPr="00D67069" w:rsidRDefault="00D67069" w:rsidP="00D67069">
      <w:pPr>
        <w:ind w:left="142"/>
        <w:rPr>
          <w:rFonts w:eastAsia="Times New Roman"/>
          <w:szCs w:val="17"/>
        </w:rPr>
      </w:pPr>
      <w:r w:rsidRPr="00D67069">
        <w:rPr>
          <w:rFonts w:eastAsia="Times New Roman"/>
          <w:szCs w:val="17"/>
        </w:rPr>
        <w:t>KELLY, Darren</w:t>
      </w:r>
    </w:p>
    <w:p w14:paraId="158FF0C9" w14:textId="77777777" w:rsidR="00D67069" w:rsidRPr="00D67069" w:rsidRDefault="00D67069" w:rsidP="00D67069">
      <w:pPr>
        <w:rPr>
          <w:rFonts w:eastAsia="Times New Roman"/>
          <w:b/>
          <w:bCs/>
          <w:szCs w:val="17"/>
        </w:rPr>
      </w:pPr>
      <w:r w:rsidRPr="00D67069">
        <w:rPr>
          <w:rFonts w:eastAsia="Times New Roman"/>
          <w:b/>
          <w:bCs/>
          <w:szCs w:val="17"/>
        </w:rPr>
        <w:t>Campaign Disclosure Returns</w:t>
      </w:r>
    </w:p>
    <w:p w14:paraId="4E150857" w14:textId="77777777" w:rsidR="00D67069" w:rsidRPr="00D67069" w:rsidRDefault="00D67069" w:rsidP="00D67069">
      <w:pPr>
        <w:ind w:left="142"/>
        <w:rPr>
          <w:rFonts w:eastAsia="Times New Roman"/>
          <w:szCs w:val="17"/>
        </w:rPr>
      </w:pPr>
      <w:r w:rsidRPr="00D67069">
        <w:rPr>
          <w:rFonts w:eastAsia="Times New Roman"/>
          <w:szCs w:val="17"/>
        </w:rPr>
        <w:t>Candidates must lodge the following returns with the Electoral Commissioner:</w:t>
      </w:r>
    </w:p>
    <w:p w14:paraId="17EDC9B9"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Campaign donation return</w:t>
      </w:r>
    </w:p>
    <w:p w14:paraId="18608910" w14:textId="77777777" w:rsidR="00D67069" w:rsidRPr="00D67069" w:rsidRDefault="00D67069" w:rsidP="00D67069">
      <w:pPr>
        <w:ind w:left="567" w:hanging="141"/>
        <w:rPr>
          <w:rFonts w:eastAsia="Times New Roman"/>
          <w:szCs w:val="17"/>
        </w:rPr>
      </w:pPr>
      <w:r w:rsidRPr="00D67069">
        <w:rPr>
          <w:rFonts w:eastAsia="Times New Roman"/>
          <w:szCs w:val="17"/>
        </w:rPr>
        <w:t>◦</w:t>
      </w:r>
      <w:r w:rsidRPr="00D67069">
        <w:rPr>
          <w:rFonts w:eastAsia="Times New Roman"/>
          <w:szCs w:val="17"/>
        </w:rPr>
        <w:tab/>
        <w:t>Return no. 1—lodgement from Friday, 15 August to Thursday, 21 August 2025</w:t>
      </w:r>
    </w:p>
    <w:p w14:paraId="4A76EFE5" w14:textId="77777777" w:rsidR="00D67069" w:rsidRPr="00D67069" w:rsidRDefault="00D67069" w:rsidP="00D67069">
      <w:pPr>
        <w:ind w:left="567" w:hanging="141"/>
        <w:rPr>
          <w:rFonts w:eastAsia="Times New Roman"/>
          <w:szCs w:val="17"/>
        </w:rPr>
      </w:pPr>
      <w:r w:rsidRPr="00D67069">
        <w:rPr>
          <w:rFonts w:eastAsia="Times New Roman"/>
          <w:szCs w:val="17"/>
        </w:rPr>
        <w:t>◦</w:t>
      </w:r>
      <w:r w:rsidRPr="00D67069">
        <w:rPr>
          <w:rFonts w:eastAsia="Times New Roman"/>
          <w:szCs w:val="17"/>
        </w:rPr>
        <w:tab/>
        <w:t>Return no. 2—within 30 days of the conclusion of the election</w:t>
      </w:r>
    </w:p>
    <w:p w14:paraId="4FDE102A"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Large gift return</w:t>
      </w:r>
    </w:p>
    <w:p w14:paraId="151EEB49" w14:textId="77777777" w:rsidR="00D67069" w:rsidRPr="00D67069" w:rsidRDefault="00D67069" w:rsidP="00D67069">
      <w:pPr>
        <w:ind w:left="567" w:hanging="141"/>
        <w:rPr>
          <w:rFonts w:eastAsia="Times New Roman"/>
          <w:szCs w:val="17"/>
        </w:rPr>
      </w:pPr>
      <w:r w:rsidRPr="00D67069">
        <w:rPr>
          <w:rFonts w:eastAsia="Times New Roman"/>
          <w:szCs w:val="17"/>
        </w:rPr>
        <w:t>◦</w:t>
      </w:r>
      <w:r w:rsidRPr="00D67069">
        <w:rPr>
          <w:rFonts w:eastAsia="Times New Roman"/>
          <w:szCs w:val="17"/>
        </w:rPr>
        <w:tab/>
        <w:t>Return lodgement within 5 days after receipt, only required for gifts in excess of $2,500</w:t>
      </w:r>
    </w:p>
    <w:p w14:paraId="5E3502B2" w14:textId="77777777" w:rsidR="00D67069" w:rsidRPr="00D67069" w:rsidRDefault="00D67069" w:rsidP="00D67069">
      <w:pPr>
        <w:ind w:left="142"/>
        <w:rPr>
          <w:rFonts w:eastAsia="Times New Roman"/>
          <w:szCs w:val="17"/>
        </w:rPr>
      </w:pPr>
      <w:r w:rsidRPr="00D67069">
        <w:rPr>
          <w:rFonts w:eastAsia="Times New Roman"/>
          <w:szCs w:val="17"/>
        </w:rPr>
        <w:t xml:space="preserve">Detailed information about candidate disclosure return requirements can be found at </w:t>
      </w:r>
      <w:hyperlink r:id="rId331" w:history="1">
        <w:r w:rsidRPr="00D67069">
          <w:rPr>
            <w:rFonts w:eastAsia="Times New Roman"/>
            <w:color w:val="0000FF"/>
            <w:szCs w:val="17"/>
            <w:u w:val="single"/>
          </w:rPr>
          <w:t>www.ecsa.sa.gov.au</w:t>
        </w:r>
      </w:hyperlink>
      <w:r w:rsidRPr="00D67069">
        <w:rPr>
          <w:rFonts w:eastAsia="Times New Roman"/>
          <w:szCs w:val="17"/>
        </w:rPr>
        <w:t>.</w:t>
      </w:r>
    </w:p>
    <w:p w14:paraId="32B542D4" w14:textId="77777777" w:rsidR="00D67069" w:rsidRPr="00D67069" w:rsidRDefault="00D67069" w:rsidP="00D67069">
      <w:pPr>
        <w:rPr>
          <w:rFonts w:eastAsia="Times New Roman"/>
          <w:b/>
          <w:bCs/>
          <w:szCs w:val="17"/>
        </w:rPr>
      </w:pPr>
      <w:r w:rsidRPr="00D67069">
        <w:rPr>
          <w:rFonts w:eastAsia="Times New Roman"/>
          <w:b/>
          <w:bCs/>
          <w:szCs w:val="17"/>
        </w:rPr>
        <w:t>Voting Conducted by Post</w:t>
      </w:r>
    </w:p>
    <w:p w14:paraId="6ED18286" w14:textId="77777777" w:rsidR="00D67069" w:rsidRPr="00D67069" w:rsidRDefault="00D67069" w:rsidP="00D67069">
      <w:pPr>
        <w:ind w:left="142"/>
        <w:rPr>
          <w:rFonts w:eastAsia="Times New Roman"/>
          <w:szCs w:val="17"/>
        </w:rPr>
      </w:pPr>
      <w:r w:rsidRPr="00D67069">
        <w:rPr>
          <w:rFonts w:eastAsia="Times New Roman"/>
          <w:szCs w:val="17"/>
        </w:rPr>
        <w:t>The election is conducted entirely by post and no polling booths will be open for voting. Ballot papers and reply-paid envelopes are mailed out between Tuesday, 26 August and Monday, 1 September 2025 to every person, body corporate and group listed on the voters roll at the close of rolls on 5pm, Monday, 30 June 2025. Voting is voluntary.</w:t>
      </w:r>
    </w:p>
    <w:p w14:paraId="768941C4" w14:textId="77777777" w:rsidR="00D67069" w:rsidRPr="00D67069" w:rsidRDefault="00D67069" w:rsidP="00D67069">
      <w:pPr>
        <w:ind w:left="142"/>
        <w:rPr>
          <w:rFonts w:eastAsia="Times New Roman"/>
          <w:szCs w:val="17"/>
        </w:rPr>
      </w:pPr>
      <w:r w:rsidRPr="00D67069">
        <w:rPr>
          <w:rFonts w:eastAsia="Times New Roman"/>
          <w:szCs w:val="17"/>
        </w:rPr>
        <w:lastRenderedPageBreak/>
        <w:t>A person who has not received voting material by Thursday, 4 September 2025, and believes they are entitled to vote, should contact the deputy returning officer on 1300 655 232 before 5pm, Monday, 15 September 2025.</w:t>
      </w:r>
    </w:p>
    <w:p w14:paraId="0AACFC69" w14:textId="77777777" w:rsidR="00D67069" w:rsidRPr="00D67069" w:rsidRDefault="00D67069" w:rsidP="00D67069">
      <w:pPr>
        <w:ind w:left="142"/>
        <w:rPr>
          <w:rFonts w:eastAsia="Times New Roman"/>
          <w:szCs w:val="17"/>
        </w:rPr>
      </w:pPr>
      <w:r w:rsidRPr="00D67069">
        <w:rPr>
          <w:rFonts w:eastAsia="Times New Roman"/>
          <w:szCs w:val="17"/>
        </w:rPr>
        <w:t>Completed voting material must be sent to reach the returning officer no later than 12 noon on polling day Monday, 22 September 2025.</w:t>
      </w:r>
    </w:p>
    <w:p w14:paraId="295BF388" w14:textId="77777777" w:rsidR="00D67069" w:rsidRPr="00D67069" w:rsidRDefault="00D67069" w:rsidP="00D67069">
      <w:pPr>
        <w:rPr>
          <w:rFonts w:eastAsia="Times New Roman"/>
          <w:b/>
          <w:bCs/>
          <w:szCs w:val="17"/>
        </w:rPr>
      </w:pPr>
      <w:r w:rsidRPr="00D67069">
        <w:rPr>
          <w:rFonts w:eastAsia="Times New Roman"/>
          <w:b/>
          <w:bCs/>
          <w:szCs w:val="17"/>
        </w:rPr>
        <w:t>Assisted Voting</w:t>
      </w:r>
    </w:p>
    <w:p w14:paraId="479A6267" w14:textId="77777777" w:rsidR="00D67069" w:rsidRPr="00D67069" w:rsidRDefault="00D67069" w:rsidP="00D67069">
      <w:pPr>
        <w:ind w:left="142"/>
        <w:rPr>
          <w:rFonts w:eastAsia="Times New Roman"/>
          <w:szCs w:val="17"/>
        </w:rPr>
      </w:pPr>
      <w:r w:rsidRPr="00D67069">
        <w:rPr>
          <w:rFonts w:eastAsia="Times New Roman"/>
          <w:szCs w:val="17"/>
        </w:rPr>
        <w:t xml:space="preserve">Prescribed electors under Section 41A(8) of the </w:t>
      </w:r>
      <w:r w:rsidRPr="00D67069">
        <w:rPr>
          <w:rFonts w:eastAsia="Times New Roman"/>
          <w:i/>
          <w:iCs/>
          <w:szCs w:val="17"/>
        </w:rPr>
        <w:t>Local Government (Elections) Act 1999</w:t>
      </w:r>
      <w:r w:rsidRPr="00D67069">
        <w:rPr>
          <w:rFonts w:eastAsia="Times New Roman"/>
          <w:szCs w:val="17"/>
        </w:rPr>
        <w:t>, may vote via the telephone assisted voting method by calling the Electoral Commission SA on:</w:t>
      </w:r>
    </w:p>
    <w:p w14:paraId="08BDD387"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1300 655 232 within South Australia only</w:t>
      </w:r>
    </w:p>
    <w:p w14:paraId="756887CE"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08 7424 7400 from interstate</w:t>
      </w:r>
    </w:p>
    <w:p w14:paraId="462ED8A8"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+61 8 7424 7400 from overseas</w:t>
      </w:r>
    </w:p>
    <w:p w14:paraId="0E3A7163" w14:textId="77777777" w:rsidR="00D67069" w:rsidRPr="00D67069" w:rsidRDefault="00D67069" w:rsidP="00D67069">
      <w:pPr>
        <w:ind w:left="142"/>
        <w:rPr>
          <w:rFonts w:eastAsia="Times New Roman"/>
          <w:szCs w:val="17"/>
        </w:rPr>
      </w:pPr>
      <w:r w:rsidRPr="00D67069">
        <w:rPr>
          <w:rFonts w:eastAsia="Times New Roman"/>
          <w:szCs w:val="17"/>
        </w:rPr>
        <w:t>The Telephone Assisted Voting Centre will operate for the following times and days:</w:t>
      </w:r>
    </w:p>
    <w:p w14:paraId="731C99F6"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9am-5pm, Thursday, 18 September and Friday, 19 September 2025</w:t>
      </w:r>
    </w:p>
    <w:p w14:paraId="2B4B58A5"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9am-12 noon, Monday, 22 September 2025 (close of voting)</w:t>
      </w:r>
    </w:p>
    <w:p w14:paraId="04948989" w14:textId="77777777" w:rsidR="00D67069" w:rsidRPr="00D67069" w:rsidRDefault="00D67069" w:rsidP="00D67069">
      <w:pPr>
        <w:rPr>
          <w:rFonts w:eastAsia="Times New Roman"/>
          <w:b/>
          <w:bCs/>
          <w:szCs w:val="17"/>
        </w:rPr>
      </w:pPr>
      <w:r w:rsidRPr="00D67069">
        <w:rPr>
          <w:rFonts w:eastAsia="Times New Roman"/>
          <w:b/>
          <w:bCs/>
          <w:szCs w:val="17"/>
        </w:rPr>
        <w:t>Vote Counting Location</w:t>
      </w:r>
    </w:p>
    <w:p w14:paraId="516D0D35" w14:textId="77777777" w:rsidR="00D67069" w:rsidRPr="00D67069" w:rsidRDefault="00D67069" w:rsidP="00D67069">
      <w:pPr>
        <w:ind w:left="142"/>
        <w:rPr>
          <w:rFonts w:eastAsia="Times New Roman"/>
          <w:szCs w:val="17"/>
        </w:rPr>
      </w:pPr>
      <w:r w:rsidRPr="00D67069">
        <w:rPr>
          <w:rFonts w:eastAsia="Times New Roman"/>
          <w:szCs w:val="17"/>
        </w:rPr>
        <w:t>The scrutiny and count will take place from 9:30am on Tuesday, 23 September 2025 at the following location:</w:t>
      </w:r>
    </w:p>
    <w:p w14:paraId="5FA08C2F" w14:textId="77777777" w:rsidR="00D67069" w:rsidRPr="00D67069" w:rsidRDefault="00D67069" w:rsidP="00D67069">
      <w:pPr>
        <w:ind w:left="426" w:hanging="142"/>
        <w:rPr>
          <w:rFonts w:eastAsia="Times New Roman"/>
          <w:szCs w:val="17"/>
        </w:rPr>
      </w:pPr>
      <w:r w:rsidRPr="00D67069">
        <w:rPr>
          <w:rFonts w:eastAsia="Times New Roman"/>
          <w:szCs w:val="17"/>
        </w:rPr>
        <w:t>•</w:t>
      </w:r>
      <w:r w:rsidRPr="00D67069">
        <w:rPr>
          <w:rFonts w:eastAsia="Times New Roman"/>
          <w:szCs w:val="17"/>
        </w:rPr>
        <w:tab/>
        <w:t>Electoral Commission SA Central Processing Centre</w:t>
      </w:r>
    </w:p>
    <w:p w14:paraId="2D2ED06D" w14:textId="77777777" w:rsidR="00D67069" w:rsidRPr="00D67069" w:rsidRDefault="00D67069" w:rsidP="00D67069">
      <w:pPr>
        <w:ind w:left="567" w:hanging="141"/>
        <w:rPr>
          <w:rFonts w:eastAsia="Times New Roman"/>
          <w:szCs w:val="17"/>
        </w:rPr>
      </w:pPr>
      <w:r w:rsidRPr="00D67069">
        <w:rPr>
          <w:rFonts w:eastAsia="Times New Roman"/>
          <w:szCs w:val="17"/>
        </w:rPr>
        <w:t>◦</w:t>
      </w:r>
      <w:r w:rsidRPr="00D67069">
        <w:rPr>
          <w:rFonts w:eastAsia="Times New Roman"/>
          <w:szCs w:val="17"/>
        </w:rPr>
        <w:tab/>
        <w:t>7 Hudson Court, Netley 5037</w:t>
      </w:r>
    </w:p>
    <w:p w14:paraId="77FEA7E8" w14:textId="77777777" w:rsidR="00D67069" w:rsidRPr="00D67069" w:rsidRDefault="00D67069" w:rsidP="00D67069">
      <w:pPr>
        <w:ind w:left="142"/>
        <w:rPr>
          <w:rFonts w:eastAsia="Times New Roman"/>
          <w:szCs w:val="17"/>
        </w:rPr>
      </w:pPr>
      <w:r w:rsidRPr="00D67069">
        <w:rPr>
          <w:rFonts w:eastAsia="Times New Roman"/>
          <w:szCs w:val="17"/>
        </w:rPr>
        <w:t>A provisional declaration will be made at the conclusion of the election count.</w:t>
      </w:r>
    </w:p>
    <w:p w14:paraId="7F7C65F7"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6260AA24"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Mick Sherry</w:t>
      </w:r>
    </w:p>
    <w:p w14:paraId="316C1932" w14:textId="77777777" w:rsidR="00D67069" w:rsidRDefault="00D67069" w:rsidP="00D67069">
      <w:pPr>
        <w:spacing w:after="0"/>
        <w:jc w:val="right"/>
        <w:rPr>
          <w:rFonts w:eastAsia="Times New Roman"/>
          <w:szCs w:val="17"/>
        </w:rPr>
      </w:pPr>
      <w:r w:rsidRPr="00D67069">
        <w:rPr>
          <w:rFonts w:eastAsia="Times New Roman"/>
          <w:szCs w:val="17"/>
        </w:rPr>
        <w:t>Returning Officer</w:t>
      </w:r>
    </w:p>
    <w:p w14:paraId="297C58E9" w14:textId="77777777" w:rsidR="00D67069" w:rsidRDefault="00D67069" w:rsidP="00D67069">
      <w:pPr>
        <w:pBdr>
          <w:bottom w:val="single" w:sz="4" w:space="1" w:color="auto"/>
        </w:pBdr>
        <w:spacing w:after="0" w:line="52" w:lineRule="exact"/>
        <w:jc w:val="center"/>
        <w:rPr>
          <w:rFonts w:eastAsia="Times New Roman"/>
          <w:szCs w:val="17"/>
        </w:rPr>
      </w:pPr>
    </w:p>
    <w:p w14:paraId="17DA8D5D" w14:textId="77777777" w:rsidR="00D67069" w:rsidRDefault="00D67069" w:rsidP="00D67069">
      <w:pPr>
        <w:pBdr>
          <w:top w:val="single" w:sz="4" w:space="1" w:color="auto"/>
        </w:pBdr>
        <w:spacing w:before="34" w:after="0" w:line="14" w:lineRule="exact"/>
        <w:jc w:val="center"/>
        <w:rPr>
          <w:rFonts w:eastAsia="Times New Roman"/>
          <w:szCs w:val="17"/>
        </w:rPr>
      </w:pPr>
    </w:p>
    <w:p w14:paraId="30544041" w14:textId="77777777" w:rsidR="00D67069" w:rsidRPr="00D67069" w:rsidRDefault="00D67069" w:rsidP="006A7F78">
      <w:pPr>
        <w:pStyle w:val="NoSpacing"/>
      </w:pPr>
    </w:p>
    <w:p w14:paraId="058AC2AA" w14:textId="70F5E771" w:rsidR="00D67069" w:rsidRPr="00227537" w:rsidRDefault="00227537" w:rsidP="003352F4">
      <w:pPr>
        <w:pStyle w:val="Heading2"/>
      </w:pPr>
      <w:bookmarkStart w:id="531" w:name="_Toc206061786"/>
      <w:r w:rsidRPr="00D67069">
        <w:t xml:space="preserve">District Council </w:t>
      </w:r>
      <w:r>
        <w:t>o</w:t>
      </w:r>
      <w:r w:rsidRPr="00D67069">
        <w:t>f Mount Remarkable</w:t>
      </w:r>
      <w:bookmarkEnd w:id="531"/>
    </w:p>
    <w:p w14:paraId="375AAB5B" w14:textId="77777777" w:rsidR="00D67069" w:rsidRPr="00D67069" w:rsidRDefault="00D67069" w:rsidP="00D67069">
      <w:pPr>
        <w:jc w:val="center"/>
        <w:rPr>
          <w:i/>
          <w:szCs w:val="17"/>
        </w:rPr>
      </w:pPr>
      <w:r w:rsidRPr="00D67069">
        <w:rPr>
          <w:i/>
          <w:szCs w:val="17"/>
        </w:rPr>
        <w:t>Resignation of Councillor</w:t>
      </w:r>
    </w:p>
    <w:p w14:paraId="2C6C935B" w14:textId="77777777" w:rsidR="00D67069" w:rsidRPr="00D67069" w:rsidRDefault="00D67069" w:rsidP="00D67069">
      <w:pPr>
        <w:rPr>
          <w:rFonts w:eastAsia="Times New Roman"/>
          <w:szCs w:val="17"/>
        </w:rPr>
      </w:pPr>
      <w:r w:rsidRPr="00D67069">
        <w:rPr>
          <w:rFonts w:eastAsia="Times New Roman"/>
          <w:szCs w:val="17"/>
        </w:rPr>
        <w:t xml:space="preserve">Notice is hereby given in accordance with Section 54(6) of the </w:t>
      </w:r>
      <w:r w:rsidRPr="00D67069">
        <w:rPr>
          <w:rFonts w:eastAsia="Times New Roman"/>
          <w:i/>
          <w:iCs/>
          <w:szCs w:val="17"/>
        </w:rPr>
        <w:t>Local Government Act 1999</w:t>
      </w:r>
      <w:r w:rsidRPr="00D67069">
        <w:rPr>
          <w:rFonts w:eastAsia="Times New Roman"/>
          <w:szCs w:val="17"/>
        </w:rPr>
        <w:t xml:space="preserve">, that a vacancy has occurred in the office of Councillor for Willochra Ward, due to the resignation of Councillor Dan van Holst Pellekaan, to take effect from 14 July 2025. </w:t>
      </w:r>
    </w:p>
    <w:p w14:paraId="5C5DE6F8"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19729AED"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Martin Borgas</w:t>
      </w:r>
    </w:p>
    <w:p w14:paraId="5CAE3FFA" w14:textId="77777777" w:rsidR="00D67069" w:rsidRDefault="00D67069" w:rsidP="00D67069">
      <w:pPr>
        <w:spacing w:after="0"/>
        <w:jc w:val="right"/>
        <w:rPr>
          <w:rFonts w:eastAsia="Times New Roman"/>
          <w:szCs w:val="17"/>
        </w:rPr>
      </w:pPr>
      <w:r w:rsidRPr="00D67069">
        <w:rPr>
          <w:rFonts w:eastAsia="Times New Roman"/>
          <w:szCs w:val="17"/>
        </w:rPr>
        <w:t>Chief Executive Officer</w:t>
      </w:r>
    </w:p>
    <w:p w14:paraId="4BA9C87A" w14:textId="77777777" w:rsidR="00D67069" w:rsidRDefault="00D67069" w:rsidP="00D67069">
      <w:pPr>
        <w:pBdr>
          <w:bottom w:val="single" w:sz="4" w:space="1" w:color="auto"/>
        </w:pBdr>
        <w:spacing w:after="0" w:line="52" w:lineRule="exact"/>
        <w:jc w:val="center"/>
        <w:rPr>
          <w:rFonts w:eastAsia="Times New Roman"/>
          <w:szCs w:val="17"/>
        </w:rPr>
      </w:pPr>
    </w:p>
    <w:p w14:paraId="0FFF3A91" w14:textId="77777777" w:rsidR="00D67069" w:rsidRDefault="00D67069" w:rsidP="00D67069">
      <w:pPr>
        <w:pBdr>
          <w:top w:val="single" w:sz="4" w:space="1" w:color="auto"/>
        </w:pBdr>
        <w:spacing w:before="34" w:after="0" w:line="14" w:lineRule="exact"/>
        <w:jc w:val="center"/>
        <w:rPr>
          <w:rFonts w:eastAsia="Times New Roman"/>
          <w:szCs w:val="17"/>
        </w:rPr>
      </w:pPr>
    </w:p>
    <w:p w14:paraId="5680E571" w14:textId="77777777" w:rsidR="00D67069" w:rsidRPr="00D67069" w:rsidRDefault="00D67069" w:rsidP="006A7F78">
      <w:pPr>
        <w:pStyle w:val="NoSpacing"/>
      </w:pPr>
    </w:p>
    <w:p w14:paraId="135F23C9" w14:textId="70077F9B" w:rsidR="00D67069" w:rsidRPr="00D67069" w:rsidRDefault="00227537" w:rsidP="003352F4">
      <w:pPr>
        <w:pStyle w:val="Heading2"/>
      </w:pPr>
      <w:bookmarkStart w:id="532" w:name="_Toc206061787"/>
      <w:r w:rsidRPr="00D67069">
        <w:t xml:space="preserve">District Council </w:t>
      </w:r>
      <w:r>
        <w:t>o</w:t>
      </w:r>
      <w:r w:rsidRPr="00D67069">
        <w:t>f Orroroo Carrieton</w:t>
      </w:r>
      <w:bookmarkEnd w:id="532"/>
    </w:p>
    <w:p w14:paraId="43EC7FD4" w14:textId="77777777" w:rsidR="00D67069" w:rsidRPr="00D67069" w:rsidRDefault="00D67069" w:rsidP="00D67069">
      <w:pPr>
        <w:jc w:val="center"/>
        <w:rPr>
          <w:smallCaps/>
          <w:szCs w:val="17"/>
        </w:rPr>
      </w:pPr>
      <w:r w:rsidRPr="00D67069">
        <w:rPr>
          <w:smallCaps/>
          <w:szCs w:val="17"/>
        </w:rPr>
        <w:t>Local Government (Elections) Act 1999</w:t>
      </w:r>
    </w:p>
    <w:p w14:paraId="62F0CF7D" w14:textId="77777777" w:rsidR="00D67069" w:rsidRPr="00D67069" w:rsidRDefault="00D67069" w:rsidP="00D67069">
      <w:pPr>
        <w:jc w:val="center"/>
        <w:rPr>
          <w:i/>
          <w:szCs w:val="17"/>
        </w:rPr>
      </w:pPr>
      <w:r w:rsidRPr="00D67069">
        <w:rPr>
          <w:i/>
          <w:szCs w:val="17"/>
        </w:rPr>
        <w:t>Supplementary Election—Nominations Received</w:t>
      </w:r>
    </w:p>
    <w:p w14:paraId="4B54E8B1" w14:textId="77777777" w:rsidR="00D67069" w:rsidRPr="00D67069" w:rsidRDefault="00D67069" w:rsidP="0094177D">
      <w:pPr>
        <w:spacing w:after="60"/>
      </w:pPr>
      <w:r w:rsidRPr="00D67069">
        <w:t>At the close of nominations at 12 noon on Thursday, 7 August 2025, the following people have been accepted as candidates and are listed below in the order in which they will appear on the ballot paper.</w:t>
      </w:r>
    </w:p>
    <w:p w14:paraId="136FB8ED" w14:textId="77777777" w:rsidR="00D67069" w:rsidRPr="00D67069" w:rsidRDefault="00D67069" w:rsidP="0094177D">
      <w:pPr>
        <w:spacing w:after="60"/>
        <w:rPr>
          <w:b/>
          <w:bCs/>
        </w:rPr>
      </w:pPr>
      <w:r w:rsidRPr="00D67069">
        <w:rPr>
          <w:b/>
          <w:bCs/>
        </w:rPr>
        <w:t>Area Councillor—2 Vacancies</w:t>
      </w:r>
    </w:p>
    <w:p w14:paraId="401621C8" w14:textId="77777777" w:rsidR="00D67069" w:rsidRPr="00D67069" w:rsidRDefault="00D67069" w:rsidP="00D67069">
      <w:pPr>
        <w:spacing w:after="40"/>
        <w:ind w:left="142"/>
      </w:pPr>
      <w:r w:rsidRPr="00D67069">
        <w:t xml:space="preserve">JESSER, Roger Grant </w:t>
      </w:r>
    </w:p>
    <w:p w14:paraId="2C1ACCA6" w14:textId="77777777" w:rsidR="00D67069" w:rsidRPr="00D67069" w:rsidRDefault="00D67069" w:rsidP="00D67069">
      <w:pPr>
        <w:spacing w:after="40"/>
        <w:ind w:left="142"/>
      </w:pPr>
      <w:r w:rsidRPr="00D67069">
        <w:t xml:space="preserve">HOOPER, Shane </w:t>
      </w:r>
    </w:p>
    <w:p w14:paraId="1B29D1BA" w14:textId="77777777" w:rsidR="00D67069" w:rsidRPr="00D67069" w:rsidRDefault="00D67069" w:rsidP="0094177D">
      <w:pPr>
        <w:spacing w:after="60"/>
        <w:ind w:left="142"/>
      </w:pPr>
      <w:r w:rsidRPr="00D67069">
        <w:t xml:space="preserve">CLARKE, Julia </w:t>
      </w:r>
    </w:p>
    <w:p w14:paraId="2E5F82BF" w14:textId="77777777" w:rsidR="00D67069" w:rsidRPr="00D67069" w:rsidRDefault="00D67069" w:rsidP="0094177D">
      <w:pPr>
        <w:spacing w:after="60"/>
        <w:rPr>
          <w:b/>
          <w:bCs/>
        </w:rPr>
      </w:pPr>
      <w:r w:rsidRPr="00D67069">
        <w:rPr>
          <w:b/>
          <w:bCs/>
        </w:rPr>
        <w:t>Campaign Disclosure Returns</w:t>
      </w:r>
    </w:p>
    <w:p w14:paraId="21279961" w14:textId="77777777" w:rsidR="00D67069" w:rsidRPr="00D67069" w:rsidRDefault="00D67069" w:rsidP="0094177D">
      <w:pPr>
        <w:spacing w:after="60"/>
        <w:ind w:left="142"/>
      </w:pPr>
      <w:r w:rsidRPr="00D67069">
        <w:t>Candidates must lodge the following returns with the Electoral Commissioner:</w:t>
      </w:r>
    </w:p>
    <w:p w14:paraId="0733D65D" w14:textId="77777777" w:rsidR="00D67069" w:rsidRPr="00D67069" w:rsidRDefault="00D67069" w:rsidP="0094177D">
      <w:pPr>
        <w:spacing w:after="60"/>
        <w:ind w:left="426" w:hanging="142"/>
      </w:pPr>
      <w:r w:rsidRPr="00D67069">
        <w:t>•</w:t>
      </w:r>
      <w:r w:rsidRPr="00D67069">
        <w:tab/>
        <w:t>Campaign donation return</w:t>
      </w:r>
    </w:p>
    <w:p w14:paraId="6AB36322" w14:textId="77777777" w:rsidR="00D67069" w:rsidRPr="00D67069" w:rsidRDefault="00D67069" w:rsidP="003274D3">
      <w:pPr>
        <w:spacing w:after="40"/>
        <w:ind w:left="567" w:hanging="142"/>
      </w:pPr>
      <w:r w:rsidRPr="00D67069">
        <w:t>◦</w:t>
      </w:r>
      <w:r w:rsidRPr="00D67069">
        <w:tab/>
        <w:t>Return no. 1—lodgement from Friday, 15 August to Thursday, 21 August 2025</w:t>
      </w:r>
    </w:p>
    <w:p w14:paraId="7EEEF5C6" w14:textId="77777777" w:rsidR="00D67069" w:rsidRPr="00D67069" w:rsidRDefault="00D67069" w:rsidP="0094177D">
      <w:pPr>
        <w:spacing w:after="60"/>
        <w:ind w:left="567" w:hanging="142"/>
      </w:pPr>
      <w:r w:rsidRPr="00D67069">
        <w:t>◦</w:t>
      </w:r>
      <w:r w:rsidRPr="00D67069">
        <w:tab/>
        <w:t>Return no. 2—within 30 days of the conclusion of the election</w:t>
      </w:r>
    </w:p>
    <w:p w14:paraId="3057B8BF" w14:textId="77777777" w:rsidR="00D67069" w:rsidRPr="00D67069" w:rsidRDefault="00D67069" w:rsidP="0094177D">
      <w:pPr>
        <w:spacing w:after="60"/>
        <w:ind w:left="426" w:hanging="142"/>
      </w:pPr>
      <w:r w:rsidRPr="00D67069">
        <w:t>•</w:t>
      </w:r>
      <w:r w:rsidRPr="00D67069">
        <w:tab/>
        <w:t>Large gift return</w:t>
      </w:r>
    </w:p>
    <w:p w14:paraId="30574F21" w14:textId="77777777" w:rsidR="00D67069" w:rsidRPr="00D67069" w:rsidRDefault="00D67069" w:rsidP="0094177D">
      <w:pPr>
        <w:spacing w:after="60"/>
        <w:ind w:left="567" w:hanging="142"/>
      </w:pPr>
      <w:r w:rsidRPr="00D67069">
        <w:t>◦</w:t>
      </w:r>
      <w:r w:rsidRPr="00D67069">
        <w:tab/>
        <w:t>Return lodgement within 5 days after receipt, only required for gifts in excess of $2,500</w:t>
      </w:r>
    </w:p>
    <w:p w14:paraId="2083735E" w14:textId="77777777" w:rsidR="00D67069" w:rsidRPr="00D67069" w:rsidRDefault="00D67069" w:rsidP="0094177D">
      <w:pPr>
        <w:spacing w:after="60"/>
        <w:ind w:left="142"/>
      </w:pPr>
      <w:r w:rsidRPr="00D67069">
        <w:t xml:space="preserve">Detailed information about candidate disclosure return requirements can be found at </w:t>
      </w:r>
      <w:hyperlink r:id="rId332" w:history="1">
        <w:r w:rsidRPr="00D67069">
          <w:rPr>
            <w:color w:val="0000FF"/>
            <w:u w:val="single"/>
          </w:rPr>
          <w:t>www.ecsa.sa.gov.au</w:t>
        </w:r>
      </w:hyperlink>
    </w:p>
    <w:p w14:paraId="6DED9079" w14:textId="77777777" w:rsidR="00D67069" w:rsidRPr="00D67069" w:rsidRDefault="00D67069" w:rsidP="0094177D">
      <w:pPr>
        <w:spacing w:after="60"/>
        <w:rPr>
          <w:b/>
          <w:bCs/>
        </w:rPr>
      </w:pPr>
      <w:r w:rsidRPr="00D67069">
        <w:rPr>
          <w:b/>
          <w:bCs/>
        </w:rPr>
        <w:t>Voting Conducted by Post</w:t>
      </w:r>
    </w:p>
    <w:p w14:paraId="4DCC5C0E" w14:textId="77777777" w:rsidR="00D67069" w:rsidRPr="00D67069" w:rsidRDefault="00D67069" w:rsidP="0094177D">
      <w:pPr>
        <w:spacing w:after="60"/>
        <w:ind w:left="142"/>
      </w:pPr>
      <w:r w:rsidRPr="00D67069">
        <w:t>The election is conducted entirely by post and no polling booths will be open for voting. Ballot papers and reply-paid envelopes are mailed out between Tuesday, 26 August and Monday, 1 September 2025 to every person, body corporate and group listed on the voters roll at the close of rolls on 5pm, Monday, 30 June 2025. Voting is voluntary.</w:t>
      </w:r>
    </w:p>
    <w:p w14:paraId="33F466B8" w14:textId="77777777" w:rsidR="00D67069" w:rsidRPr="00D67069" w:rsidRDefault="00D67069" w:rsidP="0094177D">
      <w:pPr>
        <w:spacing w:after="60"/>
        <w:ind w:left="142"/>
      </w:pPr>
      <w:r w:rsidRPr="00D67069">
        <w:t>A person who has not received voting material by Thursday, 4 September 2025, and believes they are entitled to vote, should contact the deputy returning officer on 1300 655 232 before 5pm, Monday, 15 September 2025.</w:t>
      </w:r>
    </w:p>
    <w:p w14:paraId="42156E52" w14:textId="77777777" w:rsidR="00D67069" w:rsidRPr="00D67069" w:rsidRDefault="00D67069" w:rsidP="0094177D">
      <w:pPr>
        <w:spacing w:after="60"/>
        <w:ind w:left="142"/>
      </w:pPr>
      <w:r w:rsidRPr="00D67069">
        <w:t>Completed voting material must be sent to reach the returning officer no later than 12 noon on polling day Monday, 22 September 2025.</w:t>
      </w:r>
    </w:p>
    <w:p w14:paraId="4B361296" w14:textId="77777777" w:rsidR="00D67069" w:rsidRPr="00D67069" w:rsidRDefault="00D67069" w:rsidP="0094177D">
      <w:pPr>
        <w:spacing w:after="60"/>
        <w:rPr>
          <w:b/>
          <w:bCs/>
        </w:rPr>
      </w:pPr>
      <w:r w:rsidRPr="00D67069">
        <w:rPr>
          <w:b/>
          <w:bCs/>
        </w:rPr>
        <w:t>Assisted Voting</w:t>
      </w:r>
    </w:p>
    <w:p w14:paraId="7473D350" w14:textId="77777777" w:rsidR="00D67069" w:rsidRPr="00D67069" w:rsidRDefault="00D67069" w:rsidP="0094177D">
      <w:pPr>
        <w:spacing w:after="60"/>
        <w:ind w:left="142"/>
      </w:pPr>
      <w:r w:rsidRPr="00D67069">
        <w:t xml:space="preserve">Prescribed electors under Section 41A(8) of the </w:t>
      </w:r>
      <w:r w:rsidRPr="00D67069">
        <w:rPr>
          <w:i/>
          <w:iCs/>
        </w:rPr>
        <w:t>Local Government (Elections) Act 1999</w:t>
      </w:r>
      <w:r w:rsidRPr="00D67069">
        <w:t>, may vote via the telephone assisted voting method by calling the Electoral Commission SA on:</w:t>
      </w:r>
    </w:p>
    <w:p w14:paraId="1A7EA790" w14:textId="77777777" w:rsidR="00D67069" w:rsidRPr="00D67069" w:rsidRDefault="00D67069" w:rsidP="0094177D">
      <w:pPr>
        <w:spacing w:after="60"/>
        <w:ind w:left="426" w:hanging="142"/>
      </w:pPr>
      <w:r w:rsidRPr="00D67069">
        <w:t>•</w:t>
      </w:r>
      <w:r w:rsidRPr="00D67069">
        <w:tab/>
        <w:t>1300 655 232 within South Australia only</w:t>
      </w:r>
    </w:p>
    <w:p w14:paraId="07EF10C3" w14:textId="77777777" w:rsidR="00D67069" w:rsidRPr="00D67069" w:rsidRDefault="00D67069" w:rsidP="0094177D">
      <w:pPr>
        <w:spacing w:after="60"/>
        <w:ind w:left="426" w:hanging="142"/>
      </w:pPr>
      <w:r w:rsidRPr="00D67069">
        <w:t>•</w:t>
      </w:r>
      <w:r w:rsidRPr="00D67069">
        <w:tab/>
        <w:t>08 7424 7400 from interstate</w:t>
      </w:r>
    </w:p>
    <w:p w14:paraId="7962CD52" w14:textId="0F565493" w:rsidR="006A7F78" w:rsidRDefault="00D67069" w:rsidP="0094177D">
      <w:pPr>
        <w:spacing w:after="60"/>
        <w:ind w:left="426" w:hanging="142"/>
      </w:pPr>
      <w:r w:rsidRPr="00D67069">
        <w:t>•</w:t>
      </w:r>
      <w:r w:rsidRPr="00D67069">
        <w:tab/>
        <w:t>+61 8 7424 7400 from overseas</w:t>
      </w:r>
    </w:p>
    <w:p w14:paraId="7DF73249" w14:textId="77777777" w:rsidR="006A7F78" w:rsidRDefault="006A7F78">
      <w:pPr>
        <w:spacing w:after="0" w:line="240" w:lineRule="auto"/>
        <w:jc w:val="left"/>
      </w:pPr>
      <w:r>
        <w:br w:type="page"/>
      </w:r>
    </w:p>
    <w:p w14:paraId="5E6BC3BD" w14:textId="77777777" w:rsidR="00D67069" w:rsidRPr="00D67069" w:rsidRDefault="00D67069" w:rsidP="00D67069">
      <w:pPr>
        <w:ind w:left="142"/>
      </w:pPr>
      <w:r w:rsidRPr="00D67069">
        <w:lastRenderedPageBreak/>
        <w:t>The Telephone Assisted Voting Centre will operate for the following times and days:</w:t>
      </w:r>
    </w:p>
    <w:p w14:paraId="67411ABA" w14:textId="77777777" w:rsidR="00D67069" w:rsidRPr="00D67069" w:rsidRDefault="00D67069" w:rsidP="0094177D">
      <w:pPr>
        <w:spacing w:after="60"/>
        <w:ind w:left="426" w:hanging="142"/>
      </w:pPr>
      <w:r w:rsidRPr="00D67069">
        <w:t>•</w:t>
      </w:r>
      <w:r w:rsidRPr="00D67069">
        <w:tab/>
        <w:t>9am-5pm, Thursday, 18 September and Friday, 19 September 2025</w:t>
      </w:r>
    </w:p>
    <w:p w14:paraId="47AB2F15" w14:textId="77777777" w:rsidR="00D67069" w:rsidRPr="00D67069" w:rsidRDefault="00D67069" w:rsidP="00D67069">
      <w:pPr>
        <w:ind w:left="426" w:hanging="142"/>
      </w:pPr>
      <w:r w:rsidRPr="00D67069">
        <w:t>•</w:t>
      </w:r>
      <w:r w:rsidRPr="00D67069">
        <w:tab/>
        <w:t>9am-12 noon, Monday, 22 September 2025 (close of voting)</w:t>
      </w:r>
    </w:p>
    <w:p w14:paraId="0D3A067C" w14:textId="77777777" w:rsidR="00D67069" w:rsidRPr="00D67069" w:rsidRDefault="00D67069" w:rsidP="00D67069">
      <w:pPr>
        <w:rPr>
          <w:b/>
          <w:bCs/>
        </w:rPr>
      </w:pPr>
      <w:r w:rsidRPr="00D67069">
        <w:rPr>
          <w:b/>
          <w:bCs/>
        </w:rPr>
        <w:t>Vote Counting Location</w:t>
      </w:r>
    </w:p>
    <w:p w14:paraId="06176BF6" w14:textId="77777777" w:rsidR="00D67069" w:rsidRPr="00D67069" w:rsidRDefault="00D67069" w:rsidP="00D67069">
      <w:pPr>
        <w:ind w:left="142"/>
      </w:pPr>
      <w:r w:rsidRPr="00D67069">
        <w:t>The scrutiny and count will take place from 9:30am on Tuesday, 23 September 2025 at the following location:</w:t>
      </w:r>
    </w:p>
    <w:p w14:paraId="4B957696" w14:textId="77777777" w:rsidR="00D67069" w:rsidRPr="00D67069" w:rsidRDefault="00D67069" w:rsidP="00D67069">
      <w:pPr>
        <w:ind w:left="426" w:hanging="142"/>
      </w:pPr>
      <w:r w:rsidRPr="00D67069">
        <w:t>•</w:t>
      </w:r>
      <w:r w:rsidRPr="00D67069">
        <w:tab/>
        <w:t>Electoral Commission SA Central Processing Centre</w:t>
      </w:r>
    </w:p>
    <w:p w14:paraId="3FF33780" w14:textId="77777777" w:rsidR="00D67069" w:rsidRPr="00D67069" w:rsidRDefault="00D67069" w:rsidP="00D67069">
      <w:pPr>
        <w:ind w:left="567" w:hanging="142"/>
      </w:pPr>
      <w:r w:rsidRPr="00D67069">
        <w:t>◦</w:t>
      </w:r>
      <w:r w:rsidRPr="00D67069">
        <w:tab/>
        <w:t>7 Hudson Court, Netley 5037</w:t>
      </w:r>
    </w:p>
    <w:p w14:paraId="70A50FA0" w14:textId="77777777" w:rsidR="00D67069" w:rsidRPr="00D67069" w:rsidRDefault="00D67069" w:rsidP="00D67069">
      <w:pPr>
        <w:ind w:left="142"/>
      </w:pPr>
      <w:r w:rsidRPr="00D67069">
        <w:t>A provisional declaration will be made at the conclusion of the election count.</w:t>
      </w:r>
    </w:p>
    <w:p w14:paraId="07555D12" w14:textId="77777777" w:rsidR="00D67069" w:rsidRPr="00D67069" w:rsidRDefault="00D67069" w:rsidP="00D67069">
      <w:pPr>
        <w:spacing w:after="0"/>
        <w:rPr>
          <w:rFonts w:eastAsia="Times New Roman"/>
          <w:szCs w:val="17"/>
        </w:rPr>
      </w:pPr>
      <w:r w:rsidRPr="00D67069">
        <w:rPr>
          <w:rFonts w:eastAsia="Times New Roman"/>
          <w:szCs w:val="17"/>
        </w:rPr>
        <w:t>Dated: 14 August 2025</w:t>
      </w:r>
    </w:p>
    <w:p w14:paraId="70E03D66"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Mick Sherry</w:t>
      </w:r>
    </w:p>
    <w:p w14:paraId="65A0654B" w14:textId="77777777" w:rsidR="00D67069" w:rsidRDefault="00D67069" w:rsidP="00D67069">
      <w:pPr>
        <w:spacing w:after="0"/>
        <w:jc w:val="right"/>
        <w:rPr>
          <w:rFonts w:eastAsia="Times New Roman"/>
          <w:szCs w:val="17"/>
        </w:rPr>
      </w:pPr>
      <w:r w:rsidRPr="00D67069">
        <w:rPr>
          <w:rFonts w:eastAsia="Times New Roman"/>
          <w:szCs w:val="17"/>
        </w:rPr>
        <w:t>Returning Officer</w:t>
      </w:r>
    </w:p>
    <w:p w14:paraId="349517FC" w14:textId="77777777" w:rsidR="00D67069" w:rsidRDefault="00D67069" w:rsidP="00D67069">
      <w:pPr>
        <w:pBdr>
          <w:bottom w:val="single" w:sz="4" w:space="1" w:color="auto"/>
        </w:pBdr>
        <w:spacing w:after="0" w:line="52" w:lineRule="exact"/>
        <w:jc w:val="center"/>
        <w:rPr>
          <w:rFonts w:eastAsia="Times New Roman"/>
          <w:szCs w:val="17"/>
        </w:rPr>
      </w:pPr>
    </w:p>
    <w:p w14:paraId="0415FCCC" w14:textId="77777777" w:rsidR="00D67069" w:rsidRDefault="00D67069" w:rsidP="00D67069">
      <w:pPr>
        <w:pBdr>
          <w:top w:val="single" w:sz="4" w:space="1" w:color="auto"/>
        </w:pBdr>
        <w:spacing w:before="34" w:after="0" w:line="14" w:lineRule="exact"/>
        <w:jc w:val="center"/>
        <w:rPr>
          <w:rFonts w:eastAsia="Times New Roman"/>
          <w:szCs w:val="17"/>
        </w:rPr>
      </w:pPr>
    </w:p>
    <w:p w14:paraId="584051FE" w14:textId="77777777" w:rsidR="00D67069" w:rsidRPr="00D67069" w:rsidRDefault="00D67069" w:rsidP="0094177D">
      <w:pPr>
        <w:pStyle w:val="NoSpacing"/>
      </w:pPr>
    </w:p>
    <w:p w14:paraId="1B3CDF48" w14:textId="17C7998C" w:rsidR="00D67069" w:rsidRDefault="00227537" w:rsidP="003352F4">
      <w:pPr>
        <w:pStyle w:val="Heading2"/>
      </w:pPr>
      <w:bookmarkStart w:id="533" w:name="_Toc206061788"/>
      <w:r>
        <w:t>Port Pirie Regional Council</w:t>
      </w:r>
      <w:bookmarkEnd w:id="533"/>
    </w:p>
    <w:p w14:paraId="094E9BE9" w14:textId="77777777" w:rsidR="00D67069" w:rsidRDefault="00D67069" w:rsidP="00D67069">
      <w:pPr>
        <w:pStyle w:val="GG-Title3"/>
      </w:pPr>
      <w:r>
        <w:t>Adoption of Valuation and Declaration of Rates 2025/2026</w:t>
      </w:r>
    </w:p>
    <w:p w14:paraId="27BFE973" w14:textId="77777777" w:rsidR="00D67069" w:rsidRDefault="00D67069" w:rsidP="00D67069">
      <w:r w:rsidRPr="0093509A">
        <w:t xml:space="preserve">Notice is hereby given that the Port Pirie Regional Council, at its special meeting held 5 August 2025 in exercise of the powers contained in Chapter 10 of the </w:t>
      </w:r>
      <w:r w:rsidRPr="0093509A">
        <w:rPr>
          <w:i/>
          <w:iCs/>
        </w:rPr>
        <w:t>Local Government Act 1999</w:t>
      </w:r>
      <w:r w:rsidRPr="0093509A">
        <w:t xml:space="preserve"> and for the year ending 30 June 2026:</w:t>
      </w:r>
    </w:p>
    <w:p w14:paraId="086BB646" w14:textId="77777777" w:rsidR="00D67069" w:rsidRPr="00831FC3" w:rsidRDefault="00D67069" w:rsidP="00D67069">
      <w:pPr>
        <w:ind w:left="142"/>
        <w:rPr>
          <w:b/>
          <w:bCs/>
        </w:rPr>
      </w:pPr>
      <w:r w:rsidRPr="00831FC3">
        <w:rPr>
          <w:b/>
          <w:bCs/>
        </w:rPr>
        <w:t>Adoption of Valuations</w:t>
      </w:r>
    </w:p>
    <w:p w14:paraId="273C5893" w14:textId="77777777" w:rsidR="00D67069" w:rsidRDefault="00D67069" w:rsidP="00D67069">
      <w:pPr>
        <w:ind w:left="142"/>
      </w:pPr>
      <w:r w:rsidRPr="0003742E">
        <w:rPr>
          <w:spacing w:val="-4"/>
        </w:rPr>
        <w:t xml:space="preserve">Adopted for rating purposes, pursuant to Section 167(2)(a) of the </w:t>
      </w:r>
      <w:r w:rsidRPr="0003742E">
        <w:rPr>
          <w:i/>
          <w:iCs/>
          <w:spacing w:val="-4"/>
        </w:rPr>
        <w:t>Local Government Act 1999</w:t>
      </w:r>
      <w:r w:rsidRPr="0003742E">
        <w:rPr>
          <w:spacing w:val="-4"/>
        </w:rPr>
        <w:t>, the most recent valuations of the Valuer General available to the Council of the capital value of land within the area of the Council totalling $4,397,706,020, of which $4,268,169,660 is the capital value of rateable land.</w:t>
      </w:r>
    </w:p>
    <w:p w14:paraId="511EBB45" w14:textId="77777777" w:rsidR="00D67069" w:rsidRPr="00831FC3" w:rsidRDefault="00D67069" w:rsidP="00D67069">
      <w:pPr>
        <w:ind w:left="142"/>
        <w:rPr>
          <w:b/>
          <w:bCs/>
        </w:rPr>
      </w:pPr>
      <w:r w:rsidRPr="00831FC3">
        <w:rPr>
          <w:b/>
          <w:bCs/>
        </w:rPr>
        <w:t>Fixed Charge Component of Differential General Rates</w:t>
      </w:r>
    </w:p>
    <w:p w14:paraId="230324ED" w14:textId="77777777" w:rsidR="00D67069" w:rsidRDefault="00D67069" w:rsidP="00D67069">
      <w:pPr>
        <w:ind w:left="142"/>
      </w:pPr>
      <w:r w:rsidRPr="00FA16AE">
        <w:rPr>
          <w:spacing w:val="-2"/>
        </w:rPr>
        <w:t xml:space="preserve">Declared, pursuant to Section 151(1)(c)(ii) and 152(1)(c)(ii) of the </w:t>
      </w:r>
      <w:r w:rsidRPr="00FA16AE">
        <w:rPr>
          <w:i/>
          <w:iCs/>
          <w:spacing w:val="-2"/>
        </w:rPr>
        <w:t>Local Government Act 1999</w:t>
      </w:r>
      <w:r w:rsidRPr="00FA16AE">
        <w:rPr>
          <w:spacing w:val="-2"/>
        </w:rPr>
        <w:t>, a fixed charge component of general rates of $650 on rateable land within the area of the Council.</w:t>
      </w:r>
    </w:p>
    <w:p w14:paraId="4AAC704A" w14:textId="77777777" w:rsidR="00D67069" w:rsidRPr="00831FC3" w:rsidRDefault="00D67069" w:rsidP="00D67069">
      <w:pPr>
        <w:ind w:left="142"/>
        <w:rPr>
          <w:b/>
          <w:bCs/>
        </w:rPr>
      </w:pPr>
      <w:r w:rsidRPr="00831FC3">
        <w:rPr>
          <w:b/>
          <w:bCs/>
        </w:rPr>
        <w:t>Component of Differential General Rates based on Value of Land</w:t>
      </w:r>
    </w:p>
    <w:p w14:paraId="545C98B4" w14:textId="77777777" w:rsidR="00D67069" w:rsidRDefault="00D67069" w:rsidP="00D67069">
      <w:pPr>
        <w:ind w:left="142"/>
      </w:pPr>
      <w:r w:rsidRPr="009A47EC">
        <w:t xml:space="preserve">Declared, pursuant to Section 151(1)(c)(i), 152(1)(c)(i), 153(1)(b) and 156 of the </w:t>
      </w:r>
      <w:r w:rsidRPr="009A47EC">
        <w:rPr>
          <w:i/>
          <w:iCs/>
        </w:rPr>
        <w:t>Local Government Act 1999</w:t>
      </w:r>
      <w:r w:rsidRPr="009A47EC">
        <w:t xml:space="preserve"> the following differential general rates as a component of its general rates based on the capital value of the land varying according to the locality of the land and its use in accordance with Regulation 14 of the </w:t>
      </w:r>
      <w:r w:rsidRPr="009A47EC">
        <w:rPr>
          <w:i/>
          <w:iCs/>
        </w:rPr>
        <w:t>Local Government (General) Regulations 2013</w:t>
      </w:r>
      <w:r w:rsidRPr="009A47EC">
        <w:t xml:space="preserve"> as follows:</w:t>
      </w:r>
    </w:p>
    <w:p w14:paraId="7F5B18B7" w14:textId="77777777" w:rsidR="00D67069" w:rsidRDefault="00D67069" w:rsidP="00D67069">
      <w:pPr>
        <w:ind w:left="567" w:hanging="283"/>
      </w:pPr>
      <w:r>
        <w:t>1.</w:t>
      </w:r>
      <w:r>
        <w:tab/>
      </w:r>
      <w:r w:rsidRPr="00BC3BDC">
        <w:t>Rateable Land within the locality of the Significant Industry subzone of the Strategic Employment zone as defined by the Planning and Design Code in force as at the date of the declaration, and with the land use:</w:t>
      </w:r>
    </w:p>
    <w:p w14:paraId="64D010D3" w14:textId="77777777" w:rsidR="00D67069" w:rsidRDefault="00D67069" w:rsidP="00D67069">
      <w:pPr>
        <w:spacing w:after="40"/>
        <w:ind w:left="709" w:hanging="142"/>
      </w:pPr>
      <w:r>
        <w:t>•</w:t>
      </w:r>
      <w:r>
        <w:tab/>
        <w:t xml:space="preserve">Category (a)—Residential: </w:t>
      </w:r>
      <w:r w:rsidRPr="00683FCA">
        <w:t>0.338</w:t>
      </w:r>
      <w:r>
        <w:t xml:space="preserve"> cents in the dollar;</w:t>
      </w:r>
    </w:p>
    <w:p w14:paraId="1D2261AB" w14:textId="77777777" w:rsidR="00D67069" w:rsidRDefault="00D67069" w:rsidP="00D67069">
      <w:pPr>
        <w:spacing w:after="40"/>
        <w:ind w:left="709" w:hanging="142"/>
      </w:pPr>
      <w:r>
        <w:t>•</w:t>
      </w:r>
      <w:r>
        <w:tab/>
        <w:t xml:space="preserve">Category (b)—Commercial—Shop: </w:t>
      </w:r>
      <w:r w:rsidRPr="005A2196">
        <w:t>0.954</w:t>
      </w:r>
      <w:r>
        <w:t xml:space="preserve"> cents in the dollar;</w:t>
      </w:r>
    </w:p>
    <w:p w14:paraId="4B09AFFE" w14:textId="77777777" w:rsidR="00D67069" w:rsidRDefault="00D67069" w:rsidP="00D67069">
      <w:pPr>
        <w:spacing w:after="40"/>
        <w:ind w:left="709" w:hanging="142"/>
      </w:pPr>
      <w:r>
        <w:t>•</w:t>
      </w:r>
      <w:r>
        <w:tab/>
        <w:t xml:space="preserve">Category (c)—Commercial Office: </w:t>
      </w:r>
      <w:r w:rsidRPr="00451135">
        <w:t>0.954</w:t>
      </w:r>
      <w:r>
        <w:t xml:space="preserve"> cents in the dollar;</w:t>
      </w:r>
    </w:p>
    <w:p w14:paraId="4DB17911" w14:textId="77777777" w:rsidR="00D67069" w:rsidRDefault="00D67069" w:rsidP="00D67069">
      <w:pPr>
        <w:spacing w:after="40"/>
        <w:ind w:left="709" w:hanging="142"/>
      </w:pPr>
      <w:r>
        <w:t>•</w:t>
      </w:r>
      <w:r>
        <w:tab/>
        <w:t xml:space="preserve">Category (d)—Commercial Other: </w:t>
      </w:r>
      <w:r w:rsidRPr="00AB3CF9">
        <w:t>0.954 cents in the dollar;</w:t>
      </w:r>
    </w:p>
    <w:p w14:paraId="2C7E5A31" w14:textId="77777777" w:rsidR="00D67069" w:rsidRDefault="00D67069" w:rsidP="00D67069">
      <w:pPr>
        <w:spacing w:after="40"/>
        <w:ind w:left="709" w:hanging="142"/>
      </w:pPr>
      <w:r>
        <w:t>•</w:t>
      </w:r>
      <w:r>
        <w:tab/>
        <w:t xml:space="preserve">Category (e)—Industry—Light: </w:t>
      </w:r>
      <w:r w:rsidRPr="00A774A9">
        <w:t>0.685</w:t>
      </w:r>
      <w:r>
        <w:t xml:space="preserve"> cents in the dollar;</w:t>
      </w:r>
    </w:p>
    <w:p w14:paraId="0656DB8D" w14:textId="77777777" w:rsidR="00D67069" w:rsidRDefault="00D67069" w:rsidP="00D67069">
      <w:pPr>
        <w:spacing w:after="40"/>
        <w:ind w:left="709" w:hanging="142"/>
      </w:pPr>
      <w:r>
        <w:t>•</w:t>
      </w:r>
      <w:r>
        <w:tab/>
        <w:t xml:space="preserve">Category (f)—Industry—Other: </w:t>
      </w:r>
      <w:r w:rsidRPr="00621857">
        <w:t>3.560</w:t>
      </w:r>
      <w:r>
        <w:t xml:space="preserve"> cents in the dollar;</w:t>
      </w:r>
    </w:p>
    <w:p w14:paraId="4D316A37" w14:textId="77777777" w:rsidR="00D67069" w:rsidRDefault="00D67069" w:rsidP="00D67069">
      <w:pPr>
        <w:spacing w:after="40"/>
        <w:ind w:left="709" w:hanging="142"/>
      </w:pPr>
      <w:r>
        <w:t>•</w:t>
      </w:r>
      <w:r>
        <w:tab/>
        <w:t xml:space="preserve">Category (g)—Primary Production: </w:t>
      </w:r>
      <w:r w:rsidRPr="008E5081">
        <w:t>0.169</w:t>
      </w:r>
      <w:r>
        <w:t xml:space="preserve"> cents in the dollar;</w:t>
      </w:r>
    </w:p>
    <w:p w14:paraId="7BC4B072" w14:textId="77777777" w:rsidR="00D67069" w:rsidRDefault="00D67069" w:rsidP="00D67069">
      <w:pPr>
        <w:spacing w:after="40"/>
        <w:ind w:left="709" w:hanging="142"/>
      </w:pPr>
      <w:r>
        <w:t>•</w:t>
      </w:r>
      <w:r>
        <w:tab/>
        <w:t xml:space="preserve">Category (h)—Vacant Land: </w:t>
      </w:r>
      <w:r w:rsidRPr="0031519C">
        <w:t>0.615</w:t>
      </w:r>
      <w:r>
        <w:t xml:space="preserve"> cents in the dollar;</w:t>
      </w:r>
    </w:p>
    <w:p w14:paraId="43B1F7E8" w14:textId="77777777" w:rsidR="00D67069" w:rsidRDefault="00D67069" w:rsidP="00D67069">
      <w:pPr>
        <w:ind w:left="709" w:hanging="142"/>
      </w:pPr>
      <w:r>
        <w:t>•</w:t>
      </w:r>
      <w:r>
        <w:tab/>
        <w:t xml:space="preserve">Category (i)—Other: </w:t>
      </w:r>
      <w:r w:rsidRPr="001A2FBC">
        <w:t>0.395</w:t>
      </w:r>
      <w:r>
        <w:t xml:space="preserve"> cents in the dollar.</w:t>
      </w:r>
    </w:p>
    <w:p w14:paraId="1D8047BD" w14:textId="77777777" w:rsidR="00D67069" w:rsidRDefault="00D67069" w:rsidP="00D67069">
      <w:pPr>
        <w:ind w:left="567" w:hanging="283"/>
      </w:pPr>
      <w:r>
        <w:t>2.</w:t>
      </w:r>
      <w:r>
        <w:tab/>
      </w:r>
      <w:r w:rsidRPr="00F42AC1">
        <w:t>Rateable land within all other localities, being the balance of the Strategic Employment zone outside the scope of paragraph (1) above and all other zones and subzones as defined by the Planning and Design Code in force as at the date of this declaration, and with the land use:</w:t>
      </w:r>
    </w:p>
    <w:p w14:paraId="5D4CE9F0" w14:textId="77777777" w:rsidR="00D67069" w:rsidRDefault="00D67069" w:rsidP="00D67069">
      <w:pPr>
        <w:spacing w:after="40"/>
        <w:ind w:left="709" w:hanging="142"/>
      </w:pPr>
      <w:r>
        <w:t>•</w:t>
      </w:r>
      <w:r>
        <w:tab/>
        <w:t xml:space="preserve">Category (a)—Residential: </w:t>
      </w:r>
      <w:r w:rsidRPr="00862E55">
        <w:t>0.338</w:t>
      </w:r>
      <w:r>
        <w:t xml:space="preserve"> cents in the dollar;</w:t>
      </w:r>
    </w:p>
    <w:p w14:paraId="6AB77294" w14:textId="77777777" w:rsidR="00D67069" w:rsidRDefault="00D67069" w:rsidP="00D67069">
      <w:pPr>
        <w:spacing w:after="40"/>
        <w:ind w:left="709" w:hanging="142"/>
      </w:pPr>
      <w:r>
        <w:t>•</w:t>
      </w:r>
      <w:r>
        <w:tab/>
        <w:t xml:space="preserve">Category (b)—Commercial—Shop: </w:t>
      </w:r>
      <w:r w:rsidRPr="00272ADE">
        <w:t xml:space="preserve">0.954 </w:t>
      </w:r>
      <w:r>
        <w:t>cents in the dollar;</w:t>
      </w:r>
    </w:p>
    <w:p w14:paraId="1AB3822B" w14:textId="77777777" w:rsidR="00D67069" w:rsidRDefault="00D67069" w:rsidP="00D67069">
      <w:pPr>
        <w:spacing w:after="40"/>
        <w:ind w:left="709" w:hanging="142"/>
      </w:pPr>
      <w:r>
        <w:t>•</w:t>
      </w:r>
      <w:r>
        <w:tab/>
        <w:t xml:space="preserve">Category (c)—Commercial Office: </w:t>
      </w:r>
      <w:r w:rsidRPr="00272ADE">
        <w:t>0.954</w:t>
      </w:r>
      <w:r>
        <w:t xml:space="preserve"> cents in the dollar;</w:t>
      </w:r>
    </w:p>
    <w:p w14:paraId="73955C66" w14:textId="77777777" w:rsidR="00D67069" w:rsidRDefault="00D67069" w:rsidP="00D67069">
      <w:pPr>
        <w:spacing w:after="40"/>
        <w:ind w:left="709" w:hanging="142"/>
      </w:pPr>
      <w:r>
        <w:t>•</w:t>
      </w:r>
      <w:r>
        <w:tab/>
        <w:t xml:space="preserve">Category (d)—Commercial Other: </w:t>
      </w:r>
      <w:r w:rsidRPr="00272ADE">
        <w:t xml:space="preserve">0.954 </w:t>
      </w:r>
      <w:r>
        <w:t>cents in the dollar;</w:t>
      </w:r>
    </w:p>
    <w:p w14:paraId="44069869" w14:textId="77777777" w:rsidR="00D67069" w:rsidRDefault="00D67069" w:rsidP="00D67069">
      <w:pPr>
        <w:spacing w:after="40"/>
        <w:ind w:left="709" w:hanging="142"/>
      </w:pPr>
      <w:r>
        <w:t>•</w:t>
      </w:r>
      <w:r>
        <w:tab/>
        <w:t xml:space="preserve">Category (e)—Industry—Light: </w:t>
      </w:r>
      <w:r w:rsidRPr="00214755">
        <w:t>0.685</w:t>
      </w:r>
      <w:r>
        <w:t xml:space="preserve"> cents in the dollar;</w:t>
      </w:r>
    </w:p>
    <w:p w14:paraId="4C11C897" w14:textId="77777777" w:rsidR="00D67069" w:rsidRDefault="00D67069" w:rsidP="00D67069">
      <w:pPr>
        <w:spacing w:after="40"/>
        <w:ind w:left="709" w:hanging="142"/>
      </w:pPr>
      <w:r>
        <w:t>•</w:t>
      </w:r>
      <w:r>
        <w:tab/>
        <w:t xml:space="preserve">Category (f)—Industry—Other: </w:t>
      </w:r>
      <w:r w:rsidRPr="002F1338">
        <w:t>0.685</w:t>
      </w:r>
      <w:r>
        <w:t xml:space="preserve"> cents in the dollar;</w:t>
      </w:r>
    </w:p>
    <w:p w14:paraId="61491787" w14:textId="77777777" w:rsidR="00D67069" w:rsidRDefault="00D67069" w:rsidP="00D67069">
      <w:pPr>
        <w:spacing w:after="40"/>
        <w:ind w:left="709" w:hanging="142"/>
      </w:pPr>
      <w:r>
        <w:t>•</w:t>
      </w:r>
      <w:r>
        <w:tab/>
        <w:t xml:space="preserve">Category (g)—Primary Production: </w:t>
      </w:r>
      <w:r w:rsidRPr="00D76E23">
        <w:t>0.169</w:t>
      </w:r>
      <w:r>
        <w:t xml:space="preserve"> cents in the dollar;</w:t>
      </w:r>
    </w:p>
    <w:p w14:paraId="4C188B9B" w14:textId="77777777" w:rsidR="00D67069" w:rsidRDefault="00D67069" w:rsidP="00D67069">
      <w:pPr>
        <w:spacing w:after="40"/>
        <w:ind w:left="709" w:hanging="142"/>
      </w:pPr>
      <w:r>
        <w:t>•</w:t>
      </w:r>
      <w:r>
        <w:tab/>
        <w:t xml:space="preserve">Category (h)—Vacant Land: </w:t>
      </w:r>
      <w:r w:rsidRPr="002408B0">
        <w:t>0.615</w:t>
      </w:r>
      <w:r>
        <w:t xml:space="preserve"> cents in the dollar;</w:t>
      </w:r>
    </w:p>
    <w:p w14:paraId="64B092EC" w14:textId="77777777" w:rsidR="00D67069" w:rsidRDefault="00D67069" w:rsidP="00D67069">
      <w:pPr>
        <w:ind w:left="709" w:hanging="142"/>
      </w:pPr>
      <w:r>
        <w:t>•</w:t>
      </w:r>
      <w:r>
        <w:tab/>
        <w:t xml:space="preserve">Category (i)—Other: </w:t>
      </w:r>
      <w:r w:rsidRPr="0026657F">
        <w:t>0.395</w:t>
      </w:r>
      <w:r>
        <w:t xml:space="preserve"> cents in the dollar.</w:t>
      </w:r>
    </w:p>
    <w:p w14:paraId="65014ADD" w14:textId="77777777" w:rsidR="00D67069" w:rsidRPr="00831FC3" w:rsidRDefault="00D67069" w:rsidP="00D67069">
      <w:pPr>
        <w:ind w:left="142"/>
        <w:rPr>
          <w:b/>
          <w:bCs/>
        </w:rPr>
      </w:pPr>
      <w:r w:rsidRPr="00831FC3">
        <w:rPr>
          <w:b/>
          <w:bCs/>
        </w:rPr>
        <w:t>Annual Service Charge—Community Wastewater Management System</w:t>
      </w:r>
    </w:p>
    <w:p w14:paraId="7DA1E609" w14:textId="77777777" w:rsidR="00D67069" w:rsidRDefault="00D67069" w:rsidP="00D67069">
      <w:pPr>
        <w:ind w:left="142"/>
      </w:pPr>
      <w:r w:rsidRPr="003529CC">
        <w:rPr>
          <w:spacing w:val="-4"/>
        </w:rPr>
        <w:t xml:space="preserve">Imposed, pursuant to Section 155(2) of the </w:t>
      </w:r>
      <w:r w:rsidRPr="003529CC">
        <w:rPr>
          <w:i/>
          <w:iCs/>
          <w:spacing w:val="-4"/>
        </w:rPr>
        <w:t>Local Government Act 1999</w:t>
      </w:r>
      <w:r w:rsidRPr="003529CC">
        <w:rPr>
          <w:spacing w:val="-4"/>
        </w:rPr>
        <w:t xml:space="preserve"> and Regulation 12 of the </w:t>
      </w:r>
      <w:r w:rsidRPr="003529CC">
        <w:rPr>
          <w:i/>
          <w:iCs/>
          <w:spacing w:val="-4"/>
        </w:rPr>
        <w:t>Local Government (General) Regulations 2013</w:t>
      </w:r>
      <w:r w:rsidRPr="003529CC">
        <w:rPr>
          <w:spacing w:val="-4"/>
        </w:rPr>
        <w:t>, an annual service charge on both rateable and non-rateable land to which it provides or makes available the prescribed service comprising a community wastewater management system based on the nature of the service and the number of property units that apply with respect to the relevant land, as determined under the CWMS Property Units Code and for that annual service charge to vary on the basis of land being occupied or vacant as follows:</w:t>
      </w:r>
    </w:p>
    <w:p w14:paraId="4702DABC" w14:textId="77777777" w:rsidR="00D67069" w:rsidRPr="00467B9C" w:rsidRDefault="00D67069" w:rsidP="00D67069">
      <w:pPr>
        <w:spacing w:after="40"/>
        <w:ind w:left="284"/>
        <w:rPr>
          <w:i/>
          <w:iCs/>
        </w:rPr>
      </w:pPr>
      <w:r w:rsidRPr="00467B9C">
        <w:rPr>
          <w:i/>
          <w:iCs/>
        </w:rPr>
        <w:t>Crystal Brook CWMS</w:t>
      </w:r>
    </w:p>
    <w:p w14:paraId="538E34B0" w14:textId="77777777" w:rsidR="00D67069" w:rsidRDefault="00D67069" w:rsidP="00D67069">
      <w:pPr>
        <w:spacing w:after="40"/>
        <w:ind w:left="567" w:hanging="141"/>
      </w:pPr>
      <w:r>
        <w:t>•</w:t>
      </w:r>
      <w:r>
        <w:tab/>
        <w:t>Occupied $234 per property unit;</w:t>
      </w:r>
    </w:p>
    <w:p w14:paraId="11882E57" w14:textId="77777777" w:rsidR="00D67069" w:rsidRDefault="00D67069" w:rsidP="00D67069">
      <w:pPr>
        <w:ind w:left="567" w:hanging="141"/>
      </w:pPr>
      <w:r>
        <w:t>•</w:t>
      </w:r>
      <w:r>
        <w:tab/>
        <w:t>Vacant $173 per property unit.</w:t>
      </w:r>
    </w:p>
    <w:p w14:paraId="30667063" w14:textId="77777777" w:rsidR="00D67069" w:rsidRPr="00467B9C" w:rsidRDefault="00D67069" w:rsidP="00D67069">
      <w:pPr>
        <w:spacing w:after="40"/>
        <w:ind w:left="284"/>
        <w:rPr>
          <w:i/>
          <w:iCs/>
        </w:rPr>
      </w:pPr>
      <w:r w:rsidRPr="00467B9C">
        <w:rPr>
          <w:i/>
          <w:iCs/>
        </w:rPr>
        <w:t>Napperby CWMS</w:t>
      </w:r>
    </w:p>
    <w:p w14:paraId="64F242F4" w14:textId="77777777" w:rsidR="00D67069" w:rsidRDefault="00D67069" w:rsidP="00D67069">
      <w:pPr>
        <w:spacing w:after="40"/>
        <w:ind w:left="567" w:hanging="141"/>
      </w:pPr>
      <w:r>
        <w:t>•</w:t>
      </w:r>
      <w:r>
        <w:tab/>
        <w:t>Occupied $547 per property unit;</w:t>
      </w:r>
    </w:p>
    <w:p w14:paraId="3CFF854C" w14:textId="77777777" w:rsidR="00D67069" w:rsidRDefault="00D67069" w:rsidP="00D67069">
      <w:pPr>
        <w:ind w:left="567" w:hanging="141"/>
      </w:pPr>
      <w:r>
        <w:t>•</w:t>
      </w:r>
      <w:r>
        <w:tab/>
        <w:t>Vacant $403 per property unit.</w:t>
      </w:r>
    </w:p>
    <w:p w14:paraId="31A99BB6" w14:textId="77777777" w:rsidR="00D67069" w:rsidRPr="00831FC3" w:rsidRDefault="00D67069" w:rsidP="00D67069">
      <w:pPr>
        <w:ind w:left="142"/>
        <w:rPr>
          <w:b/>
          <w:bCs/>
        </w:rPr>
      </w:pPr>
      <w:r w:rsidRPr="00831FC3">
        <w:rPr>
          <w:b/>
          <w:bCs/>
        </w:rPr>
        <w:lastRenderedPageBreak/>
        <w:t>Annual Service Charge—Waste Management</w:t>
      </w:r>
    </w:p>
    <w:p w14:paraId="52C76C8F" w14:textId="77777777" w:rsidR="00D67069" w:rsidRDefault="00D67069" w:rsidP="00D67069">
      <w:pPr>
        <w:ind w:left="142"/>
      </w:pPr>
      <w:r w:rsidRPr="00976B60">
        <w:t xml:space="preserve">Imposed, pursuant to Section 155(2) of the </w:t>
      </w:r>
      <w:r w:rsidRPr="00976B60">
        <w:rPr>
          <w:i/>
          <w:iCs/>
        </w:rPr>
        <w:t>Local Government Act 1999</w:t>
      </w:r>
      <w:r w:rsidRPr="00976B60">
        <w:t xml:space="preserve">, an annual service charge of $280.00 on all land ascribed the residential land use category within the Council’s area to which Council provides the prescribed service of waste collection, treatment and disposal based on the nature of the service and category of land use, provided that the sliding scale set out in Regulation 13 of the </w:t>
      </w:r>
      <w:r w:rsidRPr="00976B60">
        <w:rPr>
          <w:i/>
          <w:iCs/>
        </w:rPr>
        <w:t>Local Government (General) Regulations 2013</w:t>
      </w:r>
      <w:r w:rsidRPr="00976B60">
        <w:t xml:space="preserve"> will apply to reduce the service charge, as prescribed.</w:t>
      </w:r>
    </w:p>
    <w:p w14:paraId="479C82D0" w14:textId="77777777" w:rsidR="00D67069" w:rsidRPr="00831FC3" w:rsidRDefault="00D67069" w:rsidP="00D67069">
      <w:pPr>
        <w:ind w:left="142"/>
        <w:rPr>
          <w:b/>
          <w:bCs/>
        </w:rPr>
      </w:pPr>
      <w:r w:rsidRPr="00831FC3">
        <w:rPr>
          <w:b/>
          <w:bCs/>
        </w:rPr>
        <w:t>Separate Rate—Regional Landscape Levy</w:t>
      </w:r>
    </w:p>
    <w:p w14:paraId="5A534FBC" w14:textId="77777777" w:rsidR="00D67069" w:rsidRDefault="00D67069" w:rsidP="00D67069">
      <w:pPr>
        <w:ind w:left="142"/>
      </w:pPr>
      <w:r w:rsidRPr="00D86112">
        <w:t xml:space="preserve">Declared, pursuant to Section 69 of the </w:t>
      </w:r>
      <w:r w:rsidRPr="00D86112">
        <w:rPr>
          <w:i/>
          <w:iCs/>
        </w:rPr>
        <w:t>Landscape South Australia Act 2019</w:t>
      </w:r>
      <w:r w:rsidRPr="00D86112">
        <w:t xml:space="preserve"> and Section 154 of the </w:t>
      </w:r>
      <w:r w:rsidRPr="00D86112">
        <w:rPr>
          <w:i/>
          <w:iCs/>
        </w:rPr>
        <w:t>Local Government Act 1999</w:t>
      </w:r>
      <w:r w:rsidRPr="00D86112">
        <w:t xml:space="preserve"> and Regulation 12 of the </w:t>
      </w:r>
      <w:r w:rsidRPr="00D86112">
        <w:rPr>
          <w:i/>
          <w:iCs/>
        </w:rPr>
        <w:t>Landscape South Australia (General) Regulations 2020</w:t>
      </w:r>
      <w:r w:rsidRPr="00D86112">
        <w:t>, a separate rate of 0.008859 cents in the dollar on all rateable land located within the area of the Council in the region of the Northern &amp; Yorke Landscape Board, in order to reimburse the Council the amount to be contributed to the Northern &amp; Yorke Regional Landscape Board.</w:t>
      </w:r>
    </w:p>
    <w:p w14:paraId="4926C7E6" w14:textId="77777777" w:rsidR="00D67069" w:rsidRPr="00C4575A" w:rsidRDefault="00D67069" w:rsidP="00D67069">
      <w:pPr>
        <w:ind w:left="142"/>
        <w:rPr>
          <w:b/>
          <w:bCs/>
        </w:rPr>
      </w:pPr>
      <w:r w:rsidRPr="00C4575A">
        <w:rPr>
          <w:b/>
          <w:bCs/>
        </w:rPr>
        <w:t>Due Dates for Payment of Rates</w:t>
      </w:r>
    </w:p>
    <w:p w14:paraId="6FCF8BE8" w14:textId="77777777" w:rsidR="00D67069" w:rsidRPr="00465F0F" w:rsidRDefault="00D67069" w:rsidP="00D67069">
      <w:pPr>
        <w:ind w:left="142"/>
        <w:rPr>
          <w:spacing w:val="-2"/>
        </w:rPr>
      </w:pPr>
      <w:r w:rsidRPr="00465F0F">
        <w:rPr>
          <w:spacing w:val="-2"/>
        </w:rPr>
        <w:t xml:space="preserve">Determined, pursuant to Section 181 of the </w:t>
      </w:r>
      <w:r w:rsidRPr="00465F0F">
        <w:rPr>
          <w:i/>
          <w:iCs/>
          <w:spacing w:val="-2"/>
        </w:rPr>
        <w:t>Local Government Act 1999</w:t>
      </w:r>
      <w:r w:rsidRPr="00465F0F">
        <w:rPr>
          <w:spacing w:val="-2"/>
        </w:rPr>
        <w:t xml:space="preserve">, all rates (including all separate rates) and annual service charges shall be payable by four equal (or approximately equal) instalments which are due for payment on </w:t>
      </w:r>
      <w:r>
        <w:rPr>
          <w:spacing w:val="-2"/>
        </w:rPr>
        <w:t>24</w:t>
      </w:r>
      <w:r w:rsidRPr="00465F0F">
        <w:rPr>
          <w:spacing w:val="-2"/>
        </w:rPr>
        <w:t xml:space="preserve"> September 2025, 10 December 2025, 11 March 2026 and 10 June 2026.</w:t>
      </w:r>
    </w:p>
    <w:p w14:paraId="08373CD2" w14:textId="77777777" w:rsidR="00D67069" w:rsidRDefault="00D67069" w:rsidP="00D67069">
      <w:pPr>
        <w:pStyle w:val="GG-SDated"/>
      </w:pPr>
      <w:r>
        <w:t>Dated: 6 August 2025</w:t>
      </w:r>
    </w:p>
    <w:p w14:paraId="4A24E961" w14:textId="77777777" w:rsidR="00D67069" w:rsidRDefault="00D67069" w:rsidP="00D67069">
      <w:pPr>
        <w:pStyle w:val="GG-SName"/>
      </w:pPr>
      <w:r>
        <w:t>C. Davey</w:t>
      </w:r>
    </w:p>
    <w:p w14:paraId="051A04B6" w14:textId="77777777" w:rsidR="00D67069" w:rsidRDefault="00D67069" w:rsidP="00D67069">
      <w:pPr>
        <w:pStyle w:val="GG-Signature"/>
      </w:pPr>
      <w:r>
        <w:t>Acting Chief Executive Officer</w:t>
      </w:r>
    </w:p>
    <w:p w14:paraId="597AA61E" w14:textId="77777777" w:rsidR="00D67069" w:rsidRDefault="00D67069" w:rsidP="00D67069">
      <w:pPr>
        <w:pStyle w:val="GG-Signature"/>
        <w:pBdr>
          <w:bottom w:val="single" w:sz="4" w:space="1" w:color="auto"/>
        </w:pBdr>
        <w:spacing w:line="52" w:lineRule="exact"/>
        <w:jc w:val="center"/>
      </w:pPr>
    </w:p>
    <w:p w14:paraId="2DC4B6C9" w14:textId="77777777" w:rsidR="00D67069" w:rsidRDefault="00D67069" w:rsidP="00D67069">
      <w:pPr>
        <w:pStyle w:val="GG-Signature"/>
        <w:pBdr>
          <w:top w:val="single" w:sz="4" w:space="1" w:color="auto"/>
        </w:pBdr>
        <w:spacing w:before="34" w:line="14" w:lineRule="exact"/>
        <w:jc w:val="center"/>
      </w:pPr>
    </w:p>
    <w:p w14:paraId="4F08E07B" w14:textId="77777777" w:rsidR="00D67069" w:rsidRDefault="00D67069" w:rsidP="00D6706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6209684" w14:textId="290BFB6B" w:rsidR="00D67069" w:rsidRPr="00D67069" w:rsidRDefault="00227537" w:rsidP="003352F4">
      <w:pPr>
        <w:pStyle w:val="Heading2"/>
      </w:pPr>
      <w:bookmarkStart w:id="534" w:name="_Toc206061789"/>
      <w:r w:rsidRPr="00D67069">
        <w:t>Renmark Paringa Council</w:t>
      </w:r>
      <w:bookmarkEnd w:id="534"/>
    </w:p>
    <w:p w14:paraId="6B3B1F31" w14:textId="77777777" w:rsidR="00D67069" w:rsidRPr="00D67069" w:rsidRDefault="00D67069" w:rsidP="00D67069">
      <w:pPr>
        <w:jc w:val="center"/>
        <w:rPr>
          <w:i/>
          <w:szCs w:val="17"/>
        </w:rPr>
      </w:pPr>
      <w:r w:rsidRPr="00D67069">
        <w:rPr>
          <w:i/>
          <w:szCs w:val="17"/>
        </w:rPr>
        <w:t>Adoption of Valuations and Declaration of Rates 2025-2026</w:t>
      </w:r>
    </w:p>
    <w:p w14:paraId="56288174" w14:textId="77777777" w:rsidR="00D67069" w:rsidRPr="00D67069" w:rsidRDefault="00D67069" w:rsidP="0094177D">
      <w:pPr>
        <w:spacing w:after="60"/>
        <w:rPr>
          <w:rFonts w:eastAsia="Times New Roman"/>
          <w:spacing w:val="-4"/>
          <w:szCs w:val="17"/>
        </w:rPr>
      </w:pPr>
      <w:r w:rsidRPr="00D67069">
        <w:rPr>
          <w:rFonts w:eastAsia="Times New Roman"/>
          <w:spacing w:val="-4"/>
          <w:szCs w:val="17"/>
        </w:rPr>
        <w:t>Notice is given that at a meeting of Renmark Paringa Council held on 5 August 2025 for the financial year ending 30 June 2026 it was resolved:</w:t>
      </w:r>
    </w:p>
    <w:p w14:paraId="6AFB1348" w14:textId="77777777" w:rsidR="00D67069" w:rsidRPr="00D67069" w:rsidRDefault="00D67069" w:rsidP="0094177D">
      <w:pPr>
        <w:spacing w:after="60"/>
        <w:ind w:left="426" w:hanging="284"/>
        <w:rPr>
          <w:rFonts w:eastAsia="Times New Roman"/>
          <w:b/>
          <w:bCs/>
          <w:szCs w:val="17"/>
        </w:rPr>
      </w:pPr>
      <w:r w:rsidRPr="00D67069">
        <w:rPr>
          <w:rFonts w:eastAsia="Times New Roman"/>
          <w:b/>
          <w:bCs/>
          <w:szCs w:val="17"/>
        </w:rPr>
        <w:t>Adoption of Valuation</w:t>
      </w:r>
    </w:p>
    <w:p w14:paraId="3D1FB0AF" w14:textId="77777777" w:rsidR="00D67069" w:rsidRPr="00D67069" w:rsidRDefault="00D67069" w:rsidP="0094177D">
      <w:pPr>
        <w:spacing w:after="60"/>
        <w:ind w:left="142"/>
        <w:rPr>
          <w:rFonts w:eastAsia="Times New Roman"/>
          <w:szCs w:val="17"/>
        </w:rPr>
      </w:pPr>
      <w:r w:rsidRPr="00D67069">
        <w:rPr>
          <w:rFonts w:eastAsia="Times New Roman"/>
          <w:szCs w:val="17"/>
        </w:rPr>
        <w:t>To adopt the most recent valuations of the Valuer-General available to Council of the capital values of land, totalling $2,610,620,280 of which $2,548,921,167 is rateable.</w:t>
      </w:r>
    </w:p>
    <w:p w14:paraId="03CA0969" w14:textId="77777777" w:rsidR="00D67069" w:rsidRPr="00D67069" w:rsidRDefault="00D67069" w:rsidP="0094177D">
      <w:pPr>
        <w:spacing w:after="60"/>
        <w:ind w:left="426" w:hanging="284"/>
        <w:rPr>
          <w:rFonts w:eastAsia="Times New Roman"/>
          <w:b/>
          <w:bCs/>
          <w:szCs w:val="17"/>
        </w:rPr>
      </w:pPr>
      <w:r w:rsidRPr="00D67069">
        <w:rPr>
          <w:rFonts w:eastAsia="Times New Roman"/>
          <w:b/>
          <w:bCs/>
          <w:szCs w:val="17"/>
        </w:rPr>
        <w:t>Declaration of General Rates</w:t>
      </w:r>
    </w:p>
    <w:p w14:paraId="78D7C0D5" w14:textId="77777777" w:rsidR="00D67069" w:rsidRPr="00D67069" w:rsidRDefault="00D67069" w:rsidP="0094177D">
      <w:pPr>
        <w:spacing w:after="60"/>
        <w:ind w:left="426" w:hanging="284"/>
        <w:rPr>
          <w:rFonts w:eastAsia="Times New Roman"/>
          <w:szCs w:val="17"/>
        </w:rPr>
      </w:pPr>
      <w:r w:rsidRPr="00D67069">
        <w:rPr>
          <w:rFonts w:eastAsia="Times New Roman"/>
          <w:szCs w:val="17"/>
        </w:rPr>
        <w:t>Declared differential general rates on land use as follows:</w:t>
      </w:r>
    </w:p>
    <w:p w14:paraId="080D945B" w14:textId="77777777" w:rsidR="00D67069" w:rsidRPr="00D67069" w:rsidRDefault="00D67069" w:rsidP="0094177D">
      <w:pPr>
        <w:spacing w:after="60"/>
        <w:ind w:left="567" w:hanging="284"/>
        <w:rPr>
          <w:rFonts w:eastAsia="Times New Roman"/>
          <w:szCs w:val="17"/>
        </w:rPr>
      </w:pPr>
      <w:r w:rsidRPr="00D67069">
        <w:rPr>
          <w:rFonts w:eastAsia="Times New Roman"/>
          <w:szCs w:val="17"/>
        </w:rPr>
        <w:t>(a)</w:t>
      </w:r>
      <w:r w:rsidRPr="00D67069">
        <w:rPr>
          <w:rFonts w:eastAsia="Times New Roman"/>
          <w:szCs w:val="17"/>
        </w:rPr>
        <w:tab/>
        <w:t>0.250 cents in the dollar on rateable land of Category (a) (Residential),</w:t>
      </w:r>
    </w:p>
    <w:p w14:paraId="0C012CF8" w14:textId="77777777" w:rsidR="00D67069" w:rsidRPr="00D67069" w:rsidRDefault="00D67069" w:rsidP="0094177D">
      <w:pPr>
        <w:spacing w:after="60"/>
        <w:ind w:left="567" w:hanging="284"/>
        <w:rPr>
          <w:rFonts w:eastAsia="Times New Roman"/>
          <w:szCs w:val="17"/>
        </w:rPr>
      </w:pPr>
      <w:r w:rsidRPr="00D67069">
        <w:rPr>
          <w:rFonts w:eastAsia="Times New Roman"/>
          <w:szCs w:val="17"/>
        </w:rPr>
        <w:t>(b)</w:t>
      </w:r>
      <w:r w:rsidRPr="00D67069">
        <w:rPr>
          <w:rFonts w:eastAsia="Times New Roman"/>
          <w:szCs w:val="17"/>
        </w:rPr>
        <w:tab/>
        <w:t>0.496 cents in the dollar on rateable land of Category (b) (Commercial—Shop), Category (c) (Commercial—Office), Category (d) (Commercial—Other), Category (e) (Industry—Light) and Category (f) (Industry—Other),</w:t>
      </w:r>
    </w:p>
    <w:p w14:paraId="2426EBA1" w14:textId="77777777" w:rsidR="00D67069" w:rsidRPr="00D67069" w:rsidRDefault="00D67069" w:rsidP="0094177D">
      <w:pPr>
        <w:spacing w:after="60"/>
        <w:ind w:left="567" w:hanging="284"/>
        <w:rPr>
          <w:rFonts w:eastAsia="Times New Roman"/>
          <w:szCs w:val="17"/>
        </w:rPr>
      </w:pPr>
      <w:r w:rsidRPr="00D67069">
        <w:rPr>
          <w:rFonts w:eastAsia="Times New Roman"/>
          <w:szCs w:val="17"/>
        </w:rPr>
        <w:t>(c)</w:t>
      </w:r>
      <w:r w:rsidRPr="00D67069">
        <w:rPr>
          <w:rFonts w:eastAsia="Times New Roman"/>
          <w:szCs w:val="17"/>
        </w:rPr>
        <w:tab/>
        <w:t>0.366 cents in the dollar on rateable land of Category (g) (Primary Production),</w:t>
      </w:r>
    </w:p>
    <w:p w14:paraId="042A488C" w14:textId="77777777" w:rsidR="00D67069" w:rsidRPr="00D67069" w:rsidRDefault="00D67069" w:rsidP="0094177D">
      <w:pPr>
        <w:spacing w:after="60"/>
        <w:ind w:left="567" w:hanging="284"/>
        <w:rPr>
          <w:rFonts w:eastAsia="Times New Roman"/>
          <w:szCs w:val="17"/>
        </w:rPr>
      </w:pPr>
      <w:r w:rsidRPr="00D67069">
        <w:rPr>
          <w:rFonts w:eastAsia="Times New Roman"/>
          <w:szCs w:val="17"/>
        </w:rPr>
        <w:t>(d)</w:t>
      </w:r>
      <w:r w:rsidRPr="00D67069">
        <w:rPr>
          <w:rFonts w:eastAsia="Times New Roman"/>
          <w:szCs w:val="17"/>
        </w:rPr>
        <w:tab/>
        <w:t>0.665 cents in the dollar on rateable land of Category (h) (Vacant Land).</w:t>
      </w:r>
    </w:p>
    <w:p w14:paraId="652DDA28" w14:textId="77777777" w:rsidR="00D67069" w:rsidRPr="00D67069" w:rsidRDefault="00D67069" w:rsidP="0094177D">
      <w:pPr>
        <w:spacing w:after="60"/>
        <w:ind w:left="567" w:hanging="284"/>
        <w:rPr>
          <w:rFonts w:eastAsia="Times New Roman"/>
          <w:szCs w:val="17"/>
        </w:rPr>
      </w:pPr>
      <w:r w:rsidRPr="00D67069">
        <w:rPr>
          <w:rFonts w:eastAsia="Times New Roman"/>
          <w:szCs w:val="17"/>
        </w:rPr>
        <w:t>(e)</w:t>
      </w:r>
      <w:r w:rsidRPr="00D67069">
        <w:rPr>
          <w:rFonts w:eastAsia="Times New Roman"/>
          <w:szCs w:val="17"/>
        </w:rPr>
        <w:tab/>
        <w:t>0.250 cents in the dollar on rateable land of Category (i) (Other).</w:t>
      </w:r>
    </w:p>
    <w:p w14:paraId="2B170C52" w14:textId="77777777" w:rsidR="00D67069" w:rsidRPr="00D67069" w:rsidRDefault="00D67069" w:rsidP="0094177D">
      <w:pPr>
        <w:spacing w:after="60"/>
        <w:ind w:left="426" w:hanging="284"/>
        <w:rPr>
          <w:rFonts w:eastAsia="Times New Roman"/>
          <w:b/>
          <w:bCs/>
          <w:szCs w:val="17"/>
        </w:rPr>
      </w:pPr>
      <w:r w:rsidRPr="00D67069">
        <w:rPr>
          <w:rFonts w:eastAsia="Times New Roman"/>
          <w:b/>
          <w:bCs/>
          <w:szCs w:val="17"/>
        </w:rPr>
        <w:t>Fixed Charge</w:t>
      </w:r>
    </w:p>
    <w:p w14:paraId="2E406CD3" w14:textId="77777777" w:rsidR="00D67069" w:rsidRPr="00D67069" w:rsidRDefault="00D67069" w:rsidP="0094177D">
      <w:pPr>
        <w:spacing w:after="60"/>
        <w:ind w:left="426" w:hanging="284"/>
        <w:rPr>
          <w:rFonts w:eastAsia="Times New Roman"/>
          <w:szCs w:val="17"/>
        </w:rPr>
      </w:pPr>
      <w:r w:rsidRPr="00D67069">
        <w:rPr>
          <w:rFonts w:eastAsia="Times New Roman"/>
          <w:szCs w:val="17"/>
        </w:rPr>
        <w:t>Imposed a fixed charge of $424 on each separate piece of rateable land.</w:t>
      </w:r>
    </w:p>
    <w:p w14:paraId="789B959E" w14:textId="77777777" w:rsidR="00D67069" w:rsidRPr="00D67069" w:rsidRDefault="00D67069" w:rsidP="0094177D">
      <w:pPr>
        <w:spacing w:after="60"/>
        <w:ind w:left="426" w:hanging="284"/>
        <w:rPr>
          <w:rFonts w:eastAsia="Times New Roman"/>
          <w:b/>
          <w:bCs/>
          <w:szCs w:val="17"/>
        </w:rPr>
      </w:pPr>
      <w:r w:rsidRPr="00D67069">
        <w:rPr>
          <w:rFonts w:eastAsia="Times New Roman"/>
          <w:b/>
          <w:bCs/>
          <w:szCs w:val="17"/>
        </w:rPr>
        <w:t>Separate Rate—Regional Landscape Levy</w:t>
      </w:r>
    </w:p>
    <w:p w14:paraId="03C7CCBB" w14:textId="77777777" w:rsidR="00D67069" w:rsidRPr="00D67069" w:rsidRDefault="00D67069" w:rsidP="0094177D">
      <w:pPr>
        <w:spacing w:after="60"/>
        <w:ind w:left="142"/>
        <w:rPr>
          <w:rFonts w:eastAsia="Times New Roman"/>
          <w:szCs w:val="17"/>
        </w:rPr>
      </w:pPr>
      <w:r w:rsidRPr="00D67069">
        <w:rPr>
          <w:rFonts w:eastAsia="Times New Roman"/>
          <w:szCs w:val="17"/>
        </w:rPr>
        <w:t>Declared a separate rate of 0.0156 cents in the dollar on all rateable land to recover the amount payable to the Murraylands and Riverland Landscape Board.</w:t>
      </w:r>
    </w:p>
    <w:p w14:paraId="2305DF01" w14:textId="77777777" w:rsidR="00D67069" w:rsidRPr="00D67069" w:rsidRDefault="00D67069" w:rsidP="0094177D">
      <w:pPr>
        <w:spacing w:after="60"/>
        <w:ind w:left="426" w:hanging="284"/>
        <w:rPr>
          <w:rFonts w:eastAsia="Times New Roman"/>
          <w:b/>
          <w:bCs/>
          <w:szCs w:val="17"/>
        </w:rPr>
      </w:pPr>
      <w:r w:rsidRPr="00D67069">
        <w:rPr>
          <w:rFonts w:eastAsia="Times New Roman"/>
          <w:b/>
          <w:bCs/>
          <w:szCs w:val="17"/>
        </w:rPr>
        <w:t>Service Charges</w:t>
      </w:r>
    </w:p>
    <w:p w14:paraId="3348DE44" w14:textId="77777777" w:rsidR="00D67069" w:rsidRPr="00D67069" w:rsidRDefault="00D67069" w:rsidP="0094177D">
      <w:pPr>
        <w:spacing w:after="60"/>
        <w:ind w:left="567" w:hanging="284"/>
        <w:rPr>
          <w:rFonts w:eastAsia="Times New Roman"/>
          <w:szCs w:val="17"/>
        </w:rPr>
      </w:pPr>
      <w:r w:rsidRPr="00D67069">
        <w:rPr>
          <w:rFonts w:eastAsia="Times New Roman"/>
          <w:szCs w:val="17"/>
        </w:rPr>
        <w:t>(1)</w:t>
      </w:r>
      <w:r w:rsidRPr="00D67069">
        <w:rPr>
          <w:rFonts w:eastAsia="Times New Roman"/>
          <w:szCs w:val="17"/>
        </w:rPr>
        <w:tab/>
        <w:t>Imposed an annual service charge of $793 per unit on rateable and non-rateable land where a septic tank effluent disposal connection point is provided by Council.</w:t>
      </w:r>
    </w:p>
    <w:p w14:paraId="0D839353" w14:textId="77777777" w:rsidR="00D67069" w:rsidRPr="00D67069" w:rsidRDefault="00D67069" w:rsidP="0094177D">
      <w:pPr>
        <w:spacing w:after="60"/>
        <w:ind w:left="567" w:hanging="284"/>
        <w:rPr>
          <w:rFonts w:eastAsia="Times New Roman"/>
          <w:szCs w:val="17"/>
        </w:rPr>
      </w:pPr>
      <w:r w:rsidRPr="00D67069">
        <w:rPr>
          <w:rFonts w:eastAsia="Times New Roman"/>
          <w:szCs w:val="17"/>
        </w:rPr>
        <w:t>(2)</w:t>
      </w:r>
      <w:r w:rsidRPr="00D67069">
        <w:rPr>
          <w:rFonts w:eastAsia="Times New Roman"/>
          <w:szCs w:val="17"/>
        </w:rPr>
        <w:tab/>
        <w:t>Declared an annual service charge of $190 for residual waste collection within the Township areas (Town Residential).</w:t>
      </w:r>
    </w:p>
    <w:p w14:paraId="0BB7889C" w14:textId="77777777" w:rsidR="00D67069" w:rsidRPr="00D67069" w:rsidRDefault="00D67069" w:rsidP="0094177D">
      <w:pPr>
        <w:spacing w:after="60"/>
        <w:ind w:left="567" w:hanging="284"/>
        <w:rPr>
          <w:rFonts w:eastAsia="Times New Roman"/>
          <w:szCs w:val="17"/>
        </w:rPr>
      </w:pPr>
      <w:r w:rsidRPr="00D67069">
        <w:rPr>
          <w:rFonts w:eastAsia="Times New Roman"/>
          <w:szCs w:val="17"/>
        </w:rPr>
        <w:t>(3)</w:t>
      </w:r>
      <w:r w:rsidRPr="00D67069">
        <w:rPr>
          <w:rFonts w:eastAsia="Times New Roman"/>
          <w:szCs w:val="17"/>
        </w:rPr>
        <w:tab/>
        <w:t>Declared an annual service charge of $190 for residual waste collection within the Rural areas (Rural Residential).</w:t>
      </w:r>
    </w:p>
    <w:p w14:paraId="1B0077A8" w14:textId="77777777" w:rsidR="00D67069" w:rsidRPr="00D67069" w:rsidRDefault="00D67069" w:rsidP="0094177D">
      <w:pPr>
        <w:spacing w:after="60"/>
        <w:ind w:left="567" w:hanging="284"/>
        <w:rPr>
          <w:rFonts w:eastAsia="Times New Roman"/>
          <w:szCs w:val="17"/>
        </w:rPr>
      </w:pPr>
      <w:r w:rsidRPr="00D67069">
        <w:rPr>
          <w:rFonts w:eastAsia="Times New Roman"/>
          <w:szCs w:val="17"/>
        </w:rPr>
        <w:t>(4)</w:t>
      </w:r>
      <w:r w:rsidRPr="00D67069">
        <w:rPr>
          <w:rFonts w:eastAsia="Times New Roman"/>
          <w:szCs w:val="17"/>
        </w:rPr>
        <w:tab/>
        <w:t>Declared an annual service charge of $95 for recycling collection within the Township areas (Town Residential).</w:t>
      </w:r>
    </w:p>
    <w:p w14:paraId="7BFB173C" w14:textId="77777777" w:rsidR="00D67069" w:rsidRPr="00D67069" w:rsidRDefault="00D67069" w:rsidP="0094177D">
      <w:pPr>
        <w:spacing w:after="60"/>
        <w:ind w:left="567" w:hanging="284"/>
        <w:rPr>
          <w:rFonts w:eastAsia="Times New Roman"/>
          <w:szCs w:val="17"/>
        </w:rPr>
      </w:pPr>
      <w:r w:rsidRPr="00D67069">
        <w:rPr>
          <w:rFonts w:eastAsia="Times New Roman"/>
          <w:szCs w:val="17"/>
        </w:rPr>
        <w:t>(5)</w:t>
      </w:r>
      <w:r w:rsidRPr="00D67069">
        <w:rPr>
          <w:rFonts w:eastAsia="Times New Roman"/>
          <w:szCs w:val="17"/>
        </w:rPr>
        <w:tab/>
        <w:t>Declared an annual service charge of $95 for recycling collection within the Rural areas (Rural Residential).</w:t>
      </w:r>
    </w:p>
    <w:p w14:paraId="6AB74345" w14:textId="77777777" w:rsidR="00D67069" w:rsidRPr="00D67069" w:rsidRDefault="00D67069" w:rsidP="0094177D">
      <w:pPr>
        <w:spacing w:after="60"/>
        <w:ind w:left="567" w:hanging="284"/>
        <w:rPr>
          <w:rFonts w:eastAsia="Times New Roman"/>
          <w:szCs w:val="17"/>
        </w:rPr>
      </w:pPr>
      <w:r w:rsidRPr="00D67069">
        <w:rPr>
          <w:rFonts w:eastAsia="Times New Roman"/>
          <w:szCs w:val="17"/>
        </w:rPr>
        <w:t>(6)</w:t>
      </w:r>
      <w:r w:rsidRPr="00D67069">
        <w:rPr>
          <w:rFonts w:eastAsia="Times New Roman"/>
          <w:szCs w:val="17"/>
        </w:rPr>
        <w:tab/>
        <w:t>Declared an annual service charge of $95 for organics collection within the Township areas (Town Residential).</w:t>
      </w:r>
    </w:p>
    <w:p w14:paraId="139C8C41" w14:textId="77777777" w:rsidR="00D67069" w:rsidRPr="00D67069" w:rsidRDefault="00D67069" w:rsidP="00D67069">
      <w:pPr>
        <w:spacing w:after="0"/>
        <w:rPr>
          <w:rFonts w:eastAsia="Times New Roman"/>
          <w:szCs w:val="17"/>
        </w:rPr>
      </w:pPr>
      <w:r w:rsidRPr="00D67069">
        <w:rPr>
          <w:rFonts w:eastAsia="Times New Roman"/>
          <w:szCs w:val="17"/>
        </w:rPr>
        <w:t>Dated: 11 August 2025</w:t>
      </w:r>
    </w:p>
    <w:p w14:paraId="77BD5973" w14:textId="77777777" w:rsidR="00D67069" w:rsidRPr="00D67069" w:rsidRDefault="00D67069" w:rsidP="00D67069">
      <w:pPr>
        <w:spacing w:after="0"/>
        <w:jc w:val="right"/>
        <w:rPr>
          <w:rFonts w:eastAsia="Times New Roman"/>
          <w:smallCaps/>
          <w:szCs w:val="20"/>
        </w:rPr>
      </w:pPr>
      <w:r w:rsidRPr="00D67069">
        <w:rPr>
          <w:rFonts w:eastAsia="Times New Roman"/>
          <w:smallCaps/>
          <w:szCs w:val="20"/>
        </w:rPr>
        <w:t>T. Wolf</w:t>
      </w:r>
    </w:p>
    <w:p w14:paraId="361D87B1" w14:textId="77777777" w:rsidR="00D67069" w:rsidRDefault="00D67069" w:rsidP="00D67069">
      <w:pPr>
        <w:spacing w:after="0"/>
        <w:jc w:val="right"/>
        <w:rPr>
          <w:rFonts w:eastAsia="Times New Roman"/>
          <w:szCs w:val="17"/>
        </w:rPr>
      </w:pPr>
      <w:r w:rsidRPr="00D67069">
        <w:rPr>
          <w:rFonts w:eastAsia="Times New Roman"/>
          <w:szCs w:val="17"/>
        </w:rPr>
        <w:t>Acting Chief Executive Officer</w:t>
      </w:r>
    </w:p>
    <w:p w14:paraId="12E07342" w14:textId="77777777" w:rsidR="00D67069" w:rsidRDefault="00D67069" w:rsidP="00D67069">
      <w:pPr>
        <w:pBdr>
          <w:bottom w:val="single" w:sz="4" w:space="1" w:color="auto"/>
        </w:pBdr>
        <w:spacing w:after="0" w:line="52" w:lineRule="exact"/>
        <w:jc w:val="center"/>
        <w:rPr>
          <w:rFonts w:eastAsia="Times New Roman"/>
          <w:szCs w:val="17"/>
        </w:rPr>
      </w:pPr>
    </w:p>
    <w:p w14:paraId="23C6D852" w14:textId="77777777" w:rsidR="00D67069" w:rsidRDefault="00D67069" w:rsidP="00D67069">
      <w:pPr>
        <w:pBdr>
          <w:top w:val="single" w:sz="4" w:space="1" w:color="auto"/>
        </w:pBdr>
        <w:spacing w:before="34" w:after="0" w:line="14" w:lineRule="exact"/>
        <w:jc w:val="center"/>
        <w:rPr>
          <w:rFonts w:eastAsia="Times New Roman"/>
          <w:szCs w:val="17"/>
        </w:rPr>
      </w:pPr>
    </w:p>
    <w:p w14:paraId="3644D862" w14:textId="77777777" w:rsidR="00D67069" w:rsidRPr="00D67069" w:rsidRDefault="00D67069" w:rsidP="0094177D">
      <w:pPr>
        <w:pStyle w:val="NoSpacing"/>
      </w:pPr>
    </w:p>
    <w:p w14:paraId="5AD7C657" w14:textId="14373852" w:rsidR="00D67069" w:rsidRDefault="00227537" w:rsidP="003352F4">
      <w:pPr>
        <w:pStyle w:val="Heading2"/>
      </w:pPr>
      <w:bookmarkStart w:id="535" w:name="_Toc206061790"/>
      <w:r>
        <w:t>Yorke Peninsula Council</w:t>
      </w:r>
      <w:bookmarkEnd w:id="535"/>
    </w:p>
    <w:p w14:paraId="22E0DBA3" w14:textId="77777777" w:rsidR="00D67069" w:rsidRDefault="00D67069" w:rsidP="00D67069">
      <w:pPr>
        <w:pStyle w:val="GG-Title2"/>
      </w:pPr>
      <w:r>
        <w:t>Local Government (Elections) Act 1999</w:t>
      </w:r>
    </w:p>
    <w:p w14:paraId="2756C280" w14:textId="77777777" w:rsidR="00D67069" w:rsidRDefault="00D67069" w:rsidP="00D67069">
      <w:pPr>
        <w:pStyle w:val="GG-Title3"/>
      </w:pPr>
      <w:r>
        <w:t>Supplementary Election—Nominations Received</w:t>
      </w:r>
    </w:p>
    <w:p w14:paraId="46706A83" w14:textId="77777777" w:rsidR="00D67069" w:rsidRDefault="00D67069" w:rsidP="00D67069">
      <w:pPr>
        <w:pStyle w:val="GG-body"/>
      </w:pPr>
      <w:r>
        <w:t>At the close of nominations at 12 noon on Thursday, 7 August 2025, the following people have been accepted as candidates and are listed below in the order in which they will appear on the ballot paper.</w:t>
      </w:r>
    </w:p>
    <w:p w14:paraId="61B2FE67" w14:textId="77777777" w:rsidR="00D67069" w:rsidRPr="00BA69CF" w:rsidRDefault="00D67069" w:rsidP="00D67069">
      <w:pPr>
        <w:pStyle w:val="GG-body"/>
        <w:rPr>
          <w:b/>
          <w:bCs/>
        </w:rPr>
      </w:pPr>
      <w:r w:rsidRPr="00BA69CF">
        <w:rPr>
          <w:b/>
          <w:bCs/>
        </w:rPr>
        <w:t>Mayor—1 Vacancy</w:t>
      </w:r>
    </w:p>
    <w:p w14:paraId="2AD694F4" w14:textId="77777777" w:rsidR="00D67069" w:rsidRDefault="00D67069" w:rsidP="00D67069">
      <w:pPr>
        <w:pStyle w:val="GG-body"/>
        <w:spacing w:after="40"/>
        <w:ind w:left="142"/>
      </w:pPr>
      <w:r>
        <w:t xml:space="preserve">O’CONNELL, Michael </w:t>
      </w:r>
    </w:p>
    <w:p w14:paraId="051D1ED3" w14:textId="77777777" w:rsidR="00D67069" w:rsidRDefault="00D67069" w:rsidP="00D67069">
      <w:pPr>
        <w:pStyle w:val="GG-body"/>
        <w:ind w:left="142"/>
      </w:pPr>
      <w:r>
        <w:t xml:space="preserve">GRAY, Kylie Leanne </w:t>
      </w:r>
    </w:p>
    <w:p w14:paraId="49343162" w14:textId="77777777" w:rsidR="00D67069" w:rsidRPr="002C2193" w:rsidRDefault="00D67069" w:rsidP="00D67069">
      <w:pPr>
        <w:pStyle w:val="GG-body"/>
        <w:rPr>
          <w:b/>
          <w:bCs/>
        </w:rPr>
      </w:pPr>
      <w:r w:rsidRPr="002C2193">
        <w:rPr>
          <w:b/>
          <w:bCs/>
        </w:rPr>
        <w:t>Campaign Disclosure Returns</w:t>
      </w:r>
    </w:p>
    <w:p w14:paraId="7257674C" w14:textId="77777777" w:rsidR="00D67069" w:rsidRDefault="00D67069" w:rsidP="0094177D">
      <w:pPr>
        <w:pStyle w:val="GG-body"/>
        <w:spacing w:after="60"/>
        <w:ind w:left="142"/>
      </w:pPr>
      <w:r>
        <w:t>Candidates must lodge the following returns with the Electoral Commissioner:</w:t>
      </w:r>
    </w:p>
    <w:p w14:paraId="1E22C1A0" w14:textId="77777777" w:rsidR="00D67069" w:rsidRDefault="00D67069" w:rsidP="0094177D">
      <w:pPr>
        <w:pStyle w:val="GG-body"/>
        <w:spacing w:after="60"/>
        <w:ind w:left="426" w:hanging="142"/>
      </w:pPr>
      <w:r>
        <w:t>•</w:t>
      </w:r>
      <w:r>
        <w:tab/>
        <w:t>Campaign donation return</w:t>
      </w:r>
    </w:p>
    <w:p w14:paraId="366AEA12" w14:textId="77777777" w:rsidR="00D67069" w:rsidRDefault="00D67069" w:rsidP="0094177D">
      <w:pPr>
        <w:pStyle w:val="GG-body"/>
        <w:spacing w:after="60"/>
        <w:ind w:left="567" w:hanging="142"/>
      </w:pPr>
      <w:r>
        <w:t>◦</w:t>
      </w:r>
      <w:r>
        <w:tab/>
        <w:t>Return no. 1—lodgement from Friday, 15 August to Thursday, 21 August 2025</w:t>
      </w:r>
    </w:p>
    <w:p w14:paraId="3EA2914D" w14:textId="77777777" w:rsidR="00D67069" w:rsidRDefault="00D67069" w:rsidP="0094177D">
      <w:pPr>
        <w:pStyle w:val="GG-body"/>
        <w:spacing w:after="60"/>
        <w:ind w:left="567" w:hanging="142"/>
      </w:pPr>
      <w:r>
        <w:t>◦</w:t>
      </w:r>
      <w:r>
        <w:tab/>
        <w:t>Return no. 2—within 30 days of the conclusion of the election</w:t>
      </w:r>
    </w:p>
    <w:p w14:paraId="7DAD0BDD" w14:textId="77777777" w:rsidR="00D67069" w:rsidRDefault="00D67069" w:rsidP="0094177D">
      <w:pPr>
        <w:pStyle w:val="GG-body"/>
        <w:spacing w:after="60"/>
        <w:ind w:left="426" w:hanging="142"/>
      </w:pPr>
      <w:r>
        <w:lastRenderedPageBreak/>
        <w:t>•</w:t>
      </w:r>
      <w:r>
        <w:tab/>
        <w:t>Large gift return</w:t>
      </w:r>
    </w:p>
    <w:p w14:paraId="72AD15C4" w14:textId="77777777" w:rsidR="00D67069" w:rsidRDefault="00D67069" w:rsidP="0094177D">
      <w:pPr>
        <w:pStyle w:val="GG-body"/>
        <w:spacing w:after="60"/>
        <w:ind w:left="567" w:hanging="142"/>
      </w:pPr>
      <w:r>
        <w:t>◦</w:t>
      </w:r>
      <w:r>
        <w:tab/>
        <w:t>Return lodgement within 5 days after receipt, only required for gifts in excess of $2,500</w:t>
      </w:r>
    </w:p>
    <w:p w14:paraId="75290366" w14:textId="77777777" w:rsidR="00D67069" w:rsidRDefault="00D67069" w:rsidP="00D67069">
      <w:pPr>
        <w:pStyle w:val="GG-body"/>
        <w:ind w:left="142"/>
      </w:pPr>
      <w:r>
        <w:t xml:space="preserve">Detailed information about candidate disclosure return requirements can be found at </w:t>
      </w:r>
      <w:hyperlink r:id="rId333" w:history="1">
        <w:r w:rsidRPr="00991456">
          <w:rPr>
            <w:rStyle w:val="Hyperlink"/>
          </w:rPr>
          <w:t>www.ecsa.sa.gov.au</w:t>
        </w:r>
      </w:hyperlink>
      <w:r>
        <w:t>.</w:t>
      </w:r>
    </w:p>
    <w:p w14:paraId="4174625B" w14:textId="77777777" w:rsidR="00D67069" w:rsidRPr="00991456" w:rsidRDefault="00D67069" w:rsidP="00D67069">
      <w:pPr>
        <w:pStyle w:val="GG-body"/>
        <w:rPr>
          <w:b/>
          <w:bCs/>
        </w:rPr>
      </w:pPr>
      <w:r w:rsidRPr="00991456">
        <w:rPr>
          <w:b/>
          <w:bCs/>
        </w:rPr>
        <w:t>Voting Conducted by Post</w:t>
      </w:r>
    </w:p>
    <w:p w14:paraId="28EE121B" w14:textId="77777777" w:rsidR="00D67069" w:rsidRDefault="00D67069" w:rsidP="00D67069">
      <w:pPr>
        <w:pStyle w:val="GG-body"/>
        <w:ind w:left="142"/>
      </w:pPr>
      <w:r>
        <w:t>The election is conducted entirely by post and no polling booths will be open for voting. Ballot papers and reply-paid envelopes are mailed out between Tuesday, 26 August and Monday, 1 September 2025 to every person, body corporate and group listed on the voters roll at the close of rolls on 5pm, Monday, 30 June 2025. Voting is voluntary.</w:t>
      </w:r>
    </w:p>
    <w:p w14:paraId="50394F81" w14:textId="77777777" w:rsidR="00D67069" w:rsidRDefault="00D67069" w:rsidP="00D67069">
      <w:pPr>
        <w:pStyle w:val="GG-body"/>
        <w:ind w:left="142"/>
      </w:pPr>
      <w:r>
        <w:t>A person who has not received voting material by Thursday, 4 September 2025, and believes they are entitled to vote, should contact the deputy returning officer on 1300 655 232 before 5pm, Monday, 15 September 2025.</w:t>
      </w:r>
    </w:p>
    <w:p w14:paraId="41ABDC75" w14:textId="77777777" w:rsidR="00D67069" w:rsidRDefault="00D67069" w:rsidP="00D67069">
      <w:pPr>
        <w:pStyle w:val="GG-body"/>
        <w:ind w:left="142"/>
      </w:pPr>
      <w:r>
        <w:t>Completed voting material must be sent to reach the returning officer no later than 12 noon on polling day Monday, 22 September 2025.</w:t>
      </w:r>
    </w:p>
    <w:p w14:paraId="7935511D" w14:textId="77777777" w:rsidR="00D67069" w:rsidRPr="00991456" w:rsidRDefault="00D67069" w:rsidP="00D67069">
      <w:pPr>
        <w:pStyle w:val="GG-body"/>
        <w:rPr>
          <w:b/>
          <w:bCs/>
        </w:rPr>
      </w:pPr>
      <w:r w:rsidRPr="00991456">
        <w:rPr>
          <w:b/>
          <w:bCs/>
        </w:rPr>
        <w:t>Assisted Voting</w:t>
      </w:r>
    </w:p>
    <w:p w14:paraId="0D75B2DC" w14:textId="77777777" w:rsidR="00D67069" w:rsidRDefault="00D67069" w:rsidP="00D67069">
      <w:pPr>
        <w:pStyle w:val="GG-body"/>
        <w:ind w:left="142"/>
      </w:pPr>
      <w:r>
        <w:t xml:space="preserve">Prescribed electors under Section 41A(8) of the </w:t>
      </w:r>
      <w:r w:rsidRPr="00991456">
        <w:rPr>
          <w:i/>
          <w:iCs/>
        </w:rPr>
        <w:t>Local Government (Elections) Act 1999</w:t>
      </w:r>
      <w:r>
        <w:t>, may vote via the telephone assisted voting method by calling the Electoral Commission SA on:</w:t>
      </w:r>
    </w:p>
    <w:p w14:paraId="775B55FE" w14:textId="77777777" w:rsidR="00D67069" w:rsidRDefault="00D67069" w:rsidP="00D67069">
      <w:pPr>
        <w:pStyle w:val="GG-body"/>
        <w:ind w:left="426" w:hanging="142"/>
      </w:pPr>
      <w:r>
        <w:t>•</w:t>
      </w:r>
      <w:r>
        <w:tab/>
        <w:t>1300 655 232 within South Australia only</w:t>
      </w:r>
    </w:p>
    <w:p w14:paraId="05FEFAB2" w14:textId="77777777" w:rsidR="00D67069" w:rsidRDefault="00D67069" w:rsidP="00D67069">
      <w:pPr>
        <w:pStyle w:val="GG-body"/>
        <w:ind w:left="426" w:hanging="142"/>
      </w:pPr>
      <w:r>
        <w:t>•</w:t>
      </w:r>
      <w:r>
        <w:tab/>
        <w:t>08 7424 7400 from interstate</w:t>
      </w:r>
    </w:p>
    <w:p w14:paraId="21E4373D" w14:textId="77777777" w:rsidR="00D67069" w:rsidRDefault="00D67069" w:rsidP="00D67069">
      <w:pPr>
        <w:pStyle w:val="GG-body"/>
        <w:ind w:left="426" w:hanging="142"/>
      </w:pPr>
      <w:r>
        <w:t>•</w:t>
      </w:r>
      <w:r>
        <w:tab/>
        <w:t>+61 8 7424 7400 from overseas</w:t>
      </w:r>
    </w:p>
    <w:p w14:paraId="4B27D7F5" w14:textId="77777777" w:rsidR="00D67069" w:rsidRDefault="00D67069" w:rsidP="00D67069">
      <w:pPr>
        <w:pStyle w:val="GG-body"/>
        <w:ind w:left="142"/>
      </w:pPr>
      <w:r>
        <w:t>The Telephone Assisted Voting Centre will operate for the following times and days:</w:t>
      </w:r>
    </w:p>
    <w:p w14:paraId="52949FB4" w14:textId="77777777" w:rsidR="00D67069" w:rsidRDefault="00D67069" w:rsidP="00D67069">
      <w:pPr>
        <w:pStyle w:val="GG-body"/>
        <w:ind w:left="426" w:hanging="142"/>
      </w:pPr>
      <w:r>
        <w:t>•</w:t>
      </w:r>
      <w:r>
        <w:tab/>
        <w:t>9am-5pm, Thursday, 18 September and Friday, 19 September 2025</w:t>
      </w:r>
    </w:p>
    <w:p w14:paraId="2ABFA418" w14:textId="77777777" w:rsidR="00D67069" w:rsidRDefault="00D67069" w:rsidP="00D67069">
      <w:pPr>
        <w:pStyle w:val="GG-body"/>
        <w:ind w:left="426" w:hanging="142"/>
      </w:pPr>
      <w:r>
        <w:t>•</w:t>
      </w:r>
      <w:r>
        <w:tab/>
        <w:t>9am-12 noon, Monday, 22 September 2025 (close of voting)</w:t>
      </w:r>
    </w:p>
    <w:p w14:paraId="1506EF2F" w14:textId="77777777" w:rsidR="00D67069" w:rsidRPr="00991456" w:rsidRDefault="00D67069" w:rsidP="00D67069">
      <w:pPr>
        <w:pStyle w:val="GG-body"/>
        <w:rPr>
          <w:b/>
          <w:bCs/>
        </w:rPr>
      </w:pPr>
      <w:r w:rsidRPr="00991456">
        <w:rPr>
          <w:b/>
          <w:bCs/>
        </w:rPr>
        <w:t>Vote Counting Location</w:t>
      </w:r>
    </w:p>
    <w:p w14:paraId="461295F8" w14:textId="77777777" w:rsidR="00D67069" w:rsidRDefault="00D67069" w:rsidP="00D67069">
      <w:pPr>
        <w:pStyle w:val="GG-body"/>
        <w:ind w:left="142"/>
      </w:pPr>
      <w:r>
        <w:t>The scrutiny and count will take place from 9:30am on Tuesday, 23 September 2025 at the following location:</w:t>
      </w:r>
    </w:p>
    <w:p w14:paraId="52103843" w14:textId="77777777" w:rsidR="00D67069" w:rsidRDefault="00D67069" w:rsidP="00D67069">
      <w:pPr>
        <w:pStyle w:val="GG-body"/>
        <w:ind w:left="426" w:hanging="142"/>
      </w:pPr>
      <w:r>
        <w:t>•</w:t>
      </w:r>
      <w:r>
        <w:tab/>
        <w:t>Electoral Commission SA Central Processing Centre</w:t>
      </w:r>
    </w:p>
    <w:p w14:paraId="534B5521" w14:textId="77777777" w:rsidR="00D67069" w:rsidRDefault="00D67069" w:rsidP="00D67069">
      <w:pPr>
        <w:pStyle w:val="GG-body"/>
        <w:ind w:left="567" w:hanging="142"/>
      </w:pPr>
      <w:r>
        <w:t>◦</w:t>
      </w:r>
      <w:r>
        <w:tab/>
        <w:t>7 Hudson Court, Netley 5037</w:t>
      </w:r>
    </w:p>
    <w:p w14:paraId="0C0DB752" w14:textId="77777777" w:rsidR="00D67069" w:rsidRDefault="00D67069" w:rsidP="00D67069">
      <w:pPr>
        <w:pStyle w:val="GG-body"/>
        <w:ind w:left="142"/>
      </w:pPr>
      <w:r>
        <w:t>A provisional declaration will be made at the conclusion of the election count.</w:t>
      </w:r>
    </w:p>
    <w:p w14:paraId="053E8096" w14:textId="77777777" w:rsidR="00D67069" w:rsidRDefault="00D67069" w:rsidP="00D67069">
      <w:pPr>
        <w:pStyle w:val="GG-SDated"/>
      </w:pPr>
      <w:r>
        <w:t>Dated: 14 August 2025</w:t>
      </w:r>
    </w:p>
    <w:p w14:paraId="49D7AC05" w14:textId="77777777" w:rsidR="00D67069" w:rsidRDefault="00D67069" w:rsidP="00D67069">
      <w:pPr>
        <w:pStyle w:val="GG-SName"/>
      </w:pPr>
      <w:r>
        <w:t>Mick Sherry</w:t>
      </w:r>
    </w:p>
    <w:p w14:paraId="71EF1820" w14:textId="77777777" w:rsidR="00D67069" w:rsidRDefault="00D67069" w:rsidP="00D67069">
      <w:pPr>
        <w:pStyle w:val="GG-Signature"/>
      </w:pPr>
      <w:r>
        <w:t>Returning Officer</w:t>
      </w:r>
    </w:p>
    <w:p w14:paraId="670482A3" w14:textId="77777777" w:rsidR="00D67069" w:rsidRDefault="00D67069" w:rsidP="00D67069">
      <w:pPr>
        <w:pStyle w:val="GG-Signature"/>
        <w:pBdr>
          <w:bottom w:val="single" w:sz="4" w:space="1" w:color="auto"/>
        </w:pBdr>
        <w:spacing w:line="52" w:lineRule="exact"/>
        <w:jc w:val="center"/>
      </w:pPr>
    </w:p>
    <w:p w14:paraId="39FD2A54" w14:textId="77777777" w:rsidR="00D67069" w:rsidRDefault="00D67069" w:rsidP="00D67069">
      <w:pPr>
        <w:pStyle w:val="GG-Signature"/>
        <w:pBdr>
          <w:top w:val="single" w:sz="4" w:space="1" w:color="auto"/>
        </w:pBdr>
        <w:spacing w:before="34" w:line="14" w:lineRule="exact"/>
        <w:jc w:val="center"/>
      </w:pPr>
    </w:p>
    <w:p w14:paraId="7F89812F" w14:textId="77777777" w:rsidR="00D67069" w:rsidRDefault="00D67069" w:rsidP="00D6706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38A528B" w14:textId="77777777" w:rsidR="00E23F75" w:rsidRDefault="00E23F75">
      <w:pPr>
        <w:spacing w:after="0" w:line="240" w:lineRule="auto"/>
        <w:jc w:val="left"/>
        <w:rPr>
          <w:rFonts w:eastAsia="Times New Roman"/>
          <w:szCs w:val="17"/>
          <w:lang w:val="en-US"/>
        </w:rPr>
      </w:pPr>
      <w:r>
        <w:rPr>
          <w:lang w:val="en-US"/>
        </w:rPr>
        <w:br w:type="page"/>
      </w:r>
    </w:p>
    <w:p w14:paraId="2FF9966D" w14:textId="77777777" w:rsidR="00EB5C72" w:rsidRPr="00576D3B" w:rsidRDefault="00EB5C72" w:rsidP="005335F1">
      <w:pPr>
        <w:spacing w:after="0" w:line="240" w:lineRule="auto"/>
        <w:ind w:left="600" w:right="600"/>
        <w:jc w:val="center"/>
        <w:rPr>
          <w:color w:val="000000"/>
          <w:sz w:val="20"/>
          <w:szCs w:val="20"/>
        </w:rPr>
      </w:pPr>
    </w:p>
    <w:p w14:paraId="150C9E14" w14:textId="77777777" w:rsidR="005C269C" w:rsidRDefault="005C269C" w:rsidP="005335F1">
      <w:pPr>
        <w:spacing w:after="0" w:line="240" w:lineRule="auto"/>
        <w:ind w:left="600" w:right="600"/>
        <w:jc w:val="center"/>
        <w:rPr>
          <w:color w:val="000000"/>
          <w:sz w:val="20"/>
          <w:szCs w:val="20"/>
        </w:rPr>
      </w:pPr>
    </w:p>
    <w:p w14:paraId="20192DE0" w14:textId="77777777" w:rsidR="005C269C" w:rsidRPr="00576D3B" w:rsidRDefault="005C269C" w:rsidP="005335F1">
      <w:pPr>
        <w:spacing w:after="0" w:line="240" w:lineRule="auto"/>
        <w:ind w:left="600" w:right="600"/>
        <w:jc w:val="center"/>
        <w:rPr>
          <w:color w:val="000000"/>
          <w:sz w:val="20"/>
          <w:szCs w:val="20"/>
        </w:rPr>
      </w:pPr>
    </w:p>
    <w:p w14:paraId="01019E3B" w14:textId="77777777" w:rsidR="00EB5C72" w:rsidRDefault="00EB5C72" w:rsidP="005335F1">
      <w:pPr>
        <w:spacing w:after="0" w:line="240" w:lineRule="auto"/>
        <w:ind w:left="600" w:right="600"/>
        <w:jc w:val="center"/>
        <w:rPr>
          <w:color w:val="000000"/>
          <w:sz w:val="20"/>
          <w:szCs w:val="20"/>
        </w:rPr>
      </w:pPr>
    </w:p>
    <w:p w14:paraId="361FE539" w14:textId="77777777" w:rsidR="00EB5C72" w:rsidRPr="00576D3B" w:rsidRDefault="00EB5C72" w:rsidP="005335F1">
      <w:pPr>
        <w:spacing w:after="0" w:line="240" w:lineRule="auto"/>
        <w:ind w:left="600" w:right="600"/>
        <w:jc w:val="center"/>
        <w:rPr>
          <w:color w:val="000000"/>
          <w:sz w:val="20"/>
          <w:szCs w:val="20"/>
        </w:rPr>
      </w:pPr>
    </w:p>
    <w:p w14:paraId="00A9807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1B33D57" w14:textId="77777777" w:rsidR="00EB5C72" w:rsidRPr="00576D3B" w:rsidRDefault="00EB5C72" w:rsidP="005335F1">
      <w:pPr>
        <w:spacing w:after="0" w:line="240" w:lineRule="auto"/>
        <w:ind w:left="600" w:right="600"/>
        <w:jc w:val="center"/>
        <w:rPr>
          <w:color w:val="000000"/>
          <w:sz w:val="20"/>
          <w:szCs w:val="20"/>
        </w:rPr>
      </w:pPr>
    </w:p>
    <w:p w14:paraId="5444E4BC" w14:textId="77777777" w:rsidR="00EB5C72" w:rsidRDefault="00EB5C72" w:rsidP="005335F1">
      <w:pPr>
        <w:spacing w:after="0" w:line="240" w:lineRule="auto"/>
        <w:ind w:left="600" w:right="600"/>
        <w:jc w:val="center"/>
        <w:rPr>
          <w:color w:val="000000"/>
          <w:sz w:val="20"/>
          <w:szCs w:val="20"/>
        </w:rPr>
      </w:pPr>
    </w:p>
    <w:p w14:paraId="7207D320" w14:textId="77777777" w:rsidR="00EB5C72" w:rsidRPr="00576D3B" w:rsidRDefault="00EB5C72" w:rsidP="005335F1">
      <w:pPr>
        <w:spacing w:after="0" w:line="240" w:lineRule="auto"/>
        <w:ind w:left="600" w:right="600"/>
        <w:jc w:val="center"/>
        <w:rPr>
          <w:color w:val="000000"/>
          <w:sz w:val="20"/>
          <w:szCs w:val="20"/>
        </w:rPr>
      </w:pPr>
    </w:p>
    <w:p w14:paraId="313B678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EFEF437"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5EBC3D7"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0C4CB1F"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8B1510E" w14:textId="77777777" w:rsidR="00EB5C72" w:rsidRPr="00576D3B" w:rsidRDefault="00EB5C72" w:rsidP="00AD0853">
      <w:pPr>
        <w:spacing w:after="0" w:line="240" w:lineRule="auto"/>
        <w:ind w:left="600" w:right="600"/>
        <w:jc w:val="center"/>
        <w:rPr>
          <w:color w:val="000000"/>
          <w:sz w:val="20"/>
          <w:szCs w:val="20"/>
        </w:rPr>
      </w:pPr>
    </w:p>
    <w:p w14:paraId="457F7C66" w14:textId="77777777" w:rsidR="00EB5C72" w:rsidRPr="00576D3B" w:rsidRDefault="00EB5C72" w:rsidP="00AD0853">
      <w:pPr>
        <w:spacing w:after="0" w:line="240" w:lineRule="auto"/>
        <w:ind w:left="600" w:right="600"/>
        <w:jc w:val="center"/>
        <w:rPr>
          <w:color w:val="000000"/>
          <w:sz w:val="20"/>
          <w:szCs w:val="20"/>
        </w:rPr>
      </w:pPr>
    </w:p>
    <w:p w14:paraId="46D427B3" w14:textId="77777777" w:rsidR="00EB5C72" w:rsidRPr="00576D3B" w:rsidRDefault="00EB5C72" w:rsidP="00AD0853">
      <w:pPr>
        <w:spacing w:after="0" w:line="240" w:lineRule="auto"/>
        <w:ind w:left="600" w:right="600"/>
        <w:jc w:val="center"/>
        <w:rPr>
          <w:color w:val="000000"/>
          <w:sz w:val="20"/>
          <w:szCs w:val="20"/>
        </w:rPr>
      </w:pPr>
    </w:p>
    <w:p w14:paraId="5403E547"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47FBA2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315FA9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D3BF73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08873F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DD69DC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D6FD893" w14:textId="77777777" w:rsidR="00EB5C72" w:rsidRPr="00576D3B" w:rsidRDefault="00EB5C72" w:rsidP="00AD0853">
      <w:pPr>
        <w:spacing w:after="0" w:line="240" w:lineRule="auto"/>
        <w:ind w:left="600" w:right="600"/>
        <w:jc w:val="center"/>
        <w:rPr>
          <w:color w:val="000000"/>
          <w:sz w:val="20"/>
          <w:szCs w:val="20"/>
        </w:rPr>
      </w:pPr>
    </w:p>
    <w:p w14:paraId="66D44DDA" w14:textId="77777777" w:rsidR="00EB5C72" w:rsidRPr="00576D3B" w:rsidRDefault="00EB5C72" w:rsidP="00AD0853">
      <w:pPr>
        <w:spacing w:after="0" w:line="240" w:lineRule="auto"/>
        <w:ind w:left="600" w:right="600"/>
        <w:jc w:val="center"/>
        <w:rPr>
          <w:color w:val="000000"/>
          <w:sz w:val="20"/>
          <w:szCs w:val="20"/>
        </w:rPr>
      </w:pPr>
    </w:p>
    <w:p w14:paraId="79BB84DA" w14:textId="77777777" w:rsidR="00EB5C72" w:rsidRPr="00576D3B" w:rsidRDefault="00EB5C72" w:rsidP="00AD0853">
      <w:pPr>
        <w:spacing w:after="0" w:line="240" w:lineRule="auto"/>
        <w:ind w:left="600" w:right="600"/>
        <w:jc w:val="center"/>
        <w:rPr>
          <w:color w:val="000000"/>
          <w:sz w:val="20"/>
          <w:szCs w:val="20"/>
        </w:rPr>
      </w:pPr>
    </w:p>
    <w:p w14:paraId="29E4852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ED5CB1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ADC1C1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92ECB83"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3425806"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337CC8C" w14:textId="77777777" w:rsidR="00EB5C72" w:rsidRPr="00576D3B" w:rsidRDefault="00EB5C72" w:rsidP="00AD0853">
      <w:pPr>
        <w:spacing w:after="0" w:line="240" w:lineRule="auto"/>
        <w:ind w:left="600" w:right="600"/>
        <w:jc w:val="center"/>
        <w:rPr>
          <w:color w:val="000000"/>
          <w:sz w:val="20"/>
          <w:szCs w:val="20"/>
        </w:rPr>
      </w:pPr>
    </w:p>
    <w:p w14:paraId="1EAF0621" w14:textId="77777777" w:rsidR="00EB5C72" w:rsidRPr="00576D3B" w:rsidRDefault="00EB5C72" w:rsidP="00AD0853">
      <w:pPr>
        <w:spacing w:after="0" w:line="240" w:lineRule="auto"/>
        <w:ind w:left="600" w:right="600"/>
        <w:jc w:val="center"/>
        <w:rPr>
          <w:color w:val="000000"/>
          <w:sz w:val="20"/>
          <w:szCs w:val="20"/>
        </w:rPr>
      </w:pPr>
    </w:p>
    <w:p w14:paraId="3B8AEFB6" w14:textId="77777777" w:rsidR="00EB5C72" w:rsidRPr="00576D3B" w:rsidRDefault="00EB5C72" w:rsidP="00AD0853">
      <w:pPr>
        <w:spacing w:after="0" w:line="240" w:lineRule="auto"/>
        <w:ind w:left="600" w:right="600"/>
        <w:jc w:val="center"/>
        <w:rPr>
          <w:color w:val="000000"/>
          <w:sz w:val="20"/>
          <w:szCs w:val="20"/>
        </w:rPr>
      </w:pPr>
    </w:p>
    <w:p w14:paraId="5C1AFD2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34" w:history="1">
        <w:r w:rsidRPr="00576D3B">
          <w:rPr>
            <w:rFonts w:eastAsia="Times New Roman"/>
            <w:color w:val="0000FF"/>
            <w:sz w:val="24"/>
            <w:u w:val="single"/>
            <w:lang w:eastAsia="en-AU"/>
          </w:rPr>
          <w:t>governmentgazettesa@sa.gov.au</w:t>
        </w:r>
      </w:hyperlink>
    </w:p>
    <w:p w14:paraId="126E6117"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2F8F715E"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35" w:history="1">
        <w:r w:rsidRPr="00576D3B">
          <w:rPr>
            <w:rFonts w:eastAsia="Times New Roman"/>
            <w:color w:val="0000FF"/>
            <w:sz w:val="24"/>
            <w:u w:val="single"/>
            <w:lang w:eastAsia="en-AU"/>
          </w:rPr>
          <w:t>www.governmentgazette.sa.gov.au</w:t>
        </w:r>
      </w:hyperlink>
    </w:p>
    <w:p w14:paraId="2CFCFDF7" w14:textId="77777777" w:rsidR="00EB5C72" w:rsidRPr="00576D3B" w:rsidRDefault="00EB5C72" w:rsidP="00AD0853">
      <w:pPr>
        <w:spacing w:after="0" w:line="240" w:lineRule="auto"/>
        <w:ind w:left="600" w:right="600"/>
        <w:jc w:val="center"/>
        <w:rPr>
          <w:color w:val="000000"/>
          <w:sz w:val="20"/>
          <w:szCs w:val="20"/>
        </w:rPr>
      </w:pPr>
    </w:p>
    <w:p w14:paraId="00A7A5E8" w14:textId="77777777" w:rsidR="00EB5C72" w:rsidRPr="00576D3B" w:rsidRDefault="00EB5C72" w:rsidP="00AD0853">
      <w:pPr>
        <w:spacing w:after="0" w:line="240" w:lineRule="auto"/>
        <w:ind w:left="600" w:right="600"/>
        <w:jc w:val="center"/>
        <w:rPr>
          <w:color w:val="000000"/>
          <w:sz w:val="20"/>
          <w:szCs w:val="20"/>
        </w:rPr>
      </w:pPr>
    </w:p>
    <w:p w14:paraId="3A945919" w14:textId="77777777" w:rsidR="00EB5C72" w:rsidRPr="00576D3B" w:rsidRDefault="00EB5C72" w:rsidP="00AD0853">
      <w:pPr>
        <w:spacing w:after="0" w:line="240" w:lineRule="auto"/>
        <w:ind w:left="600" w:right="600"/>
        <w:jc w:val="center"/>
        <w:rPr>
          <w:color w:val="000000"/>
          <w:sz w:val="20"/>
          <w:szCs w:val="20"/>
        </w:rPr>
      </w:pPr>
    </w:p>
    <w:p w14:paraId="682AE72D" w14:textId="77777777" w:rsidR="00EB5C72" w:rsidRDefault="00EB5C72" w:rsidP="00AD0853">
      <w:pPr>
        <w:spacing w:after="0" w:line="240" w:lineRule="auto"/>
        <w:ind w:left="600" w:right="600"/>
        <w:jc w:val="center"/>
        <w:rPr>
          <w:color w:val="000000"/>
          <w:sz w:val="20"/>
          <w:szCs w:val="20"/>
        </w:rPr>
      </w:pPr>
    </w:p>
    <w:p w14:paraId="50F39F82" w14:textId="77777777" w:rsidR="00EB5C72" w:rsidRDefault="00EB5C72" w:rsidP="00AD0853">
      <w:pPr>
        <w:spacing w:after="0" w:line="240" w:lineRule="auto"/>
        <w:ind w:left="600" w:right="600"/>
        <w:jc w:val="center"/>
        <w:rPr>
          <w:color w:val="000000"/>
          <w:sz w:val="20"/>
          <w:szCs w:val="20"/>
        </w:rPr>
      </w:pPr>
    </w:p>
    <w:p w14:paraId="2D3B293A" w14:textId="77777777" w:rsidR="00EB5C72" w:rsidRDefault="00EB5C72" w:rsidP="00AD0853">
      <w:pPr>
        <w:spacing w:after="0" w:line="240" w:lineRule="auto"/>
        <w:ind w:left="600" w:right="600"/>
        <w:jc w:val="center"/>
        <w:rPr>
          <w:color w:val="000000"/>
          <w:sz w:val="20"/>
          <w:szCs w:val="20"/>
        </w:rPr>
      </w:pPr>
    </w:p>
    <w:p w14:paraId="51A9583B" w14:textId="77777777" w:rsidR="00EB5C72" w:rsidRDefault="00EB5C72" w:rsidP="00AD0853">
      <w:pPr>
        <w:spacing w:after="0" w:line="240" w:lineRule="auto"/>
        <w:ind w:left="600" w:right="600"/>
        <w:jc w:val="center"/>
        <w:rPr>
          <w:color w:val="000000"/>
          <w:sz w:val="20"/>
          <w:szCs w:val="20"/>
        </w:rPr>
      </w:pPr>
    </w:p>
    <w:p w14:paraId="68AAB82E"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7868BA5D"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4C27313"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12C59252"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408B1547"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336" w:history="1">
        <w:r w:rsidRPr="00664635">
          <w:rPr>
            <w:color w:val="0000FF"/>
            <w:szCs w:val="17"/>
            <w:u w:val="single"/>
          </w:rPr>
          <w:t>www.governmentgazette.sa.gov.au</w:t>
        </w:r>
      </w:hyperlink>
    </w:p>
    <w:sectPr w:rsidR="000163A9" w:rsidRPr="00D0446B" w:rsidSect="00930F40">
      <w:headerReference w:type="even" r:id="rId337"/>
      <w:headerReference w:type="default" r:id="rId338"/>
      <w:pgSz w:w="11906" w:h="16838"/>
      <w:pgMar w:top="1673" w:right="1259" w:bottom="1559" w:left="1293" w:header="1134" w:footer="1134" w:gutter="0"/>
      <w:pgNumType w:start="32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3D2CA" w14:textId="77777777" w:rsidR="00745E4E" w:rsidRDefault="00745E4E" w:rsidP="00777F88">
      <w:pPr>
        <w:spacing w:after="0" w:line="240" w:lineRule="auto"/>
      </w:pPr>
      <w:r>
        <w:separator/>
      </w:r>
    </w:p>
  </w:endnote>
  <w:endnote w:type="continuationSeparator" w:id="0">
    <w:p w14:paraId="0E3DC7CB" w14:textId="77777777" w:rsidR="00745E4E" w:rsidRDefault="00745E4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E02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9FA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10C6957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D60424E"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60DC88E5"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077C9BE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E89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37D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3E626F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F70E4B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902E8F1"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FAF42A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FD5A4" w14:textId="77777777" w:rsidR="00745E4E" w:rsidRDefault="00745E4E" w:rsidP="00777F88">
      <w:pPr>
        <w:spacing w:after="0" w:line="240" w:lineRule="auto"/>
      </w:pPr>
      <w:r>
        <w:separator/>
      </w:r>
    </w:p>
  </w:footnote>
  <w:footnote w:type="continuationSeparator" w:id="0">
    <w:p w14:paraId="04874C05" w14:textId="77777777" w:rsidR="00745E4E" w:rsidRDefault="00745E4E" w:rsidP="00777F88">
      <w:pPr>
        <w:spacing w:after="0" w:line="240" w:lineRule="auto"/>
      </w:pPr>
      <w:r>
        <w:continuationSeparator/>
      </w:r>
    </w:p>
  </w:footnote>
  <w:footnote w:id="1">
    <w:p w14:paraId="10B51E0B" w14:textId="77777777" w:rsidR="008D19CD" w:rsidRDefault="008D19CD" w:rsidP="008D19CD">
      <w:pPr>
        <w:pStyle w:val="FootnoteText"/>
        <w:spacing w:line="170" w:lineRule="exact"/>
        <w:ind w:left="170" w:hanging="170"/>
        <w:jc w:val="both"/>
        <w:rPr>
          <w:rFonts w:ascii="Times New Roman" w:hAnsi="Times New Roman"/>
          <w:sz w:val="17"/>
          <w:szCs w:val="17"/>
        </w:rPr>
      </w:pPr>
      <w:r w:rsidRPr="00273128">
        <w:rPr>
          <w:rStyle w:val="FootnoteReference"/>
          <w:rFonts w:ascii="Times New Roman" w:hAnsi="Times New Roman"/>
          <w:sz w:val="17"/>
          <w:szCs w:val="17"/>
        </w:rPr>
        <w:footnoteRef/>
      </w:r>
      <w:r>
        <w:rPr>
          <w:rFonts w:ascii="Times New Roman" w:hAnsi="Times New Roman"/>
          <w:sz w:val="17"/>
          <w:szCs w:val="17"/>
        </w:rPr>
        <w:tab/>
      </w:r>
      <w:r w:rsidRPr="00522337">
        <w:rPr>
          <w:rFonts w:ascii="Times New Roman" w:hAnsi="Times New Roman"/>
          <w:sz w:val="17"/>
          <w:szCs w:val="17"/>
        </w:rPr>
        <w:t>Australian Bureau of Statistics. Disability, Ageing and Carers Australia: Summary of Findings. Released 4 Jul 2024,</w:t>
      </w:r>
    </w:p>
    <w:p w14:paraId="0F4E48EB" w14:textId="77777777" w:rsidR="008D19CD" w:rsidRPr="00273128" w:rsidRDefault="008D19CD" w:rsidP="008D19CD">
      <w:pPr>
        <w:pStyle w:val="FootnoteText"/>
        <w:spacing w:after="80" w:line="170" w:lineRule="exact"/>
        <w:ind w:left="340" w:hanging="170"/>
        <w:jc w:val="both"/>
        <w:rPr>
          <w:rFonts w:ascii="Times New Roman" w:hAnsi="Times New Roman"/>
          <w:sz w:val="17"/>
          <w:szCs w:val="17"/>
          <w:lang w:val="en-US"/>
        </w:rPr>
      </w:pPr>
      <w:hyperlink r:id="rId1" w:history="1">
        <w:r w:rsidRPr="00890621">
          <w:rPr>
            <w:rStyle w:val="Hyperlink"/>
            <w:rFonts w:ascii="Times New Roman" w:hAnsi="Times New Roman"/>
            <w:sz w:val="17"/>
            <w:szCs w:val="17"/>
          </w:rPr>
          <w:t>https://www.abs.gov.au/statistics/health/disability/disability-ageing-and-carers-australia-summary-findings/2022</w:t>
        </w:r>
      </w:hyperlink>
    </w:p>
  </w:footnote>
  <w:footnote w:id="2">
    <w:p w14:paraId="49500655" w14:textId="77777777" w:rsidR="008D19CD" w:rsidRPr="00273128" w:rsidRDefault="008D19CD" w:rsidP="008D19CD">
      <w:pPr>
        <w:ind w:left="170" w:hanging="170"/>
        <w:rPr>
          <w:szCs w:val="17"/>
        </w:rPr>
      </w:pPr>
      <w:r w:rsidRPr="00273128">
        <w:rPr>
          <w:rStyle w:val="FootnoteReference"/>
          <w:szCs w:val="17"/>
        </w:rPr>
        <w:footnoteRef/>
      </w:r>
      <w:r>
        <w:rPr>
          <w:szCs w:val="17"/>
        </w:rPr>
        <w:tab/>
      </w:r>
      <w:r w:rsidRPr="003C49CE">
        <w:rPr>
          <w:szCs w:val="17"/>
        </w:rPr>
        <w:t>AIHW</w:t>
      </w:r>
      <w:r>
        <w:rPr>
          <w:szCs w:val="17"/>
        </w:rPr>
        <w:t xml:space="preserve"> </w:t>
      </w:r>
      <w:r w:rsidRPr="003C49CE">
        <w:rPr>
          <w:szCs w:val="17"/>
        </w:rPr>
        <w:t>&amp; National Indigenous Australians Agency (2023). Measure 1.14 Disability, Aboriginal and Torres Strait Islander Health Performance Framework,</w:t>
      </w:r>
      <w:r>
        <w:rPr>
          <w:szCs w:val="17"/>
        </w:rPr>
        <w:t xml:space="preserve"> </w:t>
      </w:r>
      <w:r w:rsidRPr="003C49CE">
        <w:rPr>
          <w:szCs w:val="17"/>
        </w:rPr>
        <w:t>accessed 13 June 2025,</w:t>
      </w:r>
      <w:r>
        <w:rPr>
          <w:szCs w:val="17"/>
        </w:rPr>
        <w:t xml:space="preserve"> </w:t>
      </w:r>
      <w:hyperlink r:id="rId2" w:anchor="datafindings" w:history="1">
        <w:r w:rsidRPr="003C49CE">
          <w:rPr>
            <w:color w:val="0563C1"/>
            <w:szCs w:val="17"/>
            <w:u w:val="single"/>
          </w:rPr>
          <w:t>htt ps://www.indigenoushpf.gov.au/measures/1-14-disability#datafindings</w:t>
        </w:r>
      </w:hyperlink>
      <w:r>
        <w:rPr>
          <w:szCs w:val="17"/>
        </w:rPr>
        <w:t xml:space="preserve"> </w:t>
      </w:r>
    </w:p>
  </w:footnote>
  <w:footnote w:id="3">
    <w:p w14:paraId="1E0FD61B" w14:textId="77777777" w:rsidR="008D19CD" w:rsidRPr="00273128" w:rsidRDefault="008D19CD" w:rsidP="008D19CD">
      <w:pPr>
        <w:pStyle w:val="FootnoteText"/>
        <w:spacing w:after="80" w:line="170" w:lineRule="exact"/>
        <w:ind w:left="170" w:hanging="170"/>
        <w:jc w:val="both"/>
        <w:rPr>
          <w:rFonts w:ascii="Times New Roman" w:hAnsi="Times New Roman"/>
          <w:sz w:val="17"/>
          <w:szCs w:val="17"/>
          <w:lang w:val="en-US"/>
        </w:rPr>
      </w:pPr>
      <w:r w:rsidRPr="00273128">
        <w:rPr>
          <w:rStyle w:val="FootnoteReference"/>
          <w:rFonts w:ascii="Times New Roman" w:hAnsi="Times New Roman"/>
          <w:sz w:val="17"/>
          <w:szCs w:val="17"/>
        </w:rPr>
        <w:footnoteRef/>
      </w:r>
      <w:r>
        <w:rPr>
          <w:rFonts w:ascii="Times New Roman" w:hAnsi="Times New Roman"/>
          <w:sz w:val="17"/>
          <w:szCs w:val="17"/>
        </w:rPr>
        <w:tab/>
      </w:r>
      <w:r w:rsidRPr="003C49CE">
        <w:rPr>
          <w:rFonts w:ascii="Times New Roman" w:hAnsi="Times New Roman"/>
          <w:sz w:val="17"/>
          <w:szCs w:val="17"/>
        </w:rPr>
        <w:t xml:space="preserve">AIHW. People with disability in Australia 2024 Report. Last updated 23 Apr 2024, </w:t>
      </w:r>
      <w:hyperlink r:id="rId3" w:history="1">
        <w:r w:rsidRPr="003C49CE">
          <w:rPr>
            <w:rFonts w:ascii="Times New Roman" w:hAnsi="Times New Roman"/>
            <w:color w:val="0563C1"/>
            <w:sz w:val="17"/>
            <w:szCs w:val="17"/>
            <w:u w:val="single"/>
          </w:rPr>
          <w:t>https://www.aihw.gov.au/reports/disability/people-with-disability-in-australia/contents/summary</w:t>
        </w:r>
      </w:hyperlink>
    </w:p>
  </w:footnote>
  <w:footnote w:id="4">
    <w:p w14:paraId="60957A83" w14:textId="77777777" w:rsidR="008D19CD" w:rsidRPr="00273128" w:rsidRDefault="008D19CD" w:rsidP="008D19CD">
      <w:pPr>
        <w:pStyle w:val="FootnoteText"/>
        <w:spacing w:after="80" w:line="170" w:lineRule="exact"/>
        <w:ind w:left="170" w:hanging="170"/>
        <w:jc w:val="both"/>
        <w:rPr>
          <w:rFonts w:ascii="Times New Roman" w:hAnsi="Times New Roman"/>
          <w:sz w:val="17"/>
          <w:szCs w:val="17"/>
          <w:lang w:val="en-US"/>
        </w:rPr>
      </w:pPr>
      <w:r w:rsidRPr="00273128">
        <w:rPr>
          <w:rStyle w:val="FootnoteReference"/>
          <w:rFonts w:ascii="Times New Roman" w:hAnsi="Times New Roman"/>
          <w:sz w:val="17"/>
          <w:szCs w:val="17"/>
        </w:rPr>
        <w:footnoteRef/>
      </w:r>
      <w:r>
        <w:rPr>
          <w:rFonts w:ascii="Times New Roman" w:hAnsi="Times New Roman"/>
          <w:sz w:val="17"/>
          <w:szCs w:val="17"/>
        </w:rPr>
        <w:tab/>
      </w:r>
      <w:r w:rsidRPr="003C49CE">
        <w:rPr>
          <w:rFonts w:ascii="Times New Roman" w:hAnsi="Times New Roman"/>
          <w:sz w:val="17"/>
          <w:szCs w:val="17"/>
        </w:rPr>
        <w:t>Australian Bureau of Statistic, Children and young people with disability, 2022. Released 30 Apr 2025,</w:t>
      </w:r>
      <w:r>
        <w:rPr>
          <w:szCs w:val="17"/>
        </w:rPr>
        <w:t xml:space="preserve"> </w:t>
      </w:r>
      <w:hyperlink r:id="rId4" w:history="1">
        <w:r w:rsidRPr="003C49CE">
          <w:rPr>
            <w:rFonts w:ascii="Times New Roman" w:hAnsi="Times New Roman"/>
            <w:color w:val="0563C1"/>
            <w:sz w:val="17"/>
            <w:szCs w:val="17"/>
            <w:u w:val="single"/>
          </w:rPr>
          <w:t>https://www.abs.gov.au/</w:t>
        </w:r>
        <w:r>
          <w:rPr>
            <w:rFonts w:ascii="Times New Roman" w:hAnsi="Times New Roman"/>
            <w:color w:val="0563C1"/>
            <w:sz w:val="17"/>
            <w:szCs w:val="17"/>
            <w:u w:val="single"/>
          </w:rPr>
          <w:br/>
        </w:r>
        <w:r w:rsidRPr="003C49CE">
          <w:rPr>
            <w:rFonts w:ascii="Times New Roman" w:hAnsi="Times New Roman"/>
            <w:color w:val="0563C1"/>
            <w:sz w:val="17"/>
            <w:szCs w:val="17"/>
            <w:u w:val="single"/>
          </w:rPr>
          <w:t>articles/children-and-young-people-disability-2022</w:t>
        </w:r>
      </w:hyperlink>
    </w:p>
  </w:footnote>
  <w:footnote w:id="5">
    <w:p w14:paraId="6189CFFA" w14:textId="77777777" w:rsidR="008D19CD" w:rsidRPr="00BD4930" w:rsidRDefault="008D19CD" w:rsidP="008D19CD">
      <w:pPr>
        <w:pStyle w:val="FootnoteText"/>
        <w:spacing w:after="80" w:line="170" w:lineRule="exact"/>
        <w:ind w:left="170" w:hanging="170"/>
        <w:jc w:val="both"/>
        <w:rPr>
          <w:rFonts w:ascii="Times New Roman" w:hAnsi="Times New Roman"/>
          <w:sz w:val="17"/>
          <w:szCs w:val="17"/>
          <w:lang w:val="en-US"/>
        </w:rPr>
      </w:pPr>
      <w:r w:rsidRPr="00BD4930">
        <w:rPr>
          <w:rStyle w:val="FootnoteReference"/>
          <w:rFonts w:ascii="Times New Roman" w:hAnsi="Times New Roman"/>
          <w:sz w:val="17"/>
          <w:szCs w:val="17"/>
        </w:rPr>
        <w:footnoteRef/>
      </w:r>
      <w:r w:rsidRPr="00BD4930">
        <w:rPr>
          <w:rFonts w:ascii="Times New Roman" w:hAnsi="Times New Roman"/>
          <w:sz w:val="17"/>
          <w:szCs w:val="17"/>
        </w:rPr>
        <w:tab/>
        <w:t>Australian Bureau of Statistic,</w:t>
      </w:r>
      <w:r w:rsidRPr="00BD4930">
        <w:rPr>
          <w:rFonts w:ascii="Times New Roman" w:hAnsi="Times New Roman"/>
          <w:szCs w:val="17"/>
        </w:rPr>
        <w:t xml:space="preserve"> </w:t>
      </w:r>
      <w:r w:rsidRPr="00BD4930">
        <w:rPr>
          <w:rFonts w:ascii="Times New Roman" w:hAnsi="Times New Roman"/>
          <w:sz w:val="17"/>
          <w:szCs w:val="17"/>
        </w:rPr>
        <w:t>Children and young people with disability, 2022. Released 30 Apr 2025,</w:t>
      </w:r>
      <w:r w:rsidRPr="00BD4930">
        <w:rPr>
          <w:rFonts w:ascii="Times New Roman" w:hAnsi="Times New Roman"/>
          <w:szCs w:val="17"/>
        </w:rPr>
        <w:t xml:space="preserve"> </w:t>
      </w:r>
      <w:hyperlink r:id="rId5" w:history="1">
        <w:r w:rsidRPr="00BD4930">
          <w:rPr>
            <w:rStyle w:val="Hyperlink"/>
            <w:rFonts w:ascii="Times New Roman" w:hAnsi="Times New Roman"/>
            <w:sz w:val="17"/>
            <w:szCs w:val="17"/>
          </w:rPr>
          <w:t>https://www.abs.gov.au/</w:t>
        </w:r>
        <w:r w:rsidRPr="00BD4930">
          <w:rPr>
            <w:rStyle w:val="Hyperlink"/>
            <w:rFonts w:ascii="Times New Roman" w:hAnsi="Times New Roman"/>
            <w:sz w:val="17"/>
            <w:szCs w:val="17"/>
          </w:rPr>
          <w:br/>
          <w:t>articles/children-and-young-people-disability-2022</w:t>
        </w:r>
      </w:hyperlink>
    </w:p>
  </w:footnote>
  <w:footnote w:id="6">
    <w:p w14:paraId="7EFC823B" w14:textId="77777777" w:rsidR="008D19CD" w:rsidRDefault="008D19CD" w:rsidP="008D19CD">
      <w:pPr>
        <w:pStyle w:val="FootnoteText"/>
        <w:spacing w:line="170" w:lineRule="exact"/>
        <w:ind w:left="170" w:hanging="170"/>
        <w:jc w:val="both"/>
        <w:rPr>
          <w:rFonts w:ascii="Times New Roman" w:hAnsi="Times New Roman"/>
          <w:szCs w:val="17"/>
        </w:rPr>
      </w:pPr>
      <w:r w:rsidRPr="00BD4930">
        <w:rPr>
          <w:rStyle w:val="FootnoteReference"/>
          <w:rFonts w:ascii="Times New Roman" w:hAnsi="Times New Roman"/>
          <w:sz w:val="17"/>
          <w:szCs w:val="17"/>
        </w:rPr>
        <w:footnoteRef/>
      </w:r>
      <w:r w:rsidRPr="00BD4930">
        <w:rPr>
          <w:rFonts w:ascii="Times New Roman" w:hAnsi="Times New Roman"/>
          <w:sz w:val="17"/>
          <w:szCs w:val="17"/>
        </w:rPr>
        <w:tab/>
        <w:t>Australian Bureau of Statistics. Disability, Ageing and Carers Australia: Summary of Findings. Released 4 Jul 2024,</w:t>
      </w:r>
    </w:p>
    <w:p w14:paraId="381D1E86" w14:textId="77777777" w:rsidR="008D19CD" w:rsidRPr="00BD4930" w:rsidRDefault="008D19CD" w:rsidP="008D19CD">
      <w:pPr>
        <w:pStyle w:val="FootnoteText"/>
        <w:spacing w:after="80" w:line="170" w:lineRule="exact"/>
        <w:ind w:left="340" w:hanging="170"/>
        <w:jc w:val="both"/>
        <w:rPr>
          <w:rFonts w:ascii="Times New Roman" w:hAnsi="Times New Roman"/>
          <w:sz w:val="17"/>
          <w:szCs w:val="17"/>
          <w:lang w:val="en-US"/>
        </w:rPr>
      </w:pPr>
      <w:hyperlink r:id="rId6" w:history="1">
        <w:r w:rsidRPr="00890621">
          <w:rPr>
            <w:rStyle w:val="Hyperlink"/>
            <w:rFonts w:ascii="Times New Roman" w:hAnsi="Times New Roman"/>
            <w:sz w:val="17"/>
            <w:szCs w:val="17"/>
          </w:rPr>
          <w:t>https://www.abs.gov.au/statistics/health/disability/disability-ageing-and-carers-australia-summary-findings/latest-release</w:t>
        </w:r>
      </w:hyperlink>
    </w:p>
  </w:footnote>
  <w:footnote w:id="7">
    <w:p w14:paraId="5028D5B8" w14:textId="77777777" w:rsidR="008D19CD" w:rsidRPr="00BD4930" w:rsidRDefault="008D19CD" w:rsidP="008D19CD">
      <w:pPr>
        <w:ind w:left="170" w:hanging="170"/>
        <w:rPr>
          <w:szCs w:val="17"/>
        </w:rPr>
      </w:pPr>
      <w:r w:rsidRPr="00BD4930">
        <w:rPr>
          <w:rStyle w:val="FootnoteReference"/>
          <w:szCs w:val="17"/>
        </w:rPr>
        <w:footnoteRef/>
      </w:r>
      <w:r w:rsidRPr="00BD4930">
        <w:rPr>
          <w:szCs w:val="17"/>
        </w:rPr>
        <w:tab/>
        <w:t xml:space="preserve">AIHW. Australia’s Disability Strategy 2021-2031 Outcomes Framework, Education and learning. Last updated 24 Oct 2024, </w:t>
      </w:r>
      <w:hyperlink r:id="rId7" w:history="1">
        <w:r w:rsidRPr="00BD4930">
          <w:rPr>
            <w:color w:val="0563C1"/>
            <w:szCs w:val="17"/>
            <w:u w:val="single"/>
          </w:rPr>
          <w:t>https://www.aihw.gov.au/australias-disability-strategy/outcomes/education-and-learning/year-12-completion</w:t>
        </w:r>
      </w:hyperlink>
    </w:p>
  </w:footnote>
  <w:footnote w:id="8">
    <w:p w14:paraId="499BC1EB" w14:textId="77777777" w:rsidR="008D19CD" w:rsidRDefault="008D19CD" w:rsidP="008D19CD">
      <w:pPr>
        <w:spacing w:after="0"/>
        <w:ind w:left="170" w:hanging="170"/>
        <w:rPr>
          <w:szCs w:val="17"/>
        </w:rPr>
      </w:pPr>
      <w:r w:rsidRPr="00BD4930">
        <w:rPr>
          <w:rStyle w:val="FootnoteReference"/>
          <w:szCs w:val="17"/>
        </w:rPr>
        <w:footnoteRef/>
      </w:r>
      <w:r w:rsidRPr="00BD4930">
        <w:rPr>
          <w:szCs w:val="17"/>
        </w:rPr>
        <w:tab/>
        <w:t>AIHW. Australia’s Disability Strategy 2021-2031 Outcomes Framework, Unemployment gap. Last updated 24 Oct 2024,</w:t>
      </w:r>
    </w:p>
    <w:p w14:paraId="776B388C" w14:textId="77777777" w:rsidR="008D19CD" w:rsidRPr="00BD4930" w:rsidRDefault="008D19CD" w:rsidP="008D19CD">
      <w:pPr>
        <w:ind w:left="340" w:hanging="170"/>
        <w:rPr>
          <w:szCs w:val="17"/>
        </w:rPr>
      </w:pPr>
      <w:hyperlink r:id="rId8" w:history="1">
        <w:r w:rsidRPr="00890621">
          <w:rPr>
            <w:rStyle w:val="Hyperlink"/>
            <w:szCs w:val="17"/>
          </w:rPr>
          <w:t>https://www.aihw.gov.au/australias-disability-strategy/outcomes/employment-and-financial-security/unemployment-gap</w:t>
        </w:r>
      </w:hyperlink>
    </w:p>
  </w:footnote>
  <w:footnote w:id="9">
    <w:p w14:paraId="67654D71" w14:textId="77777777" w:rsidR="008D19CD" w:rsidRPr="00BD4930" w:rsidRDefault="008D19CD" w:rsidP="008D19CD">
      <w:pPr>
        <w:pStyle w:val="FootnoteText"/>
        <w:spacing w:after="80" w:line="170" w:lineRule="exact"/>
        <w:ind w:left="170" w:hanging="170"/>
        <w:jc w:val="both"/>
        <w:rPr>
          <w:rFonts w:ascii="Times New Roman" w:hAnsi="Times New Roman"/>
          <w:sz w:val="17"/>
          <w:szCs w:val="17"/>
          <w:lang w:val="en-US"/>
        </w:rPr>
      </w:pPr>
      <w:r w:rsidRPr="00BD4930">
        <w:rPr>
          <w:rStyle w:val="FootnoteReference"/>
          <w:rFonts w:ascii="Times New Roman" w:hAnsi="Times New Roman"/>
          <w:sz w:val="17"/>
          <w:szCs w:val="17"/>
        </w:rPr>
        <w:footnoteRef/>
      </w:r>
      <w:r w:rsidRPr="00BD4930">
        <w:rPr>
          <w:rFonts w:ascii="Times New Roman" w:hAnsi="Times New Roman"/>
          <w:sz w:val="17"/>
          <w:szCs w:val="17"/>
        </w:rPr>
        <w:tab/>
        <w:t>Royal Commission into Violence, Abuse, Neglect and Exploitation of People with Disability.</w:t>
      </w:r>
      <w:r w:rsidRPr="00BD4930">
        <w:rPr>
          <w:rFonts w:ascii="Times New Roman" w:hAnsi="Times New Roman"/>
          <w:szCs w:val="17"/>
        </w:rPr>
        <w:t xml:space="preserve"> </w:t>
      </w:r>
      <w:r w:rsidRPr="00BD4930">
        <w:rPr>
          <w:rFonts w:ascii="Times New Roman" w:hAnsi="Times New Roman"/>
          <w:sz w:val="17"/>
          <w:szCs w:val="17"/>
        </w:rPr>
        <w:t>Final Report—Volume 3, Nature and extent of violence, abuse, neglect and exploitation</w:t>
      </w:r>
      <w:r w:rsidRPr="00BD4930">
        <w:rPr>
          <w:rFonts w:ascii="Times New Roman" w:hAnsi="Times New Roman"/>
          <w:szCs w:val="17"/>
        </w:rPr>
        <w:t xml:space="preserve"> </w:t>
      </w:r>
      <w:r w:rsidRPr="00BD4930">
        <w:rPr>
          <w:rFonts w:ascii="Times New Roman" w:hAnsi="Times New Roman"/>
          <w:sz w:val="17"/>
          <w:szCs w:val="17"/>
        </w:rPr>
        <w:t xml:space="preserve">(2023). </w:t>
      </w:r>
      <w:hyperlink r:id="rId9" w:tgtFrame="_blank" w:history="1">
        <w:r w:rsidRPr="00BD4930">
          <w:rPr>
            <w:rFonts w:ascii="Times New Roman" w:hAnsi="Times New Roman"/>
            <w:color w:val="0563C1"/>
            <w:sz w:val="17"/>
            <w:szCs w:val="17"/>
            <w:u w:val="single"/>
          </w:rPr>
          <w:t>https://disability.royalcommission.gov.au/publications/final-report-volume-3-nature-and-extent-violence-abuse-neglect-and-exploitation</w:t>
        </w:r>
      </w:hyperlink>
    </w:p>
  </w:footnote>
  <w:footnote w:id="10">
    <w:p w14:paraId="3458C82F" w14:textId="77777777" w:rsidR="008D19CD" w:rsidRDefault="008D19CD" w:rsidP="008D19CD">
      <w:pPr>
        <w:spacing w:after="0"/>
        <w:ind w:left="170" w:hanging="170"/>
        <w:rPr>
          <w:szCs w:val="17"/>
        </w:rPr>
      </w:pPr>
      <w:r w:rsidRPr="00BD4930">
        <w:rPr>
          <w:rStyle w:val="FootnoteReference"/>
          <w:szCs w:val="17"/>
        </w:rPr>
        <w:footnoteRef/>
      </w:r>
      <w:r w:rsidRPr="00BD4930">
        <w:rPr>
          <w:szCs w:val="17"/>
        </w:rPr>
        <w:tab/>
        <w:t>AIHW. Australia’s Disability Strategy 2021-2031 Outcomes Framework, Self-reported health. Last updated 9 Jul 2024,</w:t>
      </w:r>
    </w:p>
    <w:p w14:paraId="4D048EA3" w14:textId="77777777" w:rsidR="008D19CD" w:rsidRPr="00BD4930" w:rsidRDefault="008D19CD" w:rsidP="008D19CD">
      <w:pPr>
        <w:ind w:left="340" w:hanging="170"/>
        <w:rPr>
          <w:szCs w:val="17"/>
        </w:rPr>
      </w:pPr>
      <w:hyperlink r:id="rId10" w:history="1">
        <w:r w:rsidRPr="00890621">
          <w:rPr>
            <w:rStyle w:val="Hyperlink"/>
            <w:szCs w:val="17"/>
          </w:rPr>
          <w:t>https://www.aihw.gov.au/australias-disability-strategy/outcomes/health-and-wellbeing/self-reported-health</w:t>
        </w:r>
      </w:hyperlink>
    </w:p>
  </w:footnote>
  <w:footnote w:id="11">
    <w:p w14:paraId="42E0DBB5" w14:textId="77777777" w:rsidR="008D19CD" w:rsidRPr="00BD4930" w:rsidRDefault="008D19CD" w:rsidP="008D19CD">
      <w:pPr>
        <w:pStyle w:val="FootnoteText"/>
        <w:spacing w:after="80" w:line="170" w:lineRule="exact"/>
        <w:ind w:left="170" w:hanging="170"/>
        <w:jc w:val="both"/>
        <w:rPr>
          <w:rFonts w:ascii="Times New Roman" w:hAnsi="Times New Roman"/>
          <w:sz w:val="17"/>
          <w:szCs w:val="17"/>
          <w:lang w:val="en-US"/>
        </w:rPr>
      </w:pPr>
      <w:r w:rsidRPr="00BD4930">
        <w:rPr>
          <w:rStyle w:val="FootnoteReference"/>
          <w:rFonts w:ascii="Times New Roman" w:hAnsi="Times New Roman"/>
          <w:sz w:val="17"/>
          <w:szCs w:val="17"/>
        </w:rPr>
        <w:footnoteRef/>
      </w:r>
      <w:r w:rsidRPr="00BD4930">
        <w:rPr>
          <w:rFonts w:ascii="Times New Roman" w:hAnsi="Times New Roman"/>
          <w:sz w:val="17"/>
          <w:szCs w:val="17"/>
        </w:rPr>
        <w:tab/>
        <w:t>Dementia Australia, Facts and figures (2025)</w:t>
      </w:r>
      <w:r w:rsidRPr="00BD4930">
        <w:rPr>
          <w:rFonts w:ascii="Times New Roman" w:hAnsi="Times New Roman"/>
          <w:szCs w:val="17"/>
        </w:rPr>
        <w:t xml:space="preserve"> </w:t>
      </w:r>
      <w:hyperlink r:id="rId11" w:tgtFrame="_blank" w:history="1">
        <w:r w:rsidRPr="00BD4930">
          <w:rPr>
            <w:rFonts w:ascii="Times New Roman" w:hAnsi="Times New Roman"/>
            <w:color w:val="0563C1"/>
            <w:sz w:val="17"/>
            <w:szCs w:val="17"/>
            <w:u w:val="single"/>
          </w:rPr>
          <w:t>https://www.dementia.org.au/about-dementia/dementia-facts-and-figures</w:t>
        </w:r>
      </w:hyperlink>
    </w:p>
  </w:footnote>
  <w:footnote w:id="12">
    <w:p w14:paraId="47597616" w14:textId="77777777" w:rsidR="008D19CD" w:rsidRDefault="008D19CD" w:rsidP="008D19CD">
      <w:pPr>
        <w:pStyle w:val="FootnoteText"/>
        <w:spacing w:line="170" w:lineRule="exact"/>
        <w:ind w:left="170" w:hanging="170"/>
        <w:jc w:val="both"/>
        <w:rPr>
          <w:rFonts w:ascii="Times New Roman" w:hAnsi="Times New Roman"/>
          <w:szCs w:val="17"/>
        </w:rPr>
      </w:pPr>
      <w:r w:rsidRPr="00BD4930">
        <w:rPr>
          <w:rStyle w:val="FootnoteReference"/>
          <w:rFonts w:ascii="Times New Roman" w:hAnsi="Times New Roman"/>
          <w:sz w:val="17"/>
          <w:szCs w:val="17"/>
        </w:rPr>
        <w:footnoteRef/>
      </w:r>
      <w:r w:rsidRPr="00BD4930">
        <w:rPr>
          <w:rFonts w:ascii="Times New Roman" w:hAnsi="Times New Roman"/>
          <w:sz w:val="17"/>
          <w:szCs w:val="17"/>
        </w:rPr>
        <w:tab/>
      </w:r>
      <w:r w:rsidRPr="00BD4930">
        <w:rPr>
          <w:rFonts w:ascii="Times New Roman" w:hAnsi="Times New Roman"/>
          <w:spacing w:val="-2"/>
          <w:sz w:val="17"/>
          <w:szCs w:val="17"/>
        </w:rPr>
        <w:t>Australian Bureau of Statistics. Disability, Ageing and Carers Australia: Summary of Findings. Released 4 Jul 2024</w:t>
      </w:r>
      <w:r w:rsidRPr="00BD4930">
        <w:rPr>
          <w:rFonts w:ascii="Times New Roman" w:hAnsi="Times New Roman"/>
          <w:sz w:val="17"/>
          <w:szCs w:val="17"/>
        </w:rPr>
        <w:t>,</w:t>
      </w:r>
    </w:p>
    <w:p w14:paraId="4E1400D5" w14:textId="77777777" w:rsidR="008D19CD" w:rsidRPr="00273128" w:rsidRDefault="008D19CD" w:rsidP="008D19CD">
      <w:pPr>
        <w:pStyle w:val="FootnoteText"/>
        <w:spacing w:after="80" w:line="170" w:lineRule="exact"/>
        <w:ind w:left="340" w:hanging="170"/>
        <w:jc w:val="both"/>
        <w:rPr>
          <w:rFonts w:ascii="Times New Roman" w:hAnsi="Times New Roman"/>
          <w:sz w:val="17"/>
          <w:szCs w:val="17"/>
          <w:lang w:val="en-US"/>
        </w:rPr>
      </w:pPr>
      <w:hyperlink r:id="rId12" w:anchor="carers" w:history="1">
        <w:r w:rsidRPr="00890621">
          <w:rPr>
            <w:rStyle w:val="Hyperlink"/>
            <w:rFonts w:ascii="Times New Roman" w:hAnsi="Times New Roman"/>
            <w:sz w:val="17"/>
            <w:szCs w:val="17"/>
          </w:rPr>
          <w:t>https://www.abs.gov.au/statistics/health/disability/disability-ageing-and-carers-australia-summary-findings/latest-release#carers</w:t>
        </w:r>
      </w:hyperlink>
    </w:p>
  </w:footnote>
  <w:footnote w:id="13">
    <w:p w14:paraId="7070D939" w14:textId="77777777" w:rsidR="008D19CD" w:rsidRPr="001A4EA6" w:rsidRDefault="008D19CD" w:rsidP="008D19CD">
      <w:pPr>
        <w:pStyle w:val="FootnoteText"/>
        <w:spacing w:after="80" w:line="170" w:lineRule="exact"/>
        <w:ind w:left="170" w:hanging="170"/>
        <w:jc w:val="both"/>
        <w:rPr>
          <w:rFonts w:ascii="Times New Roman" w:hAnsi="Times New Roman"/>
          <w:sz w:val="17"/>
          <w:szCs w:val="17"/>
          <w:lang w:val="en-US"/>
        </w:rPr>
      </w:pPr>
      <w:r w:rsidRPr="001A4EA6">
        <w:rPr>
          <w:rStyle w:val="FootnoteReference"/>
          <w:rFonts w:ascii="Times New Roman" w:hAnsi="Times New Roman"/>
          <w:sz w:val="17"/>
          <w:szCs w:val="17"/>
        </w:rPr>
        <w:footnoteRef/>
      </w:r>
      <w:r>
        <w:rPr>
          <w:rFonts w:ascii="Times New Roman" w:hAnsi="Times New Roman"/>
          <w:sz w:val="17"/>
          <w:szCs w:val="17"/>
        </w:rPr>
        <w:tab/>
      </w:r>
      <w:r w:rsidRPr="001A4EA6">
        <w:rPr>
          <w:rFonts w:ascii="Times New Roman" w:hAnsi="Times New Roman"/>
          <w:sz w:val="17"/>
          <w:szCs w:val="17"/>
        </w:rPr>
        <w:t xml:space="preserve">Defined by the </w:t>
      </w:r>
      <w:hyperlink r:id="rId13" w:anchor=":~:text=Universal%20Design%20is%20the%20design,%2C%20size%2C%20ability%20or%20disability." w:history="1">
        <w:r w:rsidRPr="001A4EA6">
          <w:rPr>
            <w:rStyle w:val="Hyperlink"/>
            <w:rFonts w:ascii="Times New Roman" w:hAnsi="Times New Roman"/>
            <w:sz w:val="17"/>
            <w:szCs w:val="17"/>
          </w:rPr>
          <w:t>Australian Human Rights Commission</w:t>
        </w:r>
      </w:hyperlink>
      <w:r w:rsidRPr="001A4EA6">
        <w:rPr>
          <w:rFonts w:ascii="Times New Roman" w:hAnsi="Times New Roman"/>
          <w:sz w:val="17"/>
          <w:szCs w:val="17"/>
        </w:rPr>
        <w:t xml:space="preserve"> as the design and composition of an environment so that it can be accessed, understood and used to the greatest extent possible by all people regardless of their age, size, ability or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869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A0A0A5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E3BDAB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34F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B54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33F52A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F53D5C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764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5995" w14:textId="67115CC0"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30F40">
      <w:rPr>
        <w:rFonts w:eastAsia="Times New Roman"/>
        <w:sz w:val="21"/>
        <w:szCs w:val="21"/>
      </w:rPr>
      <w:t>47</w:t>
    </w:r>
    <w:r>
      <w:rPr>
        <w:rFonts w:eastAsia="Times New Roman"/>
        <w:sz w:val="21"/>
        <w:szCs w:val="21"/>
      </w:rPr>
      <w:t xml:space="preserve"> p. </w:t>
    </w:r>
    <w:r w:rsidR="00452448" w:rsidRPr="00C25241">
      <w:rPr>
        <w:rFonts w:eastAsia="Times New Roman"/>
        <w:sz w:val="21"/>
        <w:szCs w:val="21"/>
      </w:rPr>
      <w:fldChar w:fldCharType="begin"/>
    </w:r>
    <w:r w:rsidR="00452448" w:rsidRPr="00C25241">
      <w:rPr>
        <w:rFonts w:eastAsia="Times New Roman"/>
        <w:sz w:val="21"/>
        <w:szCs w:val="21"/>
      </w:rPr>
      <w:instrText xml:space="preserve"> PAGE   \* MERGEFORMAT </w:instrText>
    </w:r>
    <w:r w:rsidR="00452448" w:rsidRPr="00C25241">
      <w:rPr>
        <w:rFonts w:eastAsia="Times New Roman"/>
        <w:sz w:val="21"/>
        <w:szCs w:val="21"/>
      </w:rPr>
      <w:fldChar w:fldCharType="separate"/>
    </w:r>
    <w:r w:rsidR="00452448">
      <w:rPr>
        <w:rFonts w:eastAsia="Times New Roman"/>
        <w:sz w:val="21"/>
        <w:szCs w:val="21"/>
      </w:rPr>
      <w:t>3219</w:t>
    </w:r>
    <w:r w:rsidR="00452448"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30F40">
      <w:rPr>
        <w:rFonts w:eastAsia="Times New Roman"/>
        <w:sz w:val="21"/>
        <w:szCs w:val="21"/>
      </w:rPr>
      <w:t>14</w:t>
    </w:r>
    <w:r w:rsidR="00A55207">
      <w:rPr>
        <w:rFonts w:eastAsia="Times New Roman"/>
        <w:sz w:val="21"/>
        <w:szCs w:val="21"/>
      </w:rPr>
      <w:t xml:space="preserve"> </w:t>
    </w:r>
    <w:r w:rsidR="00930F40">
      <w:rPr>
        <w:rFonts w:eastAsia="Times New Roman"/>
        <w:sz w:val="21"/>
        <w:szCs w:val="21"/>
      </w:rPr>
      <w:t>August</w:t>
    </w:r>
    <w:r w:rsidR="00C9018A" w:rsidRPr="00C9018A">
      <w:rPr>
        <w:rFonts w:eastAsia="Times New Roman"/>
        <w:sz w:val="21"/>
        <w:szCs w:val="21"/>
      </w:rPr>
      <w:t xml:space="preserve"> 20</w:t>
    </w:r>
    <w:r>
      <w:rPr>
        <w:rFonts w:eastAsia="Times New Roman"/>
        <w:sz w:val="21"/>
        <w:szCs w:val="21"/>
      </w:rPr>
      <w:t>2</w:t>
    </w:r>
    <w:r w:rsidR="00930F40">
      <w:rPr>
        <w:rFonts w:eastAsia="Times New Roman"/>
        <w:sz w:val="21"/>
        <w:szCs w:val="21"/>
      </w:rPr>
      <w:t>5</w:t>
    </w:r>
  </w:p>
  <w:p w14:paraId="1EA9617A"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9478" w14:textId="51763DF5" w:rsidR="00C25241" w:rsidRPr="00C25241" w:rsidRDefault="00930F40"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14 August</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DF67FC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
  </w:num>
  <w:num w:numId="2" w16cid:durableId="1999571555">
    <w:abstractNumId w:val="3"/>
  </w:num>
  <w:num w:numId="3" w16cid:durableId="1118531261">
    <w:abstractNumId w:val="1"/>
  </w:num>
  <w:num w:numId="4" w16cid:durableId="69797403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C7F"/>
    <w:rsid w:val="000069F1"/>
    <w:rsid w:val="000100A7"/>
    <w:rsid w:val="000163A9"/>
    <w:rsid w:val="0001762C"/>
    <w:rsid w:val="000202A8"/>
    <w:rsid w:val="0002084B"/>
    <w:rsid w:val="0002085F"/>
    <w:rsid w:val="000249AC"/>
    <w:rsid w:val="00030270"/>
    <w:rsid w:val="0005659C"/>
    <w:rsid w:val="00063D6D"/>
    <w:rsid w:val="00064C75"/>
    <w:rsid w:val="00066B0B"/>
    <w:rsid w:val="00070E37"/>
    <w:rsid w:val="000754F5"/>
    <w:rsid w:val="00080391"/>
    <w:rsid w:val="000835E8"/>
    <w:rsid w:val="00090FD8"/>
    <w:rsid w:val="0009376E"/>
    <w:rsid w:val="000A036E"/>
    <w:rsid w:val="000A2748"/>
    <w:rsid w:val="000B0640"/>
    <w:rsid w:val="000B38D1"/>
    <w:rsid w:val="000C1F3D"/>
    <w:rsid w:val="000C5912"/>
    <w:rsid w:val="000D34A3"/>
    <w:rsid w:val="000D35A2"/>
    <w:rsid w:val="000D54A0"/>
    <w:rsid w:val="000E332A"/>
    <w:rsid w:val="000E655C"/>
    <w:rsid w:val="000E6918"/>
    <w:rsid w:val="000F0B45"/>
    <w:rsid w:val="000F2CEA"/>
    <w:rsid w:val="000F6F6B"/>
    <w:rsid w:val="00104BC5"/>
    <w:rsid w:val="001063C7"/>
    <w:rsid w:val="00110167"/>
    <w:rsid w:val="0011491A"/>
    <w:rsid w:val="001169F7"/>
    <w:rsid w:val="00116D8C"/>
    <w:rsid w:val="00116F04"/>
    <w:rsid w:val="00120922"/>
    <w:rsid w:val="00121D2F"/>
    <w:rsid w:val="001227CF"/>
    <w:rsid w:val="00123302"/>
    <w:rsid w:val="0012772C"/>
    <w:rsid w:val="00133D99"/>
    <w:rsid w:val="00147592"/>
    <w:rsid w:val="001503A0"/>
    <w:rsid w:val="00153708"/>
    <w:rsid w:val="001572AD"/>
    <w:rsid w:val="001576DB"/>
    <w:rsid w:val="00157B3D"/>
    <w:rsid w:val="00160CDB"/>
    <w:rsid w:val="0016463B"/>
    <w:rsid w:val="001770B6"/>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07C7F"/>
    <w:rsid w:val="002113D6"/>
    <w:rsid w:val="002130A5"/>
    <w:rsid w:val="002148EF"/>
    <w:rsid w:val="00222B67"/>
    <w:rsid w:val="00227163"/>
    <w:rsid w:val="00227537"/>
    <w:rsid w:val="00237B08"/>
    <w:rsid w:val="0024080E"/>
    <w:rsid w:val="002425EF"/>
    <w:rsid w:val="00251266"/>
    <w:rsid w:val="00251FEE"/>
    <w:rsid w:val="00256C71"/>
    <w:rsid w:val="00262F8F"/>
    <w:rsid w:val="0026731F"/>
    <w:rsid w:val="00275F32"/>
    <w:rsid w:val="00293061"/>
    <w:rsid w:val="0029410F"/>
    <w:rsid w:val="002977EE"/>
    <w:rsid w:val="002A0492"/>
    <w:rsid w:val="002A137D"/>
    <w:rsid w:val="002A1B4A"/>
    <w:rsid w:val="002A3021"/>
    <w:rsid w:val="002A4530"/>
    <w:rsid w:val="002A7F4B"/>
    <w:rsid w:val="002B1AEF"/>
    <w:rsid w:val="002B2E13"/>
    <w:rsid w:val="002B5584"/>
    <w:rsid w:val="002C219B"/>
    <w:rsid w:val="002C2E97"/>
    <w:rsid w:val="002C751E"/>
    <w:rsid w:val="002C7DF4"/>
    <w:rsid w:val="002D0032"/>
    <w:rsid w:val="002D3EE3"/>
    <w:rsid w:val="002D4754"/>
    <w:rsid w:val="002D7735"/>
    <w:rsid w:val="002F5627"/>
    <w:rsid w:val="002F59D6"/>
    <w:rsid w:val="002F7211"/>
    <w:rsid w:val="00304833"/>
    <w:rsid w:val="003121EA"/>
    <w:rsid w:val="00314651"/>
    <w:rsid w:val="00322D71"/>
    <w:rsid w:val="003274D3"/>
    <w:rsid w:val="00334814"/>
    <w:rsid w:val="003352F4"/>
    <w:rsid w:val="0034074D"/>
    <w:rsid w:val="0034503A"/>
    <w:rsid w:val="00353B95"/>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6D01"/>
    <w:rsid w:val="0041701B"/>
    <w:rsid w:val="00421804"/>
    <w:rsid w:val="00421F5C"/>
    <w:rsid w:val="0043001F"/>
    <w:rsid w:val="004311B6"/>
    <w:rsid w:val="0043387B"/>
    <w:rsid w:val="00435ECE"/>
    <w:rsid w:val="00436AC6"/>
    <w:rsid w:val="00441E8D"/>
    <w:rsid w:val="0044383E"/>
    <w:rsid w:val="00452448"/>
    <w:rsid w:val="004530F1"/>
    <w:rsid w:val="004535E8"/>
    <w:rsid w:val="00455756"/>
    <w:rsid w:val="00464A8C"/>
    <w:rsid w:val="00472302"/>
    <w:rsid w:val="00475212"/>
    <w:rsid w:val="004872C1"/>
    <w:rsid w:val="00487DCB"/>
    <w:rsid w:val="0049287C"/>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619A"/>
    <w:rsid w:val="004F7CCF"/>
    <w:rsid w:val="00500338"/>
    <w:rsid w:val="00503368"/>
    <w:rsid w:val="00504D28"/>
    <w:rsid w:val="005115D3"/>
    <w:rsid w:val="005152B8"/>
    <w:rsid w:val="005168CE"/>
    <w:rsid w:val="00521B1F"/>
    <w:rsid w:val="005335F1"/>
    <w:rsid w:val="00535963"/>
    <w:rsid w:val="00540347"/>
    <w:rsid w:val="00540423"/>
    <w:rsid w:val="0054338C"/>
    <w:rsid w:val="00543A79"/>
    <w:rsid w:val="00544893"/>
    <w:rsid w:val="00557A4A"/>
    <w:rsid w:val="005622AC"/>
    <w:rsid w:val="0056267A"/>
    <w:rsid w:val="00591929"/>
    <w:rsid w:val="005956F0"/>
    <w:rsid w:val="005A0BCF"/>
    <w:rsid w:val="005A3A1B"/>
    <w:rsid w:val="005A69A9"/>
    <w:rsid w:val="005B4E55"/>
    <w:rsid w:val="005B69B3"/>
    <w:rsid w:val="005C269C"/>
    <w:rsid w:val="005C5FF4"/>
    <w:rsid w:val="005C6C9D"/>
    <w:rsid w:val="005D2091"/>
    <w:rsid w:val="005D24AC"/>
    <w:rsid w:val="005E631C"/>
    <w:rsid w:val="005E7D95"/>
    <w:rsid w:val="005F4618"/>
    <w:rsid w:val="00602B9D"/>
    <w:rsid w:val="00612978"/>
    <w:rsid w:val="00615806"/>
    <w:rsid w:val="00630B72"/>
    <w:rsid w:val="0063119A"/>
    <w:rsid w:val="0063571C"/>
    <w:rsid w:val="006419CA"/>
    <w:rsid w:val="00644E6A"/>
    <w:rsid w:val="00645DC8"/>
    <w:rsid w:val="00646F2D"/>
    <w:rsid w:val="00662F55"/>
    <w:rsid w:val="00664635"/>
    <w:rsid w:val="006671B7"/>
    <w:rsid w:val="00670706"/>
    <w:rsid w:val="00671C1C"/>
    <w:rsid w:val="00682532"/>
    <w:rsid w:val="00682F0B"/>
    <w:rsid w:val="00683755"/>
    <w:rsid w:val="00685927"/>
    <w:rsid w:val="00694D0A"/>
    <w:rsid w:val="006974D4"/>
    <w:rsid w:val="006A1F8A"/>
    <w:rsid w:val="006A510F"/>
    <w:rsid w:val="006A7F78"/>
    <w:rsid w:val="006B561D"/>
    <w:rsid w:val="006B5B96"/>
    <w:rsid w:val="006C5BE8"/>
    <w:rsid w:val="006C7E15"/>
    <w:rsid w:val="006D00AD"/>
    <w:rsid w:val="006D3455"/>
    <w:rsid w:val="006E0C7D"/>
    <w:rsid w:val="006E6060"/>
    <w:rsid w:val="00703D70"/>
    <w:rsid w:val="0071453C"/>
    <w:rsid w:val="00724B20"/>
    <w:rsid w:val="00731EA9"/>
    <w:rsid w:val="00732C68"/>
    <w:rsid w:val="00732FC9"/>
    <w:rsid w:val="00737523"/>
    <w:rsid w:val="00745E4E"/>
    <w:rsid w:val="0074691D"/>
    <w:rsid w:val="0075022D"/>
    <w:rsid w:val="00761B6D"/>
    <w:rsid w:val="0076638C"/>
    <w:rsid w:val="00767D9F"/>
    <w:rsid w:val="00777F88"/>
    <w:rsid w:val="007850FA"/>
    <w:rsid w:val="007879D2"/>
    <w:rsid w:val="007902CE"/>
    <w:rsid w:val="0079069D"/>
    <w:rsid w:val="007A120B"/>
    <w:rsid w:val="007A37F9"/>
    <w:rsid w:val="007A4399"/>
    <w:rsid w:val="007A5911"/>
    <w:rsid w:val="007B4546"/>
    <w:rsid w:val="007C2C6F"/>
    <w:rsid w:val="007C3E7B"/>
    <w:rsid w:val="007E0F4A"/>
    <w:rsid w:val="007E2013"/>
    <w:rsid w:val="007E5D21"/>
    <w:rsid w:val="007F1191"/>
    <w:rsid w:val="0080019C"/>
    <w:rsid w:val="008008DD"/>
    <w:rsid w:val="00802077"/>
    <w:rsid w:val="00822107"/>
    <w:rsid w:val="008226D4"/>
    <w:rsid w:val="008250FE"/>
    <w:rsid w:val="00831BDE"/>
    <w:rsid w:val="00836F15"/>
    <w:rsid w:val="00854962"/>
    <w:rsid w:val="00867EF2"/>
    <w:rsid w:val="0087395E"/>
    <w:rsid w:val="00891067"/>
    <w:rsid w:val="00894A26"/>
    <w:rsid w:val="008A405A"/>
    <w:rsid w:val="008C2BF8"/>
    <w:rsid w:val="008D19CD"/>
    <w:rsid w:val="008E3340"/>
    <w:rsid w:val="008E4F1E"/>
    <w:rsid w:val="008F1F08"/>
    <w:rsid w:val="00901E82"/>
    <w:rsid w:val="00902C46"/>
    <w:rsid w:val="0090415A"/>
    <w:rsid w:val="0090520A"/>
    <w:rsid w:val="00914649"/>
    <w:rsid w:val="00920880"/>
    <w:rsid w:val="00920FFF"/>
    <w:rsid w:val="00921240"/>
    <w:rsid w:val="0093079E"/>
    <w:rsid w:val="00930F40"/>
    <w:rsid w:val="00931FF0"/>
    <w:rsid w:val="00940FA8"/>
    <w:rsid w:val="0094177D"/>
    <w:rsid w:val="00947809"/>
    <w:rsid w:val="0095143F"/>
    <w:rsid w:val="00952D52"/>
    <w:rsid w:val="00955412"/>
    <w:rsid w:val="00955694"/>
    <w:rsid w:val="009562D8"/>
    <w:rsid w:val="00962B7D"/>
    <w:rsid w:val="00964704"/>
    <w:rsid w:val="00964B4D"/>
    <w:rsid w:val="00972025"/>
    <w:rsid w:val="00974E27"/>
    <w:rsid w:val="009750C8"/>
    <w:rsid w:val="00977C9F"/>
    <w:rsid w:val="009817D6"/>
    <w:rsid w:val="00985AEE"/>
    <w:rsid w:val="00987AC2"/>
    <w:rsid w:val="009A4742"/>
    <w:rsid w:val="009A6661"/>
    <w:rsid w:val="009B2C75"/>
    <w:rsid w:val="009B6FDC"/>
    <w:rsid w:val="009B6FFD"/>
    <w:rsid w:val="009C5892"/>
    <w:rsid w:val="009C6388"/>
    <w:rsid w:val="009D0EF4"/>
    <w:rsid w:val="009D1E2E"/>
    <w:rsid w:val="009D586E"/>
    <w:rsid w:val="009E2997"/>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5207"/>
    <w:rsid w:val="00A620DA"/>
    <w:rsid w:val="00A631C3"/>
    <w:rsid w:val="00A71F02"/>
    <w:rsid w:val="00A747D0"/>
    <w:rsid w:val="00A74915"/>
    <w:rsid w:val="00A756C0"/>
    <w:rsid w:val="00A773E8"/>
    <w:rsid w:val="00A92C4D"/>
    <w:rsid w:val="00A93B37"/>
    <w:rsid w:val="00A97608"/>
    <w:rsid w:val="00AB5D59"/>
    <w:rsid w:val="00AD0853"/>
    <w:rsid w:val="00AD71CC"/>
    <w:rsid w:val="00AF1082"/>
    <w:rsid w:val="00AF2903"/>
    <w:rsid w:val="00AF46B8"/>
    <w:rsid w:val="00AF6919"/>
    <w:rsid w:val="00B01DE4"/>
    <w:rsid w:val="00B039CD"/>
    <w:rsid w:val="00B07083"/>
    <w:rsid w:val="00B1073C"/>
    <w:rsid w:val="00B13C12"/>
    <w:rsid w:val="00B14482"/>
    <w:rsid w:val="00B152A8"/>
    <w:rsid w:val="00B15A2B"/>
    <w:rsid w:val="00B15AEC"/>
    <w:rsid w:val="00B21E57"/>
    <w:rsid w:val="00B221A2"/>
    <w:rsid w:val="00B22E26"/>
    <w:rsid w:val="00B23EB4"/>
    <w:rsid w:val="00B25CB3"/>
    <w:rsid w:val="00B32C36"/>
    <w:rsid w:val="00B33677"/>
    <w:rsid w:val="00B33FB3"/>
    <w:rsid w:val="00B40542"/>
    <w:rsid w:val="00B47884"/>
    <w:rsid w:val="00B51574"/>
    <w:rsid w:val="00B53F6A"/>
    <w:rsid w:val="00B8720E"/>
    <w:rsid w:val="00B872B8"/>
    <w:rsid w:val="00B91501"/>
    <w:rsid w:val="00B91CCE"/>
    <w:rsid w:val="00B97531"/>
    <w:rsid w:val="00BA4927"/>
    <w:rsid w:val="00BB14E7"/>
    <w:rsid w:val="00BB5DE5"/>
    <w:rsid w:val="00BC2F16"/>
    <w:rsid w:val="00BC4D92"/>
    <w:rsid w:val="00BC772D"/>
    <w:rsid w:val="00BE137F"/>
    <w:rsid w:val="00BE6AA2"/>
    <w:rsid w:val="00BF1895"/>
    <w:rsid w:val="00BF2721"/>
    <w:rsid w:val="00BF4596"/>
    <w:rsid w:val="00BF6670"/>
    <w:rsid w:val="00BF69B7"/>
    <w:rsid w:val="00BF723C"/>
    <w:rsid w:val="00C00001"/>
    <w:rsid w:val="00C0094C"/>
    <w:rsid w:val="00C032B2"/>
    <w:rsid w:val="00C06ED8"/>
    <w:rsid w:val="00C1275E"/>
    <w:rsid w:val="00C17168"/>
    <w:rsid w:val="00C25241"/>
    <w:rsid w:val="00C30469"/>
    <w:rsid w:val="00C40694"/>
    <w:rsid w:val="00C46203"/>
    <w:rsid w:val="00C47401"/>
    <w:rsid w:val="00C53FED"/>
    <w:rsid w:val="00C62FCE"/>
    <w:rsid w:val="00C77C39"/>
    <w:rsid w:val="00C83D8C"/>
    <w:rsid w:val="00C9018A"/>
    <w:rsid w:val="00C9327C"/>
    <w:rsid w:val="00C9600F"/>
    <w:rsid w:val="00C965BF"/>
    <w:rsid w:val="00C971BF"/>
    <w:rsid w:val="00CA64A6"/>
    <w:rsid w:val="00CA6ADD"/>
    <w:rsid w:val="00CB0790"/>
    <w:rsid w:val="00CB4AA3"/>
    <w:rsid w:val="00CC53FA"/>
    <w:rsid w:val="00CD586C"/>
    <w:rsid w:val="00CD6F35"/>
    <w:rsid w:val="00CE0C1C"/>
    <w:rsid w:val="00CF31C3"/>
    <w:rsid w:val="00D0446B"/>
    <w:rsid w:val="00D04AD0"/>
    <w:rsid w:val="00D14EFE"/>
    <w:rsid w:val="00D14F34"/>
    <w:rsid w:val="00D15B81"/>
    <w:rsid w:val="00D166C4"/>
    <w:rsid w:val="00D21B2E"/>
    <w:rsid w:val="00D23AB5"/>
    <w:rsid w:val="00D256F7"/>
    <w:rsid w:val="00D30640"/>
    <w:rsid w:val="00D33DB5"/>
    <w:rsid w:val="00D35830"/>
    <w:rsid w:val="00D35BBC"/>
    <w:rsid w:val="00D415EC"/>
    <w:rsid w:val="00D5033A"/>
    <w:rsid w:val="00D53A13"/>
    <w:rsid w:val="00D56E94"/>
    <w:rsid w:val="00D66290"/>
    <w:rsid w:val="00D67069"/>
    <w:rsid w:val="00D730EB"/>
    <w:rsid w:val="00D73B65"/>
    <w:rsid w:val="00D75219"/>
    <w:rsid w:val="00D75E76"/>
    <w:rsid w:val="00D7647A"/>
    <w:rsid w:val="00D80D4A"/>
    <w:rsid w:val="00D817E6"/>
    <w:rsid w:val="00D83C2C"/>
    <w:rsid w:val="00D9149F"/>
    <w:rsid w:val="00D94CE5"/>
    <w:rsid w:val="00DA08BE"/>
    <w:rsid w:val="00DA1254"/>
    <w:rsid w:val="00DA27B6"/>
    <w:rsid w:val="00DA30CF"/>
    <w:rsid w:val="00DA4D46"/>
    <w:rsid w:val="00DA6921"/>
    <w:rsid w:val="00DB10F7"/>
    <w:rsid w:val="00DB5A8F"/>
    <w:rsid w:val="00DB6A8B"/>
    <w:rsid w:val="00DC0BEB"/>
    <w:rsid w:val="00DC2219"/>
    <w:rsid w:val="00DC64A9"/>
    <w:rsid w:val="00DC7AC3"/>
    <w:rsid w:val="00DD670D"/>
    <w:rsid w:val="00DE347D"/>
    <w:rsid w:val="00DF632D"/>
    <w:rsid w:val="00DF7707"/>
    <w:rsid w:val="00E05138"/>
    <w:rsid w:val="00E07BB7"/>
    <w:rsid w:val="00E21999"/>
    <w:rsid w:val="00E222C6"/>
    <w:rsid w:val="00E23F75"/>
    <w:rsid w:val="00E25A7D"/>
    <w:rsid w:val="00E27CBD"/>
    <w:rsid w:val="00E34B09"/>
    <w:rsid w:val="00E4308C"/>
    <w:rsid w:val="00E445BE"/>
    <w:rsid w:val="00E50B26"/>
    <w:rsid w:val="00E519D3"/>
    <w:rsid w:val="00E525DE"/>
    <w:rsid w:val="00E57D4E"/>
    <w:rsid w:val="00E60854"/>
    <w:rsid w:val="00E631A3"/>
    <w:rsid w:val="00E663DF"/>
    <w:rsid w:val="00E75896"/>
    <w:rsid w:val="00E77F1C"/>
    <w:rsid w:val="00E77F6A"/>
    <w:rsid w:val="00E87C16"/>
    <w:rsid w:val="00E92649"/>
    <w:rsid w:val="00E93D01"/>
    <w:rsid w:val="00E95550"/>
    <w:rsid w:val="00E95BAB"/>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27516"/>
    <w:rsid w:val="00F30B6A"/>
    <w:rsid w:val="00F50B74"/>
    <w:rsid w:val="00F513AB"/>
    <w:rsid w:val="00F513CA"/>
    <w:rsid w:val="00F55C07"/>
    <w:rsid w:val="00F577DC"/>
    <w:rsid w:val="00F77366"/>
    <w:rsid w:val="00F80EF5"/>
    <w:rsid w:val="00F8336F"/>
    <w:rsid w:val="00F85D9B"/>
    <w:rsid w:val="00F925DD"/>
    <w:rsid w:val="00F94AB3"/>
    <w:rsid w:val="00FA1910"/>
    <w:rsid w:val="00FB0784"/>
    <w:rsid w:val="00FB0EA1"/>
    <w:rsid w:val="00FB5F67"/>
    <w:rsid w:val="00FB68BE"/>
    <w:rsid w:val="00FC4C98"/>
    <w:rsid w:val="00FC7743"/>
    <w:rsid w:val="00FD1605"/>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831F"/>
  <w15:chartTrackingRefBased/>
  <w15:docId w15:val="{C684C662-1CD0-4A80-84E9-10AE02DAF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A620DA"/>
    <w:pPr>
      <w:keepLines/>
      <w:tabs>
        <w:tab w:val="right" w:leader="dot" w:pos="4550"/>
      </w:tabs>
      <w:autoSpaceDE w:val="0"/>
      <w:autoSpaceDN w:val="0"/>
      <w:adjustRightInd w:val="0"/>
      <w:spacing w:before="8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numbering" w:customStyle="1" w:styleId="NoList2">
    <w:name w:val="No List2"/>
    <w:next w:val="NoList"/>
    <w:uiPriority w:val="99"/>
    <w:semiHidden/>
    <w:unhideWhenUsed/>
    <w:rsid w:val="002A3021"/>
  </w:style>
  <w:style w:type="numbering" w:customStyle="1" w:styleId="NoList3">
    <w:name w:val="No List3"/>
    <w:next w:val="NoList"/>
    <w:uiPriority w:val="99"/>
    <w:semiHidden/>
    <w:unhideWhenUsed/>
    <w:rsid w:val="00080391"/>
  </w:style>
  <w:style w:type="table" w:styleId="TableGrid">
    <w:name w:val="Table Grid"/>
    <w:basedOn w:val="TableNormal"/>
    <w:uiPriority w:val="59"/>
    <w:rsid w:val="00D56E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30469"/>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30469"/>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8D19C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8D19CD"/>
    <w:pPr>
      <w:tabs>
        <w:tab w:val="num" w:pos="360"/>
      </w:tabs>
      <w:ind w:left="360" w:hanging="360"/>
    </w:pPr>
    <w:rPr>
      <w:rFonts w:eastAsia="Times New Roman"/>
      <w:szCs w:val="20"/>
    </w:rPr>
  </w:style>
  <w:style w:type="paragraph" w:styleId="ListNumber2">
    <w:name w:val="List Number 2"/>
    <w:basedOn w:val="Normal"/>
    <w:rsid w:val="008D19CD"/>
    <w:pPr>
      <w:tabs>
        <w:tab w:val="num" w:pos="643"/>
      </w:tabs>
      <w:ind w:left="643" w:hanging="360"/>
    </w:pPr>
    <w:rPr>
      <w:rFonts w:eastAsia="Times New Roman"/>
      <w:szCs w:val="20"/>
    </w:rPr>
  </w:style>
  <w:style w:type="paragraph" w:styleId="ListNumber3">
    <w:name w:val="List Number 3"/>
    <w:basedOn w:val="Normal"/>
    <w:rsid w:val="008D19CD"/>
    <w:pPr>
      <w:tabs>
        <w:tab w:val="num" w:pos="1080"/>
      </w:tabs>
      <w:ind w:left="1080" w:hanging="360"/>
    </w:pPr>
    <w:rPr>
      <w:rFonts w:eastAsia="Times New Roman"/>
      <w:szCs w:val="20"/>
    </w:rPr>
  </w:style>
  <w:style w:type="paragraph" w:styleId="ListNumber4">
    <w:name w:val="List Number 4"/>
    <w:basedOn w:val="Normal"/>
    <w:rsid w:val="008D19CD"/>
    <w:pPr>
      <w:tabs>
        <w:tab w:val="num" w:pos="1440"/>
      </w:tabs>
      <w:ind w:left="1440" w:hanging="360"/>
    </w:pPr>
    <w:rPr>
      <w:rFonts w:eastAsia="Times New Roman"/>
      <w:szCs w:val="20"/>
    </w:rPr>
  </w:style>
  <w:style w:type="paragraph" w:styleId="ListNumber5">
    <w:name w:val="List Number 5"/>
    <w:basedOn w:val="Normal"/>
    <w:rsid w:val="008D19CD"/>
    <w:pPr>
      <w:tabs>
        <w:tab w:val="num" w:pos="1800"/>
      </w:tabs>
      <w:ind w:left="1800" w:hanging="360"/>
    </w:pPr>
    <w:rPr>
      <w:rFonts w:eastAsia="Times New Roman"/>
      <w:szCs w:val="20"/>
    </w:rPr>
  </w:style>
  <w:style w:type="character" w:styleId="FootnoteReference">
    <w:name w:val="footnote reference"/>
    <w:uiPriority w:val="99"/>
    <w:semiHidden/>
    <w:rsid w:val="008D19CD"/>
    <w:rPr>
      <w:vertAlign w:val="superscript"/>
    </w:rPr>
  </w:style>
  <w:style w:type="table" w:customStyle="1" w:styleId="TableGrid11">
    <w:name w:val="Table Grid11"/>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D19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D19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D19C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8D19CD"/>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8D19C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8D19CD"/>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8D19C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D19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8D19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8D19C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8D19C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8D19CD"/>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8D19CD"/>
    <w:rPr>
      <w:color w:val="605E5C"/>
      <w:shd w:val="clear" w:color="auto" w:fill="E1DFDD"/>
    </w:rPr>
  </w:style>
  <w:style w:type="character" w:customStyle="1" w:styleId="FollowedHyperlink1">
    <w:name w:val="FollowedHyperlink1"/>
    <w:basedOn w:val="DefaultParagraphFont"/>
    <w:uiPriority w:val="99"/>
    <w:semiHidden/>
    <w:unhideWhenUsed/>
    <w:rsid w:val="008D19CD"/>
    <w:rPr>
      <w:color w:val="954F72"/>
      <w:u w:val="single"/>
    </w:rPr>
  </w:style>
  <w:style w:type="paragraph" w:styleId="FootnoteText">
    <w:name w:val="footnote text"/>
    <w:basedOn w:val="Normal"/>
    <w:link w:val="FootnoteTextChar"/>
    <w:uiPriority w:val="99"/>
    <w:semiHidden/>
    <w:unhideWhenUsed/>
    <w:rsid w:val="008D19CD"/>
    <w:pPr>
      <w:spacing w:after="0" w:line="360" w:lineRule="auto"/>
      <w:jc w:val="left"/>
    </w:pPr>
    <w:rPr>
      <w:rFonts w:ascii="Calibri" w:hAnsi="Calibri"/>
      <w:sz w:val="20"/>
      <w:szCs w:val="20"/>
    </w:rPr>
  </w:style>
  <w:style w:type="character" w:customStyle="1" w:styleId="FootnoteTextChar">
    <w:name w:val="Footnote Text Char"/>
    <w:basedOn w:val="DefaultParagraphFont"/>
    <w:link w:val="FootnoteText"/>
    <w:uiPriority w:val="99"/>
    <w:semiHidden/>
    <w:rsid w:val="008D19CD"/>
    <w:rPr>
      <w:lang w:eastAsia="en-US"/>
    </w:rPr>
  </w:style>
  <w:style w:type="character" w:customStyle="1" w:styleId="ListParagraphChar">
    <w:name w:val="List Paragraph Char"/>
    <w:link w:val="ListParagraph"/>
    <w:uiPriority w:val="34"/>
    <w:rsid w:val="008D19CD"/>
    <w:rPr>
      <w:rFonts w:ascii="Times New Roman" w:hAnsi="Times New Roman"/>
      <w:sz w:val="17"/>
      <w:szCs w:val="22"/>
      <w:lang w:eastAsia="en-US"/>
    </w:rPr>
  </w:style>
  <w:style w:type="paragraph" w:customStyle="1" w:styleId="Doublehangindent">
    <w:name w:val="Double hang indent"/>
    <w:basedOn w:val="Normal"/>
    <w:qFormat/>
    <w:rsid w:val="008D19CD"/>
    <w:pPr>
      <w:spacing w:before="120" w:after="120" w:line="240" w:lineRule="auto"/>
      <w:ind w:left="1701" w:hanging="567"/>
    </w:pPr>
    <w:rPr>
      <w:sz w:val="23"/>
      <w:szCs w:val="23"/>
    </w:rPr>
  </w:style>
  <w:style w:type="paragraph" w:customStyle="1" w:styleId="NoteText">
    <w:name w:val="NoteText"/>
    <w:basedOn w:val="Normal"/>
    <w:qFormat/>
    <w:rsid w:val="008D19CD"/>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8D19CD"/>
    <w:pPr>
      <w:spacing w:before="120" w:after="120" w:line="240" w:lineRule="auto"/>
      <w:ind w:left="1134" w:hanging="567"/>
    </w:pPr>
    <w:rPr>
      <w:sz w:val="23"/>
      <w:szCs w:val="23"/>
    </w:rPr>
  </w:style>
  <w:style w:type="paragraph" w:customStyle="1" w:styleId="NoteHeader">
    <w:name w:val="NoteHeader"/>
    <w:basedOn w:val="Normal"/>
    <w:qFormat/>
    <w:rsid w:val="008D19CD"/>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iPriority w:val="99"/>
    <w:semiHidden/>
    <w:unhideWhenUsed/>
    <w:rsid w:val="008D19CD"/>
    <w:rPr>
      <w:sz w:val="16"/>
      <w:szCs w:val="16"/>
    </w:rPr>
  </w:style>
  <w:style w:type="paragraph" w:styleId="CommentText">
    <w:name w:val="annotation text"/>
    <w:basedOn w:val="Normal"/>
    <w:link w:val="CommentTextChar"/>
    <w:uiPriority w:val="99"/>
    <w:semiHidden/>
    <w:unhideWhenUsed/>
    <w:rsid w:val="008D19CD"/>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semiHidden/>
    <w:rsid w:val="008D19CD"/>
    <w:rPr>
      <w:lang w:eastAsia="en-US"/>
    </w:rPr>
  </w:style>
  <w:style w:type="paragraph" w:styleId="CommentSubject">
    <w:name w:val="annotation subject"/>
    <w:basedOn w:val="CommentText"/>
    <w:next w:val="CommentText"/>
    <w:link w:val="CommentSubjectChar"/>
    <w:uiPriority w:val="99"/>
    <w:semiHidden/>
    <w:unhideWhenUsed/>
    <w:rsid w:val="008D19CD"/>
    <w:rPr>
      <w:b/>
      <w:bCs/>
    </w:rPr>
  </w:style>
  <w:style w:type="character" w:customStyle="1" w:styleId="CommentSubjectChar">
    <w:name w:val="Comment Subject Char"/>
    <w:basedOn w:val="CommentTextChar"/>
    <w:link w:val="CommentSubject"/>
    <w:uiPriority w:val="99"/>
    <w:semiHidden/>
    <w:rsid w:val="008D19CD"/>
    <w:rPr>
      <w:b/>
      <w:bCs/>
      <w:lang w:eastAsia="en-US"/>
    </w:rPr>
  </w:style>
  <w:style w:type="table" w:customStyle="1" w:styleId="TableGrid151">
    <w:name w:val="Table Grid15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D19CD"/>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8D19CD"/>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D19C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tals">
    <w:name w:val="Recitals"/>
    <w:basedOn w:val="Normal"/>
    <w:rsid w:val="008D19CD"/>
    <w:pPr>
      <w:numPr>
        <w:numId w:val="4"/>
      </w:numPr>
      <w:spacing w:after="240"/>
    </w:pPr>
    <w:rPr>
      <w:rFonts w:eastAsia="Times New Roman"/>
      <w:szCs w:val="20"/>
    </w:rPr>
  </w:style>
  <w:style w:type="character" w:styleId="FollowedHyperlink">
    <w:name w:val="FollowedHyperlink"/>
    <w:basedOn w:val="DefaultParagraphFont"/>
    <w:uiPriority w:val="99"/>
    <w:semiHidden/>
    <w:unhideWhenUsed/>
    <w:rsid w:val="008D19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Unclaimed%20Goods%20Act%201987" TargetMode="External"/><Relationship Id="rId299" Type="http://schemas.openxmlformats.org/officeDocument/2006/relationships/image" Target="media/image7.png"/><Relationship Id="rId21" Type="http://schemas.openxmlformats.org/officeDocument/2006/relationships/hyperlink" Target="http://www.legislation.sa.gov.au/index.aspx?action=legref&amp;type=act&amp;legtitle=Return%20to%20Work%20Act%202014" TargetMode="External"/><Relationship Id="rId63" Type="http://schemas.openxmlformats.org/officeDocument/2006/relationships/hyperlink" Target="http://www.legislation.sa.gov.au/index.aspx?action=legref&amp;type=act&amp;legtitle=Road%20Traffic%20Act%201961" TargetMode="External"/><Relationship Id="rId159" Type="http://schemas.openxmlformats.org/officeDocument/2006/relationships/hyperlink" Target="http://www.legislation.sa.gov.au/index.aspx?action=legref&amp;type=act&amp;legtitle=Residential%20Tenancies%20Act%201995" TargetMode="External"/><Relationship Id="rId324" Type="http://schemas.openxmlformats.org/officeDocument/2006/relationships/image" Target="media/image29.png"/><Relationship Id="rId170" Type="http://schemas.openxmlformats.org/officeDocument/2006/relationships/hyperlink" Target="http://www.legislation.sa.gov.au/index.aspx?action=legref&amp;type=subordleg&amp;legtitle=Building%20Work%20Contractors%20Regulations%202011" TargetMode="External"/><Relationship Id="rId226" Type="http://schemas.openxmlformats.org/officeDocument/2006/relationships/hyperlink" Target="http://www.legislation.sa.gov.au/index.aspx?action=legref&amp;type=subordleg&amp;legtitle=National%20Parks%20and%20Wildlife%20(Kanku-Breakaways%20Conservation%20Park)%20Regulations%202013" TargetMode="External"/><Relationship Id="rId268" Type="http://schemas.openxmlformats.org/officeDocument/2006/relationships/hyperlink" Target="http://www.legislation.sa.gov.au/index.aspx?action=legref&amp;type=subordleg&amp;legtitle=Work%20Health%20and%20Safety%20Regulations%202012" TargetMode="External"/><Relationship Id="rId32" Type="http://schemas.openxmlformats.org/officeDocument/2006/relationships/hyperlink" Target="http://www.legislation.sa.gov.au/index.aspx?action=legref&amp;type=act&amp;legtitle=Road%20Traffic%20Act%201961" TargetMode="External"/><Relationship Id="rId74" Type="http://schemas.openxmlformats.org/officeDocument/2006/relationships/hyperlink" Target="http://www.legislation.sa.gov.au/index.aspx?action=legref&amp;type=subordleg&amp;legtitle=Motor%20Vehicles%20(National%20Heavy%20Vehicles%20Registration%20Fees)%20Regulations%202008" TargetMode="External"/><Relationship Id="rId128" Type="http://schemas.openxmlformats.org/officeDocument/2006/relationships/hyperlink" Target="http://www.legislation.sa.gov.au/index.aspx?action=legref&amp;type=act&amp;legtitle=Supported%20Residential%20Facilities%20Act%201992" TargetMode="External"/><Relationship Id="rId335" Type="http://schemas.openxmlformats.org/officeDocument/2006/relationships/hyperlink" Target="http://www.governmentgazette.sa.gov.au" TargetMode="External"/><Relationship Id="rId5" Type="http://schemas.openxmlformats.org/officeDocument/2006/relationships/webSettings" Target="webSettings.xml"/><Relationship Id="rId181" Type="http://schemas.openxmlformats.org/officeDocument/2006/relationships/hyperlink" Target="http://www.legislation.sa.gov.au/index.aspx?action=legref&amp;type=subordleg&amp;legtitle=Controlled%20Substances%20(Poisons)%20Regulations%202011" TargetMode="External"/><Relationship Id="rId237" Type="http://schemas.openxmlformats.org/officeDocument/2006/relationships/hyperlink" Target="http://www.legislation.sa.gov.au/index.aspx?action=legref&amp;type=subordleg&amp;legtitle=Public%20Corporations%20(Adelaide%20Venue%20Management%20Corporation)%20Regulations%202013" TargetMode="External"/><Relationship Id="rId279" Type="http://schemas.openxmlformats.org/officeDocument/2006/relationships/hyperlink" Target="https://inclusive.sa.gov.au/" TargetMode="External"/><Relationship Id="rId43" Type="http://schemas.openxmlformats.org/officeDocument/2006/relationships/hyperlink" Target="http://www.legislation.sa.gov.au/index.aspx?action=legref&amp;type=act&amp;legtitle=Heavy%20Vehicle%20National%20Law%20(South%20Australia)" TargetMode="External"/><Relationship Id="rId139" Type="http://schemas.openxmlformats.org/officeDocument/2006/relationships/hyperlink" Target="http://www.legislation.sa.gov.au/index.aspx?action=legref&amp;type=act&amp;legtitle=Residential%20Tenancies%20Act%201995" TargetMode="External"/><Relationship Id="rId290" Type="http://schemas.openxmlformats.org/officeDocument/2006/relationships/hyperlink" Target="https://www.energymining.sa.gov.au/industry/minerals-and-mining/mining/community-engagement-opportunities" TargetMode="External"/><Relationship Id="rId304" Type="http://schemas.openxmlformats.org/officeDocument/2006/relationships/image" Target="media/image12.png"/><Relationship Id="rId85" Type="http://schemas.openxmlformats.org/officeDocument/2006/relationships/hyperlink" Target="http://www.legislation.sa.gov.au/index.aspx?action=legref&amp;type=subordleg&amp;legtitle=Australian%20Road%20Rules" TargetMode="External"/><Relationship Id="rId150" Type="http://schemas.openxmlformats.org/officeDocument/2006/relationships/hyperlink" Target="http://www.legislation.sa.gov.au/index.aspx?action=legref&amp;type=act&amp;legtitle=Residential%20Tenancies%20Act%201995" TargetMode="External"/><Relationship Id="rId192" Type="http://schemas.openxmlformats.org/officeDocument/2006/relationships/hyperlink" Target="http://www.legislation.sa.gov.au/index.aspx?action=legref&amp;type=subordleg&amp;legtitle=Expiation%20of%20Offences%20Regulations%202011" TargetMode="External"/><Relationship Id="rId206" Type="http://schemas.openxmlformats.org/officeDocument/2006/relationships/hyperlink" Target="http://www.legislation.sa.gov.au/index.aspx?action=legref&amp;type=subordleg&amp;legtitle=Graffiti%20Control%20Regulations%202013" TargetMode="External"/><Relationship Id="rId248" Type="http://schemas.openxmlformats.org/officeDocument/2006/relationships/hyperlink" Target="http://www.legislation.sa.gov.au/index.aspx?action=legref&amp;type=subordleg&amp;legtitle=Roxby%20Downs%20(Local%20Government%20Arrangement)%20Regulations%202012" TargetMode="External"/><Relationship Id="rId12" Type="http://schemas.openxmlformats.org/officeDocument/2006/relationships/footer" Target="footer2.xml"/><Relationship Id="rId108" Type="http://schemas.openxmlformats.org/officeDocument/2006/relationships/hyperlink" Target="http://www.legislation.sa.gov.au/index.aspx?action=legref&amp;type=subordleg&amp;legtitle=Motor%20Vehicles%20Regulations%202010" TargetMode="External"/><Relationship Id="rId315" Type="http://schemas.openxmlformats.org/officeDocument/2006/relationships/hyperlink" Target="https://www.ecsa.sa.gov.au/" TargetMode="External"/><Relationship Id="rId54" Type="http://schemas.openxmlformats.org/officeDocument/2006/relationships/hyperlink" Target="http://www.legislation.sa.gov.au/index.aspx?action=legref&amp;type=act&amp;legtitle=Motor%20Vehicles%20Act%201959" TargetMode="External"/><Relationship Id="rId96" Type="http://schemas.openxmlformats.org/officeDocument/2006/relationships/hyperlink" Target="http://www.legislation.sa.gov.au/index.aspx?action=legref&amp;type=subordleg&amp;legtitle=Australian%20Road%20Rules" TargetMode="External"/><Relationship Id="rId161" Type="http://schemas.openxmlformats.org/officeDocument/2006/relationships/hyperlink" Target="http://www.legislation.sa.gov.au/index.aspx?action=legref&amp;type=act&amp;legtitle=Legislative%20Instruments%20Act%201978" TargetMode="External"/><Relationship Id="rId217" Type="http://schemas.openxmlformats.org/officeDocument/2006/relationships/hyperlink" Target="http://www.legislation.sa.gov.au/index.aspx?action=legref&amp;type=subordleg&amp;legtitle=Local%20Government%20(General)%20Regulations%202013" TargetMode="External"/><Relationship Id="rId259" Type="http://schemas.openxmlformats.org/officeDocument/2006/relationships/hyperlink" Target="http://www.legislation.sa.gov.au/index.aspx?action=legref&amp;type=subordleg&amp;legtitle=Stamp%20Duties%20Regulations%202013" TargetMode="External"/><Relationship Id="rId23" Type="http://schemas.openxmlformats.org/officeDocument/2006/relationships/hyperlink" Target="http://www.legislation.sa.gov.au/index.aspx?action=legref&amp;type=act&amp;legtitle=Public%20Sector%20(Honesty%20and%20Accountability)%20Regulations%202010" TargetMode="External"/><Relationship Id="rId119" Type="http://schemas.openxmlformats.org/officeDocument/2006/relationships/hyperlink" Target="http://www.legislation.sa.gov.au/index.aspx?action=legref&amp;type=act&amp;legtitle=Land%20Agents%20Act%201994" TargetMode="External"/><Relationship Id="rId270" Type="http://schemas.openxmlformats.org/officeDocument/2006/relationships/hyperlink" Target="http://www.legislation.sa.gov.au/index.aspx?action=legref&amp;type=subordleg&amp;legtitle=Disability%20Services%20(Assessment%20of%20Relevant%20History)%20Regulations%202014" TargetMode="External"/><Relationship Id="rId326" Type="http://schemas.openxmlformats.org/officeDocument/2006/relationships/image" Target="media/image31.png"/><Relationship Id="rId65" Type="http://schemas.openxmlformats.org/officeDocument/2006/relationships/hyperlink" Target="http://www.legislation.sa.gov.au/index.aspx?action=legref&amp;type=act&amp;legtitle=Motor%20Vehicles%20Act%201959" TargetMode="External"/><Relationship Id="rId130" Type="http://schemas.openxmlformats.org/officeDocument/2006/relationships/hyperlink" Target="http://www.legislation.sa.gov.au/index.aspx?action=legref&amp;type=act&amp;legtitle=Disability%20Services%20Act%201993" TargetMode="External"/><Relationship Id="rId172" Type="http://schemas.openxmlformats.org/officeDocument/2006/relationships/hyperlink" Target="http://www.legislation.sa.gov.au/index.aspx?action=legref&amp;type=subordleg&amp;legtitle=Carrick%20Hill%20Trust%20Regulations%202012" TargetMode="External"/><Relationship Id="rId228" Type="http://schemas.openxmlformats.org/officeDocument/2006/relationships/hyperlink" Target="http://www.legislation.sa.gov.au/index.aspx?action=legref&amp;type=subordleg&amp;legtitle=Opal%20Mining%20Regulations%202012" TargetMode="External"/><Relationship Id="rId281" Type="http://schemas.openxmlformats.org/officeDocument/2006/relationships/hyperlink" Target="https://inclusive.sa.gov.au/" TargetMode="External"/><Relationship Id="rId337" Type="http://schemas.openxmlformats.org/officeDocument/2006/relationships/header" Target="header5.xml"/><Relationship Id="rId34" Type="http://schemas.openxmlformats.org/officeDocument/2006/relationships/hyperlink" Target="http://www.legislation.sa.gov.au/index.aspx?action=legref&amp;type=act&amp;legtitle=Passenger%20Transport%20Act%201994" TargetMode="External"/><Relationship Id="rId76" Type="http://schemas.openxmlformats.org/officeDocument/2006/relationships/hyperlink" Target="http://www.legislation.sa.gov.au/index.aspx?action=legref&amp;type=act&amp;legtitle=Road%20Traffic%20Act%201961" TargetMode="External"/><Relationship Id="rId141" Type="http://schemas.openxmlformats.org/officeDocument/2006/relationships/hyperlink" Target="http://www.legislation.sa.gov.au/index.aspx?action=legref&amp;type=act&amp;legtitle=Residential%20Tenancies%20Act%201995" TargetMode="External"/><Relationship Id="rId7" Type="http://schemas.openxmlformats.org/officeDocument/2006/relationships/endnotes" Target="endnotes.xml"/><Relationship Id="rId183" Type="http://schemas.openxmlformats.org/officeDocument/2006/relationships/hyperlink" Target="http://www.legislation.sa.gov.au/index.aspx?action=legref&amp;type=subordleg&amp;legtitle=Director%20of%20Public%20Prosecutions%20Regulations%202014" TargetMode="External"/><Relationship Id="rId239" Type="http://schemas.openxmlformats.org/officeDocument/2006/relationships/hyperlink" Target="http://www.legislation.sa.gov.au/index.aspx?action=legref&amp;type=subordleg&amp;legtitle=Public%20Corporations%20(Lotteries%20Commission%E2%80%94Tax%20and%20Other%20Liabilities)%20Regulations%202012" TargetMode="External"/><Relationship Id="rId250" Type="http://schemas.openxmlformats.org/officeDocument/2006/relationships/hyperlink" Target="http://www.legislation.sa.gov.au/index.aspx?action=legref&amp;type=subordleg&amp;legtitle=Second-hand%20Dealers%20and%20Pawnbrokers%20Regulations%202013" TargetMode="External"/><Relationship Id="rId292" Type="http://schemas.openxmlformats.org/officeDocument/2006/relationships/hyperlink" Target="https://www.environment.sa.gov.au/topics/park-management/statewide-park-strategies/park-management-plans" TargetMode="External"/><Relationship Id="rId306" Type="http://schemas.openxmlformats.org/officeDocument/2006/relationships/image" Target="media/image14.png"/><Relationship Id="rId45" Type="http://schemas.openxmlformats.org/officeDocument/2006/relationships/hyperlink" Target="http://www.legislation.sa.gov.au/index.aspx?action=legref&amp;type=act&amp;legtitle=Second-hand%20Vehicle%20Dealers%20Act%201995" TargetMode="External"/><Relationship Id="rId87" Type="http://schemas.openxmlformats.org/officeDocument/2006/relationships/hyperlink" Target="http://www.legislation.sa.gov.au/index.aspx?action=legref&amp;type=act&amp;legtitle=Heavy%20Vehicle%20National%20Law%20(South%20Australia)" TargetMode="External"/><Relationship Id="rId110" Type="http://schemas.openxmlformats.org/officeDocument/2006/relationships/hyperlink" Target="http://www.legislation.sa.gov.au/index.aspx?action=legref&amp;type=subordleg&amp;legtitle=Motor%20Vehicles%20(Motor%20Bike%20Driver%20Licensing)%20Amendment%20Regulations%202024" TargetMode="External"/><Relationship Id="rId152" Type="http://schemas.openxmlformats.org/officeDocument/2006/relationships/hyperlink" Target="http://www.legislation.sa.gov.au/index.aspx?action=legref&amp;type=act&amp;legtitle=Residential%20Tenancies%20Act%201995" TargetMode="External"/><Relationship Id="rId173" Type="http://schemas.openxmlformats.org/officeDocument/2006/relationships/hyperlink" Target="http://www.legislation.sa.gov.au/index.aspx?action=legref&amp;type=subordleg&amp;legtitle=Casino%20Regulations%202013" TargetMode="External"/><Relationship Id="rId194" Type="http://schemas.openxmlformats.org/officeDocument/2006/relationships/hyperlink" Target="http://www.legislation.sa.gov.au/index.aspx?action=legref&amp;type=subordleg&amp;legtitle=Fair%20Trading%20(Farming%20Industry%20Dispute%20Resolution%20Code)%20Regulations%202013" TargetMode="External"/><Relationship Id="rId208" Type="http://schemas.openxmlformats.org/officeDocument/2006/relationships/hyperlink" Target="http://www.legislation.sa.gov.au/index.aspx?action=legref&amp;type=act&amp;legtitle=Independent%20Commission%20Against%20Corruption%20Regulations%202013" TargetMode="External"/><Relationship Id="rId229" Type="http://schemas.openxmlformats.org/officeDocument/2006/relationships/hyperlink" Target="http://www.legislation.sa.gov.au/index.aspx?action=legref&amp;type=subordleg&amp;legtitle=Parliament%20(Joint%20Services)%20(Retention%20Entitlement)%20Regulations%202012" TargetMode="External"/><Relationship Id="rId240" Type="http://schemas.openxmlformats.org/officeDocument/2006/relationships/hyperlink" Target="http://www.legislation.sa.gov.au/index.aspx?action=legref&amp;type=subordleg&amp;legtitle=Public%20Corporations%20(Southern%20Select%20Super%20Corporation)%20Regulations%202012" TargetMode="External"/><Relationship Id="rId261" Type="http://schemas.openxmlformats.org/officeDocument/2006/relationships/hyperlink" Target="http://www.legislation.sa.gov.au/index.aspx?action=legref&amp;type=subordleg&amp;legtitle=Summary%20Procedure%20(Restraining%20Orders)%20Regulations%202011" TargetMode="External"/><Relationship Id="rId14" Type="http://schemas.openxmlformats.org/officeDocument/2006/relationships/header" Target="header4.xml"/><Relationship Id="rId35" Type="http://schemas.openxmlformats.org/officeDocument/2006/relationships/hyperlink" Target="http://www.legislation.sa.gov.au/index.aspx?action=legref&amp;type=act&amp;legtitle=Heavy%20Vehicle%20National%20Law%20(South%20Australia)" TargetMode="External"/><Relationship Id="rId56" Type="http://schemas.openxmlformats.org/officeDocument/2006/relationships/hyperlink" Target="http://www.legislation.sa.gov.au/index.aspx?action=legref&amp;type=act&amp;legtitle=Motor%20Vehicles%20Act%201959" TargetMode="External"/><Relationship Id="rId77" Type="http://schemas.openxmlformats.org/officeDocument/2006/relationships/hyperlink" Target="http://www.legislation.sa.gov.au/index.aspx?action=legref&amp;type=act&amp;legtitle=Heavy%20Vehicle%20National%20Law%20(South%20Australia)" TargetMode="External"/><Relationship Id="rId100"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282" Type="http://schemas.openxmlformats.org/officeDocument/2006/relationships/hyperlink" Target="https://inclusive.sa.gov.au/" TargetMode="External"/><Relationship Id="rId317" Type="http://schemas.openxmlformats.org/officeDocument/2006/relationships/image" Target="media/image22.png"/><Relationship Id="rId338" Type="http://schemas.openxmlformats.org/officeDocument/2006/relationships/header" Target="header6.xml"/><Relationship Id="rId8" Type="http://schemas.openxmlformats.org/officeDocument/2006/relationships/image" Target="media/image1.jpeg"/><Relationship Id="rId98" Type="http://schemas.openxmlformats.org/officeDocument/2006/relationships/hyperlink" Target="http://www.legislation.sa.gov.au/index.aspx?action=legref&amp;type=act&amp;legtitle=Motor%20Vehicles%20Act%201959" TargetMode="External"/><Relationship Id="rId121" Type="http://schemas.openxmlformats.org/officeDocument/2006/relationships/hyperlink" Target="http://www.legislation.sa.gov.au/index.aspx?action=legref&amp;type=act&amp;legtitle=Land%20and%20Business%20(Sale%20and%20Conveyancing)%20Act%201994" TargetMode="External"/><Relationship Id="rId142" Type="http://schemas.openxmlformats.org/officeDocument/2006/relationships/hyperlink" Target="http://www.legislation.sa.gov.au/index.aspx?action=legref&amp;type=act&amp;legtitle=Residential%20Tenancies%20Act%201995" TargetMode="External"/><Relationship Id="rId163" Type="http://schemas.openxmlformats.org/officeDocument/2006/relationships/hyperlink" Target="http://www.legislation.sa.gov.au/index.aspx?action=legref&amp;type=subordleg&amp;legtitle=Aboriginal%20Lands%20Trust%20Regulations%202014" TargetMode="External"/><Relationship Id="rId184" Type="http://schemas.openxmlformats.org/officeDocument/2006/relationships/hyperlink" Target="http://www.legislation.sa.gov.au/index.aspx?action=legref&amp;type=subordleg&amp;legtitle=Disability%20Services%20(Community%20Visitor%20Scheme)%20Regulations%202013" TargetMode="External"/><Relationship Id="rId219" Type="http://schemas.openxmlformats.org/officeDocument/2006/relationships/hyperlink" Target="http://www.legislation.sa.gov.au/index.aspx?action=legref&amp;type=subordleg&amp;legtitle=Marine%20Parks%20(Zoning)%20Regulations%202012" TargetMode="External"/><Relationship Id="rId230" Type="http://schemas.openxmlformats.org/officeDocument/2006/relationships/hyperlink" Target="http://www.legislation.sa.gov.au/index.aspx?action=legref&amp;type=subordleg&amp;legtitle=Police%20Regulations%202014" TargetMode="External"/><Relationship Id="rId251" Type="http://schemas.openxmlformats.org/officeDocument/2006/relationships/hyperlink" Target="http://www.legislation.sa.gov.au/index.aspx?action=legref&amp;type=subordleg&amp;legtitle=Security%20and%20Investigation%20Industry%20Regulations%202011" TargetMode="External"/><Relationship Id="rId25" Type="http://schemas.openxmlformats.org/officeDocument/2006/relationships/hyperlink" Target="http://www.legislation.sa.gov.au/index.aspx?action=legref&amp;type=act&amp;legtitle=Motor%20Vehicles%20Act%201959" TargetMode="External"/><Relationship Id="rId46" Type="http://schemas.openxmlformats.org/officeDocument/2006/relationships/hyperlink" Target="http://www.legislation.sa.gov.au/index.aspx?action=legref&amp;type=act&amp;legtitle=Second-hand%20Vehicle%20Dealers%20Act%201995" TargetMode="External"/><Relationship Id="rId67" Type="http://schemas.openxmlformats.org/officeDocument/2006/relationships/hyperlink" Target="http://www.legislation.sa.gov.au/index.aspx?action=legref&amp;type=act&amp;legtitle=Fire%20and%20Emergency%20Services%20Act%202005" TargetMode="External"/><Relationship Id="rId272" Type="http://schemas.openxmlformats.org/officeDocument/2006/relationships/hyperlink" Target="http://www.legislation.sa.gov.au/index.aspx?action=legref&amp;type=subordleg&amp;legtitle=Legislative%20Instruments%20(Postponement%20of%20Expiry)%20Regulations%202024" TargetMode="External"/><Relationship Id="rId293" Type="http://schemas.openxmlformats.org/officeDocument/2006/relationships/hyperlink" Target="https://www.sa.gov.au/topics/housing/planning-and-property/suburb-road-and-place-names/road-opening-and-closing-proposals" TargetMode="External"/><Relationship Id="rId307" Type="http://schemas.openxmlformats.org/officeDocument/2006/relationships/image" Target="media/image15.png"/><Relationship Id="rId328" Type="http://schemas.openxmlformats.org/officeDocument/2006/relationships/image" Target="media/image33.png"/><Relationship Id="rId88" Type="http://schemas.openxmlformats.org/officeDocument/2006/relationships/hyperlink" Target="http://www.legislation.sa.gov.au/index.aspx?action=legref&amp;type=act&amp;legtitle=Heavy%20Vehicle%20National%20Law%20(South%20Australia)" TargetMode="External"/><Relationship Id="rId111" Type="http://schemas.openxmlformats.org/officeDocument/2006/relationships/hyperlink" Target="http://www.legislation.sa.gov.au/index.aspx?action=legref&amp;type=subordleg&amp;legtitle=Motor%20Vehicles%20(Motor%20Bike%20Driver%20Licensing)%20Amendment%20Regulations%202024" TargetMode="External"/><Relationship Id="rId132" Type="http://schemas.openxmlformats.org/officeDocument/2006/relationships/hyperlink" Target="http://www.legislation.sa.gov.au/index.aspx?action=legref&amp;type=act&amp;legtitle=Legal%20Practitioners%20Act%201981" TargetMode="External"/><Relationship Id="rId153" Type="http://schemas.openxmlformats.org/officeDocument/2006/relationships/hyperlink" Target="http://www.legislation.sa.gov.au/index.aspx?action=legref&amp;type=act&amp;legtitle=Residential%20Tenancies%20Act%201995" TargetMode="External"/><Relationship Id="rId174" Type="http://schemas.openxmlformats.org/officeDocument/2006/relationships/hyperlink" Target="http://www.legislation.sa.gov.au/index.aspx?action=legref&amp;type=subordleg&amp;legtitle=Civil%20Liability%20Regulations%202013" TargetMode="External"/><Relationship Id="rId195" Type="http://schemas.openxmlformats.org/officeDocument/2006/relationships/hyperlink" Target="http://www.legislation.sa.gov.au/index.aspx?action=legref&amp;type=subordleg&amp;legtitle=Fair%20Trading%20(Fuel%20Industry%20Code)%20Regulations%202013" TargetMode="External"/><Relationship Id="rId209" Type="http://schemas.openxmlformats.org/officeDocument/2006/relationships/hyperlink" Target="http://www.legislation.sa.gov.au/index.aspx?action=legref&amp;type=subordleg&amp;legtitle=Intervention%20Orders%20(Prevention%20of%20Abuse)%20Regulations%202011" TargetMode="External"/><Relationship Id="rId220" Type="http://schemas.openxmlformats.org/officeDocument/2006/relationships/hyperlink" Target="http://www.legislation.sa.gov.au/index.aspx?action=legref&amp;type=subordleg&amp;legtitle=Marine%20Safety%20(Domestic%20Commercial%20Vessel)%20National%20Law%20(Application)%20Regulations%202013" TargetMode="External"/><Relationship Id="rId241" Type="http://schemas.openxmlformats.org/officeDocument/2006/relationships/hyperlink" Target="http://www.legislation.sa.gov.au/index.aspx?action=legref&amp;type=subordleg&amp;legtitle=Public%20Finance%20and%20Audit%20Regulations%202014" TargetMode="External"/><Relationship Id="rId15" Type="http://schemas.openxmlformats.org/officeDocument/2006/relationships/footer" Target="footer3.xml"/><Relationship Id="rId36" Type="http://schemas.openxmlformats.org/officeDocument/2006/relationships/hyperlink" Target="http://www.legislation.sa.gov.au/index.aspx?action=legref&amp;type=act&amp;legtitle=Health%20Care%20Act%202008" TargetMode="External"/><Relationship Id="rId57" Type="http://schemas.openxmlformats.org/officeDocument/2006/relationships/hyperlink" Target="http://www.legislation.sa.gov.au/index.aspx?action=legref&amp;type=act&amp;legtitle=Road%20Traffic%20Act%201961" TargetMode="External"/><Relationship Id="rId262" Type="http://schemas.openxmlformats.org/officeDocument/2006/relationships/hyperlink" Target="http://www.legislation.sa.gov.au/index.aspx?action=legref&amp;type=subordleg&amp;legtitle=TAFE%20SA%20Regulations%202012" TargetMode="External"/><Relationship Id="rId283" Type="http://schemas.openxmlformats.org/officeDocument/2006/relationships/image" Target="media/image2.jpeg"/><Relationship Id="rId318" Type="http://schemas.openxmlformats.org/officeDocument/2006/relationships/image" Target="media/image23.png"/><Relationship Id="rId339" Type="http://schemas.openxmlformats.org/officeDocument/2006/relationships/fontTable" Target="fontTable.xml"/><Relationship Id="rId78" Type="http://schemas.openxmlformats.org/officeDocument/2006/relationships/hyperlink" Target="http://www.legislation.sa.gov.au/index.aspx?action=legref&amp;type=act&amp;legtitle=Heavy%20Vehicle%20National%20Law%20(South%20Australia)" TargetMode="External"/><Relationship Id="rId99" Type="http://schemas.openxmlformats.org/officeDocument/2006/relationships/hyperlink" Target="http://www.legislation.sa.gov.au/index.aspx?action=legref&amp;type=subordleg&amp;legtitle=Australian%20Road%20Rules" TargetMode="External"/><Relationship Id="rId101"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122" Type="http://schemas.openxmlformats.org/officeDocument/2006/relationships/hyperlink" Target="http://www.legislation.sa.gov.au/index.aspx?action=legref&amp;type=act&amp;legtitle=Controlled%20Substances%20Act%201984" TargetMode="External"/><Relationship Id="rId143" Type="http://schemas.openxmlformats.org/officeDocument/2006/relationships/hyperlink" Target="http://www.legislation.sa.gov.au/index.aspx?action=legref&amp;type=act&amp;legtitle=Residential%20Tenancies%20Act%201995" TargetMode="External"/><Relationship Id="rId164" Type="http://schemas.openxmlformats.org/officeDocument/2006/relationships/hyperlink" Target="http://www.legislation.sa.gov.au/index.aspx?action=legref&amp;type=subordleg&amp;legtitle=Advance%20Care%20Directives%20Regulations%202014" TargetMode="External"/><Relationship Id="rId185" Type="http://schemas.openxmlformats.org/officeDocument/2006/relationships/hyperlink" Target="http://www.legislation.sa.gov.au/index.aspx?action=legref&amp;type=subordleg&amp;legtitle=Education%20and%20Early%20Childhood%20Services%20(Registration%20and%20Standards)%20Regulations%202011" TargetMode="External"/><Relationship Id="rId9" Type="http://schemas.openxmlformats.org/officeDocument/2006/relationships/header" Target="header1.xml"/><Relationship Id="rId210" Type="http://schemas.openxmlformats.org/officeDocument/2006/relationships/hyperlink" Target="http://www.legislation.sa.gov.au/index.aspx?action=legref&amp;type=subordleg&amp;legtitle=Juries%20(General)%20Regulations%202013" TargetMode="External"/><Relationship Id="rId26" Type="http://schemas.openxmlformats.org/officeDocument/2006/relationships/hyperlink" Target="http://www.legislation.sa.gov.au/index.aspx?action=legref&amp;type=subordleg&amp;legtitle=Road%20Traffic%20(Miscellaneous)%20Regulations%202014" TargetMode="External"/><Relationship Id="rId231" Type="http://schemas.openxmlformats.org/officeDocument/2006/relationships/hyperlink" Target="http://www.legislation.sa.gov.au/index.aspx?action=legref&amp;type=subordleg&amp;legtitle=Prices%20Regulations%202014" TargetMode="External"/><Relationship Id="rId252" Type="http://schemas.openxmlformats.org/officeDocument/2006/relationships/hyperlink" Target="http://www.legislation.sa.gov.au/index.aspx?action=legref&amp;type=subordleg&amp;legtitle=Small%20Business%20Commissioner%20Regulations%202012" TargetMode="External"/><Relationship Id="rId273" Type="http://schemas.openxmlformats.org/officeDocument/2006/relationships/hyperlink" Target="http://www.legislation.sa.gov.au/index.aspx?action=legref&amp;type=act&amp;legtitle=Legislative%20Instruments%20Act%201978" TargetMode="External"/><Relationship Id="rId294" Type="http://schemas.openxmlformats.org/officeDocument/2006/relationships/image" Target="media/image3.png"/><Relationship Id="rId308" Type="http://schemas.openxmlformats.org/officeDocument/2006/relationships/image" Target="media/image16.png"/><Relationship Id="rId329" Type="http://schemas.openxmlformats.org/officeDocument/2006/relationships/image" Target="media/image34.png"/><Relationship Id="rId47" Type="http://schemas.openxmlformats.org/officeDocument/2006/relationships/hyperlink" Target="http://www.legislation.sa.gov.au/index.aspx?action=legref&amp;type=act&amp;legtitle=Road%20Traffic%20Act%201961" TargetMode="External"/><Relationship Id="rId68" Type="http://schemas.openxmlformats.org/officeDocument/2006/relationships/hyperlink" Target="http://www.legislation.sa.gov.au/index.aspx?action=legref&amp;type=act&amp;legtitle=Emergency%20Management%20Act%202004" TargetMode="External"/><Relationship Id="rId89" Type="http://schemas.openxmlformats.org/officeDocument/2006/relationships/hyperlink" Target="http://www.legislation.sa.gov.au/index.aspx?action=legref&amp;type=act&amp;legtitle=Road%20Traffic%20Act%201961" TargetMode="External"/><Relationship Id="rId112" Type="http://schemas.openxmlformats.org/officeDocument/2006/relationships/hyperlink" Target="http://www.legislation.sa.gov.au/index.aspx?action=legref&amp;type=act&amp;legtitle=Legislative%20Instruments%20Act%201978" TargetMode="External"/><Relationship Id="rId133" Type="http://schemas.openxmlformats.org/officeDocument/2006/relationships/hyperlink" Target="http://www.legislation.sa.gov.au/index.aspx?action=legref&amp;type=act&amp;legtitle=Residential%20Tenancies%20Act%201995" TargetMode="External"/><Relationship Id="rId154" Type="http://schemas.openxmlformats.org/officeDocument/2006/relationships/hyperlink" Target="http://www.legislation.sa.gov.au/index.aspx?action=legref&amp;type=act&amp;legtitle=Housing%20Improvement%20Act%202016" TargetMode="External"/><Relationship Id="rId175" Type="http://schemas.openxmlformats.org/officeDocument/2006/relationships/hyperlink" Target="http://www.legislation.sa.gov.au/index.aspx?action=legref&amp;type=subordleg&amp;legtitle=Classification%20(Publications%20Films%20and%20Computer%20Games)%20Regulations%202011" TargetMode="External"/><Relationship Id="rId340" Type="http://schemas.openxmlformats.org/officeDocument/2006/relationships/theme" Target="theme/theme1.xml"/><Relationship Id="rId196" Type="http://schemas.openxmlformats.org/officeDocument/2006/relationships/hyperlink" Target="http://www.legislation.sa.gov.au/index.aspx?action=legref&amp;type=subordleg&amp;legtitle=Fair%20Trading%20(Motor%20Vehicle%20Industry%20Dispute%20Resolution%20Code)%20Regulations%202014" TargetMode="External"/><Relationship Id="rId200" Type="http://schemas.openxmlformats.org/officeDocument/2006/relationships/hyperlink" Target="http://www.legislation.sa.gov.au/index.aspx?action=legref&amp;type=subordleg&amp;legtitle=Fisheries%20Management%20(Miscellaneous%20Broodstock%20and%20Seedstock%20Fishery)%20Regulations%202013" TargetMode="External"/><Relationship Id="rId16" Type="http://schemas.openxmlformats.org/officeDocument/2006/relationships/footer" Target="footer4.xml"/><Relationship Id="rId221" Type="http://schemas.openxmlformats.org/officeDocument/2006/relationships/hyperlink" Target="http://www.legislation.sa.gov.au/index.aspx?action=legref&amp;type=subordleg&amp;legtitle=Metropolitan%20Adelaide%20Road%20Widening%20Plan%20Regulations%202014" TargetMode="External"/><Relationship Id="rId242" Type="http://schemas.openxmlformats.org/officeDocument/2006/relationships/hyperlink" Target="http://www.legislation.sa.gov.au/index.aspx?action=legref&amp;type=subordleg&amp;legtitle=Rail%20Safety%20National%20Law%20(South%20Australia)%20(Drug%20and%20Alcohol%20Testing)%20Regulations%202012" TargetMode="External"/><Relationship Id="rId263" Type="http://schemas.openxmlformats.org/officeDocument/2006/relationships/hyperlink" Target="http://www.legislation.sa.gov.au/index.aspx?action=legref&amp;type=subordleg&amp;legtitle=Trustee%20Regulations%202011" TargetMode="External"/><Relationship Id="rId284" Type="http://schemas.openxmlformats.org/officeDocument/2006/relationships/hyperlink" Target="http://www.sa.gov.au/placenameproposals" TargetMode="External"/><Relationship Id="rId319" Type="http://schemas.openxmlformats.org/officeDocument/2006/relationships/image" Target="media/image24.png"/><Relationship Id="rId37" Type="http://schemas.openxmlformats.org/officeDocument/2006/relationships/hyperlink" Target="http://www.legislation.sa.gov.au/index.aspx?action=legref&amp;type=act&amp;legtitle=Health%20Care%20Act%202008" TargetMode="External"/><Relationship Id="rId58" Type="http://schemas.openxmlformats.org/officeDocument/2006/relationships/hyperlink" Target="http://www.legislation.sa.gov.au/index.aspx?action=legref&amp;type=act&amp;legtitle=Road%20Traffic%20Act%201961" TargetMode="External"/><Relationship Id="rId79" Type="http://schemas.openxmlformats.org/officeDocument/2006/relationships/hyperlink" Target="http://www.legislation.sa.gov.au/index.aspx?action=legref&amp;type=act&amp;legtitle=Heavy%20Vehicle%20National%20Law%20(South%20Australia)" TargetMode="External"/><Relationship Id="rId102" Type="http://schemas.openxmlformats.org/officeDocument/2006/relationships/hyperlink" Target="http://www.legislation.sa.gov.au/index.aspx?action=legref&amp;type=act&amp;legtitle=Motor%20Vehicles%20Act%201959" TargetMode="External"/><Relationship Id="rId123" Type="http://schemas.openxmlformats.org/officeDocument/2006/relationships/hyperlink" Target="http://www.legislation.sa.gov.au/index.aspx?action=legref&amp;type=act&amp;legtitle=Controlled%20Substances%20Act%201984" TargetMode="External"/><Relationship Id="rId144" Type="http://schemas.openxmlformats.org/officeDocument/2006/relationships/hyperlink" Target="http://www.legislation.sa.gov.au/index.aspx?action=legref&amp;type=act&amp;legtitle=Residential%20Tenancies%20Act%201995" TargetMode="External"/><Relationship Id="rId330" Type="http://schemas.openxmlformats.org/officeDocument/2006/relationships/image" Target="media/image35.png"/><Relationship Id="rId90" Type="http://schemas.openxmlformats.org/officeDocument/2006/relationships/hyperlink" Target="http://www.legislation.sa.gov.au/index.aspx?action=legref&amp;type=act&amp;legtitle=Road%20Traffic%20Act%201961" TargetMode="External"/><Relationship Id="rId165" Type="http://schemas.openxmlformats.org/officeDocument/2006/relationships/hyperlink" Target="http://www.legislation.sa.gov.au/index.aspx?action=legref&amp;type=subordleg&amp;legtitle=Air%20Transport%20(Route%20Licensing%E2%80%94Passenger%20Services)%20Regulations%202014" TargetMode="External"/><Relationship Id="rId186" Type="http://schemas.openxmlformats.org/officeDocument/2006/relationships/hyperlink" Target="http://www.legislation.sa.gov.au/index.aspx?action=legref&amp;type=subordleg&amp;legtitle=Electricity%20(General)%20Regulations%202012" TargetMode="External"/><Relationship Id="rId211" Type="http://schemas.openxmlformats.org/officeDocument/2006/relationships/hyperlink" Target="http://www.legislation.sa.gov.au/index.aspx?action=legref&amp;type=subordleg&amp;legtitle=Late%20Payment%20of%20Government%20Debts%20(Interest)%20Regulations%202014" TargetMode="External"/><Relationship Id="rId232" Type="http://schemas.openxmlformats.org/officeDocument/2006/relationships/hyperlink" Target="http://www.legislation.sa.gov.au/index.aspx?action=legref&amp;type=subordleg&amp;legtitle=Primary%20Industry%20Funding%20Schemes%20(Sheep%20Industry%20Fund)%20Regulations%202014" TargetMode="External"/><Relationship Id="rId253" Type="http://schemas.openxmlformats.org/officeDocument/2006/relationships/hyperlink" Target="http://www.legislation.sa.gov.au/index.aspx?action=legref&amp;type=subordleg&amp;legtitle=South%20Australian%20Motor%20Sport%20Regulations%202014" TargetMode="External"/><Relationship Id="rId274" Type="http://schemas.openxmlformats.org/officeDocument/2006/relationships/hyperlink" Target="https://inclusive.sa.gov.au/our-work/state-disability-inclusion-plan/consultation-activity" TargetMode="External"/><Relationship Id="rId295" Type="http://schemas.openxmlformats.org/officeDocument/2006/relationships/hyperlink" Target="http://www.ecsa.sa.gov.au" TargetMode="External"/><Relationship Id="rId309" Type="http://schemas.openxmlformats.org/officeDocument/2006/relationships/image" Target="media/image17.png"/><Relationship Id="rId27" Type="http://schemas.openxmlformats.org/officeDocument/2006/relationships/hyperlink" Target="http://www.legislation.sa.gov.au/index.aspx?action=legref&amp;type=act&amp;legtitle=Police%20Act%201998" TargetMode="External"/><Relationship Id="rId48" Type="http://schemas.openxmlformats.org/officeDocument/2006/relationships/hyperlink" Target="http://www.legislation.sa.gov.au/index.aspx?action=legref&amp;type=act&amp;legtitle=Road%20Traffic%20Act%201961" TargetMode="External"/><Relationship Id="rId69" Type="http://schemas.openxmlformats.org/officeDocument/2006/relationships/hyperlink" Target="http://www.legislation.sa.gov.au/index.aspx?action=legref&amp;type=act&amp;legtitle=Health%20Care%20Act%202008" TargetMode="External"/><Relationship Id="rId113" Type="http://schemas.openxmlformats.org/officeDocument/2006/relationships/hyperlink" Target="http://www.legislation.sa.gov.au/index.aspx?action=legref&amp;type=act&amp;legtitle=Mental%20Health%20Act%202009" TargetMode="External"/><Relationship Id="rId134" Type="http://schemas.openxmlformats.org/officeDocument/2006/relationships/hyperlink" Target="http://www.legislation.sa.gov.au/index.aspx?action=legref&amp;type=act&amp;legtitle=Residential%20Tenancies%20Act%201995" TargetMode="External"/><Relationship Id="rId320" Type="http://schemas.openxmlformats.org/officeDocument/2006/relationships/image" Target="media/image25.png"/><Relationship Id="rId80" Type="http://schemas.openxmlformats.org/officeDocument/2006/relationships/hyperlink" Target="http://www.legislation.sa.gov.au/index.aspx?action=legref&amp;type=act&amp;legtitle=Road%20Traffic%20Act%201961" TargetMode="External"/><Relationship Id="rId155" Type="http://schemas.openxmlformats.org/officeDocument/2006/relationships/hyperlink" Target="http://www.legislation.sa.gov.au/index.aspx?action=legref&amp;type=act&amp;legtitle=Residential%20Tenancies%20Act%201995" TargetMode="External"/><Relationship Id="rId176" Type="http://schemas.openxmlformats.org/officeDocument/2006/relationships/hyperlink" Target="http://www.legislation.sa.gov.au/index.aspx?action=legref&amp;type=subordleg&amp;legtitle=Commonwealth%20Places%20(Mirror%20Taxes%20Administration)%20(Modification%20of%20State%20Taxing%20Laws)%20Regulations%202014" TargetMode="External"/><Relationship Id="rId197" Type="http://schemas.openxmlformats.org/officeDocument/2006/relationships/hyperlink" Target="http://www.legislation.sa.gov.au/index.aspx?action=legref&amp;type=subordleg&amp;legtitle=Fair%20Trading%20(Newsagency%20Industry%20Dispute%20Resolution%20Code)%20Regulations%202014" TargetMode="External"/><Relationship Id="rId201" Type="http://schemas.openxmlformats.org/officeDocument/2006/relationships/hyperlink" Target="http://www.legislation.sa.gov.au/index.aspx?action=legref&amp;type=subordleg&amp;legtitle=Fisheries%20Management%20(Miscellaneous%20Developmental%20Fishery)%20Regulations%202013" TargetMode="External"/><Relationship Id="rId222" Type="http://schemas.openxmlformats.org/officeDocument/2006/relationships/hyperlink" Target="http://www.legislation.sa.gov.au/index.aspx?action=legref&amp;type=subordleg&amp;legtitle=Mines%20and%20Works%20Inspection%20Regulations%202013" TargetMode="External"/><Relationship Id="rId243" Type="http://schemas.openxmlformats.org/officeDocument/2006/relationships/hyperlink" Target="http://www.legislation.sa.gov.au/index.aspx?action=legref&amp;type=subordleg&amp;legtitle=Rail%20Safety%20National%20Law%20(South%20Australia)%20(Transitional%20Arrangements)%20Regulations%202012" TargetMode="External"/><Relationship Id="rId264" Type="http://schemas.openxmlformats.org/officeDocument/2006/relationships/hyperlink" Target="http://www.legislation.sa.gov.au/index.aspx?action=legref&amp;type=subordleg&amp;legtitle=Unclaimed%20Goods%20Regulations%202013" TargetMode="External"/><Relationship Id="rId285" Type="http://schemas.openxmlformats.org/officeDocument/2006/relationships/hyperlink" Target="mailto:DHUD.PlaceNames@sa.gov.au" TargetMode="External"/><Relationship Id="rId17" Type="http://schemas.openxmlformats.org/officeDocument/2006/relationships/hyperlink" Target="http://www.legislation.sa.gov.au/index.aspx?action=legref&amp;type=act&amp;legtitle=Retirement%20Villages%20(Miscellaneous)%20Amendment%20Act%202024" TargetMode="External"/><Relationship Id="rId38" Type="http://schemas.openxmlformats.org/officeDocument/2006/relationships/hyperlink" Target="http://www.legislation.sa.gov.au/index.aspx?action=legref&amp;type=act&amp;legtitle=Road%20Traffic%20Act%201961" TargetMode="External"/><Relationship Id="rId59" Type="http://schemas.openxmlformats.org/officeDocument/2006/relationships/hyperlink" Target="http://www.legislation.sa.gov.au/index.aspx?action=legref&amp;type=act&amp;legtitle=Road%20Traffic%20Act%201961" TargetMode="External"/><Relationship Id="rId103" Type="http://schemas.openxmlformats.org/officeDocument/2006/relationships/hyperlink" Target="http://www.legislation.sa.gov.au/index.aspx?action=legref&amp;type=act&amp;legtitle=Heavy%20Vehicle%20National%20Law%20(South%20Australia)" TargetMode="External"/><Relationship Id="rId124" Type="http://schemas.openxmlformats.org/officeDocument/2006/relationships/hyperlink" Target="http://www.legislation.sa.gov.au/index.aspx?action=legref&amp;type=act&amp;legtitle=Electricity%20Act%201996" TargetMode="External"/><Relationship Id="rId310" Type="http://schemas.openxmlformats.org/officeDocument/2006/relationships/image" Target="media/image18.png"/><Relationship Id="rId70" Type="http://schemas.openxmlformats.org/officeDocument/2006/relationships/hyperlink" Target="http://www.legislation.sa.gov.au/index.aspx?action=legref&amp;type=act&amp;legtitle=Health%20Care%20Act%202008" TargetMode="External"/><Relationship Id="rId91" Type="http://schemas.openxmlformats.org/officeDocument/2006/relationships/hyperlink" Target="http://www.legislation.sa.gov.au/index.aspx?action=legref&amp;type=act&amp;legtitle=Road%20Traffic%20Act%201961" TargetMode="External"/><Relationship Id="rId145" Type="http://schemas.openxmlformats.org/officeDocument/2006/relationships/hyperlink" Target="http://www.legislation.sa.gov.au/index.aspx?action=legref&amp;type=act&amp;legtitle=Residential%20Tenancies%20Act%201995" TargetMode="External"/><Relationship Id="rId166" Type="http://schemas.openxmlformats.org/officeDocument/2006/relationships/hyperlink" Target="http://www.legislation.sa.gov.au/index.aspx?action=legref&amp;type=subordleg&amp;legtitle=Animal%20Welfare%20Regulations%202012" TargetMode="External"/><Relationship Id="rId187" Type="http://schemas.openxmlformats.org/officeDocument/2006/relationships/hyperlink" Target="http://www.legislation.sa.gov.au/index.aspx?action=legref&amp;type=subordleg&amp;legtitle=Electricity%20Corporations%20(Restructuring%20and%20Disposal)%20Regulations%202014" TargetMode="External"/><Relationship Id="rId331" Type="http://schemas.openxmlformats.org/officeDocument/2006/relationships/hyperlink" Target="http://www.ecsa.sa.gov.au" TargetMode="External"/><Relationship Id="rId1" Type="http://schemas.openxmlformats.org/officeDocument/2006/relationships/customXml" Target="../customXml/item1.xml"/><Relationship Id="rId212" Type="http://schemas.openxmlformats.org/officeDocument/2006/relationships/hyperlink" Target="http://www.legislation.sa.gov.au/index.aspx?action=legref&amp;type=subordleg&amp;legtitle=Legal%20Practitioners%20Regulations%202014" TargetMode="External"/><Relationship Id="rId233" Type="http://schemas.openxmlformats.org/officeDocument/2006/relationships/hyperlink" Target="http://www.legislation.sa.gov.au/index.aspx?action=legref&amp;type=subordleg&amp;legtitle=Primary%20Produce%20(Food%20Safety%20Schemes)%20(Egg)%20Regulations%202012" TargetMode="External"/><Relationship Id="rId254" Type="http://schemas.openxmlformats.org/officeDocument/2006/relationships/hyperlink" Target="http://www.legislation.sa.gov.au/index.aspx?action=legref&amp;type=subordleg&amp;legtitle=South%20Australian%20Ports%20(Disposal%20of%20Maritime%20Assets)%20Regulations%202012" TargetMode="External"/><Relationship Id="rId28" Type="http://schemas.openxmlformats.org/officeDocument/2006/relationships/hyperlink" Target="http://www.legislation.sa.gov.au/index.aspx?action=legref&amp;type=subordleg&amp;legtitle=Motor%20Vehicles%20(National%20Heavy%20Vehicles%20Registration%20Fees)%20Regulations%202008" TargetMode="External"/><Relationship Id="rId49" Type="http://schemas.openxmlformats.org/officeDocument/2006/relationships/hyperlink" Target="http://www.legislation.sa.gov.au/index.aspx?action=legref&amp;type=subordleg&amp;legtitle=Motor%20Vehicles%20(National%20Heavy%20Vehicles%20Registration%20Fees)%20Regulations%202008" TargetMode="External"/><Relationship Id="rId114" Type="http://schemas.openxmlformats.org/officeDocument/2006/relationships/hyperlink" Target="http://www.legislation.sa.gov.au/index.aspx?action=legref&amp;type=subordleg&amp;legtitle=Mental%20Health%20Regulations%202010" TargetMode="External"/><Relationship Id="rId275" Type="http://schemas.openxmlformats.org/officeDocument/2006/relationships/hyperlink" Target="https://www.health.gov.au/our-work/australias-disability-strategy" TargetMode="External"/><Relationship Id="rId296" Type="http://schemas.openxmlformats.org/officeDocument/2006/relationships/image" Target="media/image4.png"/><Relationship Id="rId300" Type="http://schemas.openxmlformats.org/officeDocument/2006/relationships/image" Target="media/image8.png"/><Relationship Id="rId60" Type="http://schemas.openxmlformats.org/officeDocument/2006/relationships/hyperlink" Target="http://www.legislation.sa.gov.au/index.aspx?action=legref&amp;type=act&amp;legtitle=Road%20Traffic%20Act%201961" TargetMode="External"/><Relationship Id="rId81" Type="http://schemas.openxmlformats.org/officeDocument/2006/relationships/hyperlink" Target="http://www.legislation.sa.gov.au/index.aspx?action=legref&amp;type=subordleg&amp;legtitle=Australian%20Road%20Rules" TargetMode="External"/><Relationship Id="rId135" Type="http://schemas.openxmlformats.org/officeDocument/2006/relationships/hyperlink" Target="http://www.legislation.sa.gov.au/index.aspx?action=legref&amp;type=act&amp;legtitle=Residential%20Tenancies%20Act%201995" TargetMode="External"/><Relationship Id="rId156" Type="http://schemas.openxmlformats.org/officeDocument/2006/relationships/hyperlink" Target="http://www.legislation.sa.gov.au/index.aspx?action=legref&amp;type=act&amp;legtitle=Residential%20Tenancies%20Act%201995" TargetMode="External"/><Relationship Id="rId177" Type="http://schemas.openxmlformats.org/officeDocument/2006/relationships/hyperlink" Target="http://www.legislation.sa.gov.au/index.aspx?action=legref&amp;type=subordleg&amp;legtitle=Community%20Housing%20Providers%20(National%20Law)%20(South%20Australia)%20Regulations%202014" TargetMode="External"/><Relationship Id="rId198" Type="http://schemas.openxmlformats.org/officeDocument/2006/relationships/hyperlink" Target="http://www.legislation.sa.gov.au/index.aspx?action=legref&amp;type=subordleg&amp;legtitle=Fair%20Trading%20(Pre-paid%20Funerals%20Industry%20Code)%20Regulations%202011" TargetMode="External"/><Relationship Id="rId321" Type="http://schemas.openxmlformats.org/officeDocument/2006/relationships/image" Target="media/image26.png"/><Relationship Id="rId202" Type="http://schemas.openxmlformats.org/officeDocument/2006/relationships/hyperlink" Target="http://www.legislation.sa.gov.au/index.aspx?action=legref&amp;type=subordleg&amp;legtitle=Fisheries%20Management%20(Miscellaneous%20Research%20Fishery)%20Regulations%202013" TargetMode="External"/><Relationship Id="rId223" Type="http://schemas.openxmlformats.org/officeDocument/2006/relationships/hyperlink" Target="http://www.legislation.sa.gov.au/index.aspx?action=legref&amp;type=subordleg&amp;legtitle=Motor%20Vehicle%20Accidents%20(Lifetime%20Support%20Scheme)%20Regulations%202014" TargetMode="External"/><Relationship Id="rId244" Type="http://schemas.openxmlformats.org/officeDocument/2006/relationships/hyperlink" Target="http://www.legislation.sa.gov.au/index.aspx?action=legref&amp;type=subordleg&amp;legtitle=Recreation%20Grounds%20Regulations%202011" TargetMode="External"/><Relationship Id="rId18" Type="http://schemas.openxmlformats.org/officeDocument/2006/relationships/hyperlink" Target="http://www.legislation.sa.gov.au/index.aspx?action=legref&amp;type=act&amp;legtitle=Disability%20Inclusion%20(Review%20Recommendations)%20Amendment%20Act%202024" TargetMode="External"/><Relationship Id="rId39" Type="http://schemas.openxmlformats.org/officeDocument/2006/relationships/hyperlink" Target="http://www.legislation.sa.gov.au/index.aspx?action=legref&amp;type=act&amp;legtitle=Road%20Traffic%20Act%201961" TargetMode="External"/><Relationship Id="rId265" Type="http://schemas.openxmlformats.org/officeDocument/2006/relationships/hyperlink" Target="http://www.legislation.sa.gov.au/index.aspx?action=legref&amp;type=subordleg&amp;legtitle=Urban%20Renewal%20Regulations%202014" TargetMode="External"/><Relationship Id="rId286" Type="http://schemas.openxmlformats.org/officeDocument/2006/relationships/hyperlink" Target="mailto:DIT.ULAapplications@sa.gov.au" TargetMode="External"/><Relationship Id="rId50" Type="http://schemas.openxmlformats.org/officeDocument/2006/relationships/hyperlink" Target="http://www.legislation.sa.gov.au/index.aspx?action=legref&amp;type=subordleg&amp;legtitle=Motor%20Vehicles%20(National%20Heavy%20Vehicles%20Registration%20Fees)%20Regulations%202008" TargetMode="External"/><Relationship Id="rId104" Type="http://schemas.openxmlformats.org/officeDocument/2006/relationships/hyperlink" Target="http://www.legislation.sa.gov.au/index.aspx?action=legref&amp;type=act&amp;legtitle=Motor%20Vehicles%20Act%201959" TargetMode="External"/><Relationship Id="rId125" Type="http://schemas.openxmlformats.org/officeDocument/2006/relationships/hyperlink" Target="http://www.legislation.sa.gov.au/index.aspx?action=legref&amp;type=act&amp;legtitle=Equal%20Opportunity%20Act%201984" TargetMode="External"/><Relationship Id="rId146" Type="http://schemas.openxmlformats.org/officeDocument/2006/relationships/hyperlink" Target="http://www.legislation.sa.gov.au/index.aspx?action=legref&amp;type=act&amp;legtitle=Residential%20Tenancies%20Act%201995" TargetMode="External"/><Relationship Id="rId167" Type="http://schemas.openxmlformats.org/officeDocument/2006/relationships/hyperlink" Target="http://www.legislation.sa.gov.au/index.aspx?action=legref&amp;type=subordleg&amp;legtitle=ASER%20(Restructure)%20Regulations%202013" TargetMode="External"/><Relationship Id="rId188" Type="http://schemas.openxmlformats.org/officeDocument/2006/relationships/hyperlink" Target="http://www.legislation.sa.gov.au/index.aspx?action=legref&amp;type=subordleg&amp;legtitle=Emergency%20Services%20Funding%20(Remissions%E2%80%94Land)%20Regulations%202014" TargetMode="External"/><Relationship Id="rId311" Type="http://schemas.openxmlformats.org/officeDocument/2006/relationships/image" Target="media/image19.png"/><Relationship Id="rId332" Type="http://schemas.openxmlformats.org/officeDocument/2006/relationships/hyperlink" Target="https://www.ecsa.sa.gov.au/" TargetMode="External"/><Relationship Id="rId71" Type="http://schemas.openxmlformats.org/officeDocument/2006/relationships/hyperlink" Target="http://www.legislation.sa.gov.au/index.aspx?action=legref&amp;type=subordleg&amp;legtitle=Motor%20Vehicles%20(National%20Heavy%20Vehicles%20Registration%20Fees)%20Regulations%202008" TargetMode="External"/><Relationship Id="rId92" Type="http://schemas.openxmlformats.org/officeDocument/2006/relationships/hyperlink" Target="http://www.legislation.sa.gov.au/index.aspx?action=legref&amp;type=subordleg&amp;legtitle=Road%20Traffic%20(Light%20Vehicle%20Mass%20and%20Loading%20Requirements)%20Regulations%202013" TargetMode="External"/><Relationship Id="rId213" Type="http://schemas.openxmlformats.org/officeDocument/2006/relationships/hyperlink" Target="http://www.legislation.sa.gov.au/index.aspx?action=legref&amp;type=subordleg&amp;legtitle=Libraries%20Regulations%202013" TargetMode="External"/><Relationship Id="rId234" Type="http://schemas.openxmlformats.org/officeDocument/2006/relationships/hyperlink" Target="http://www.legislation.sa.gov.au/index.aspx?action=legref&amp;type=subordleg&amp;legtitle=Private%20Parking%20Areas%20Regulations%202014"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Road%20Traffic%20Act%201961" TargetMode="External"/><Relationship Id="rId255" Type="http://schemas.openxmlformats.org/officeDocument/2006/relationships/hyperlink" Target="http://www.legislation.sa.gov.au/index.aspx?action=legref&amp;type=subordleg&amp;legtitle=South%20Australian%20Public%20Health%20(General)%20Regulations%202013" TargetMode="External"/><Relationship Id="rId276" Type="http://schemas.openxmlformats.org/officeDocument/2006/relationships/hyperlink" Target="https://inclusive.sa.gov.au/our-work/sa-autism-strategy/sa-autism-strategy-20242029" TargetMode="External"/><Relationship Id="rId297" Type="http://schemas.openxmlformats.org/officeDocument/2006/relationships/image" Target="media/image5.png"/><Relationship Id="rId40" Type="http://schemas.openxmlformats.org/officeDocument/2006/relationships/hyperlink" Target="http://www.legislation.sa.gov.au/index.aspx?action=legref&amp;type=act&amp;legtitle=Fisheries%20Management%20Act%202007" TargetMode="External"/><Relationship Id="rId115" Type="http://schemas.openxmlformats.org/officeDocument/2006/relationships/hyperlink" Target="http://www.legislation.sa.gov.au/index.aspx?action=legref&amp;type=act&amp;legtitle=Legislative%20Instruments%20Act%201978" TargetMode="External"/><Relationship Id="rId136" Type="http://schemas.openxmlformats.org/officeDocument/2006/relationships/hyperlink" Target="http://www.legislation.sa.gov.au/index.aspx?action=legref&amp;type=act&amp;legtitle=Residential%20Tenancies%20Act%201995" TargetMode="External"/><Relationship Id="rId157" Type="http://schemas.openxmlformats.org/officeDocument/2006/relationships/hyperlink" Target="http://www.legislation.sa.gov.au/index.aspx?action=legref&amp;type=act&amp;legtitle=Residential%20Tenancies%20Act%201995" TargetMode="External"/><Relationship Id="rId178" Type="http://schemas.openxmlformats.org/officeDocument/2006/relationships/hyperlink" Target="http://www.legislation.sa.gov.au/index.aspx?action=legref&amp;type=subordleg&amp;legtitle=Community%20Titles%20Regulations%202011" TargetMode="External"/><Relationship Id="rId301" Type="http://schemas.openxmlformats.org/officeDocument/2006/relationships/image" Target="media/image9.png"/><Relationship Id="rId322" Type="http://schemas.openxmlformats.org/officeDocument/2006/relationships/image" Target="media/image27.png"/><Relationship Id="rId61" Type="http://schemas.openxmlformats.org/officeDocument/2006/relationships/hyperlink" Target="http://www.legislation.sa.gov.au/index.aspx?action=legref&amp;type=act&amp;legtitle=Harbors%20and%20Navigation%20Act%201993" TargetMode="External"/><Relationship Id="rId82" Type="http://schemas.openxmlformats.org/officeDocument/2006/relationships/hyperlink" Target="http://www.legislation.sa.gov.au/index.aspx?action=legref&amp;type=subordleg&amp;legtitle=Australian%20Road%20Rules" TargetMode="External"/><Relationship Id="rId199" Type="http://schemas.openxmlformats.org/officeDocument/2006/relationships/hyperlink" Target="http://www.legislation.sa.gov.au/index.aspx?action=legref&amp;type=subordleg&amp;legtitle=Fisheries%20Management%20(Blue%20Crab%20Fishery)%20Regulations%202013" TargetMode="External"/><Relationship Id="rId203" Type="http://schemas.openxmlformats.org/officeDocument/2006/relationships/hyperlink" Target="http://www.legislation.sa.gov.au/index.aspx?action=legref&amp;type=subordleg&amp;legtitle=Forest%20Property%20Regulations%202014" TargetMode="External"/><Relationship Id="rId19" Type="http://schemas.openxmlformats.org/officeDocument/2006/relationships/hyperlink" Target="http://www.legislation.sa.gov.au/index.aspx?action=legref&amp;type=act&amp;legtitle=Public%20Sector%20(Honesty%20and%20Accountability)%20Act%201995" TargetMode="External"/><Relationship Id="rId224" Type="http://schemas.openxmlformats.org/officeDocument/2006/relationships/hyperlink" Target="http://www.legislation.sa.gov.au/index.aspx?action=legref&amp;type=subordleg&amp;legtitle=Motor%20Vehicles%20(Third%20Party%20Insurance)%20Regulations%202013" TargetMode="External"/><Relationship Id="rId245" Type="http://schemas.openxmlformats.org/officeDocument/2006/relationships/hyperlink" Target="http://www.legislation.sa.gov.au/index.aspx?action=legref&amp;type=subordleg&amp;legtitle=Road%20Traffic%20(Light%20Vehicle%20Mass%20and%20Loading%20Requirements)%20Regulations%202013" TargetMode="External"/><Relationship Id="rId266" Type="http://schemas.openxmlformats.org/officeDocument/2006/relationships/hyperlink" Target="http://www.legislation.sa.gov.au/index.aspx?action=legref&amp;type=subordleg&amp;legtitle=Water%20Industry%20Regulations%202012" TargetMode="External"/><Relationship Id="rId287" Type="http://schemas.openxmlformats.org/officeDocument/2006/relationships/hyperlink" Target="mailto:DIT.ULAapplications@sa.gov.au" TargetMode="External"/><Relationship Id="rId30" Type="http://schemas.openxmlformats.org/officeDocument/2006/relationships/hyperlink" Target="http://www.legislation.sa.gov.au/index.aspx?action=legref&amp;type=act&amp;legtitle=Road%20Traffic%20Act%201961" TargetMode="External"/><Relationship Id="rId105" Type="http://schemas.openxmlformats.org/officeDocument/2006/relationships/hyperlink" Target="http://www.legislation.sa.gov.au/index.aspx?action=legref&amp;type=act&amp;legtitle=Motor%20Vehicles%20Act%201959" TargetMode="External"/><Relationship Id="rId126" Type="http://schemas.openxmlformats.org/officeDocument/2006/relationships/hyperlink" Target="http://www.legislation.sa.gov.au/index.aspx?action=legref&amp;type=act&amp;legtitle=Intervention%20Orders%20(Prevention%20of%20Abuse)%20Act%202009" TargetMode="External"/><Relationship Id="rId147" Type="http://schemas.openxmlformats.org/officeDocument/2006/relationships/hyperlink" Target="http://www.legislation.sa.gov.au/index.aspx?action=legref&amp;type=act&amp;legtitle=Residential%20Tenancies%20Act%201995" TargetMode="External"/><Relationship Id="rId168" Type="http://schemas.openxmlformats.org/officeDocument/2006/relationships/hyperlink" Target="http://www.legislation.sa.gov.au/index.aspx?action=legref&amp;type=subordleg&amp;legtitle=Births%20Deaths%20and%20Marriages%20Registration%20Regulations%202011" TargetMode="External"/><Relationship Id="rId312" Type="http://schemas.openxmlformats.org/officeDocument/2006/relationships/image" Target="media/image20.png"/><Relationship Id="rId333" Type="http://schemas.openxmlformats.org/officeDocument/2006/relationships/hyperlink" Target="https://www.ecsa.sa.gov.au/" TargetMode="External"/><Relationship Id="rId51" Type="http://schemas.openxmlformats.org/officeDocument/2006/relationships/hyperlink" Target="http://www.legislation.sa.gov.au/index.aspx?action=legref&amp;type=subordleg&amp;legtitle=Australian%20Road%20Rules" TargetMode="External"/><Relationship Id="rId72" Type="http://schemas.openxmlformats.org/officeDocument/2006/relationships/hyperlink" Target="http://www.legislation.sa.gov.au/index.aspx?action=legref&amp;type=subordleg&amp;legtitle=Motor%20Vehicles%20(National%20Heavy%20Vehicles%20Registration%20Fees)%20Regulations%202008" TargetMode="External"/><Relationship Id="rId93" Type="http://schemas.openxmlformats.org/officeDocument/2006/relationships/hyperlink" Target="http://www.legislation.sa.gov.au/index.aspx?action=legref&amp;type=subordleg&amp;legtitle=Road%20Traffic%20(Light%20Vehicle%20Mass%20and%20Loading%20Requirements)%20Regulations%202013" TargetMode="External"/><Relationship Id="rId189" Type="http://schemas.openxmlformats.org/officeDocument/2006/relationships/hyperlink" Target="http://www.legislation.sa.gov.au/index.aspx?action=legref&amp;type=subordleg&amp;legtitle=Emergency%20Services%20Funding%20(Remissions%E2%80%94Motor%20Vehicles%20and%20Vessels)%20Regulations%202014" TargetMode="External"/><Relationship Id="rId3" Type="http://schemas.openxmlformats.org/officeDocument/2006/relationships/styles" Target="styles.xml"/><Relationship Id="rId214" Type="http://schemas.openxmlformats.org/officeDocument/2006/relationships/hyperlink" Target="http://www.legislation.sa.gov.au/index.aspx?action=legref&amp;type=subordleg&amp;legtitle=Liquor%20Licensing%20(General)%20Regulations%202012" TargetMode="External"/><Relationship Id="rId235" Type="http://schemas.openxmlformats.org/officeDocument/2006/relationships/hyperlink" Target="http://www.legislation.sa.gov.au/index.aspx?action=legref&amp;type=subordleg&amp;legtitle=Protection%20of%20Marine%20Waters%20(Prevention%20of%20Pollution%20from%20Ships)%20Regulations%202013" TargetMode="External"/><Relationship Id="rId256" Type="http://schemas.openxmlformats.org/officeDocument/2006/relationships/hyperlink" Target="http://www.legislation.sa.gov.au/index.aspx?action=legref&amp;type=subordleg&amp;legtitle=South%20Australian%20Public%20Health%20(Legionella)%20Regulations%202013" TargetMode="External"/><Relationship Id="rId277" Type="http://schemas.openxmlformats.org/officeDocument/2006/relationships/hyperlink" Target="https://inclusive.sa.gov.au/" TargetMode="External"/><Relationship Id="rId298" Type="http://schemas.openxmlformats.org/officeDocument/2006/relationships/image" Target="media/image6.png"/><Relationship Id="rId116" Type="http://schemas.openxmlformats.org/officeDocument/2006/relationships/hyperlink" Target="http://www.legislation.sa.gov.au/index.aspx?action=legref&amp;type=act&amp;legtitle=Retirement%20Villages%20(Miscellaneous)%20Amendment%20Act%202024" TargetMode="External"/><Relationship Id="rId137" Type="http://schemas.openxmlformats.org/officeDocument/2006/relationships/hyperlink" Target="http://www.legislation.sa.gov.au/index.aspx?action=legref&amp;type=act&amp;legtitle=Residential%20Tenancies%20Act%201995" TargetMode="External"/><Relationship Id="rId158" Type="http://schemas.openxmlformats.org/officeDocument/2006/relationships/hyperlink" Target="http://www.legislation.sa.gov.au/index.aspx?action=legref&amp;type=act&amp;legtitle=Residential%20Tenancies%20Act%201995" TargetMode="External"/><Relationship Id="rId302" Type="http://schemas.openxmlformats.org/officeDocument/2006/relationships/image" Target="media/image10.png"/><Relationship Id="rId323" Type="http://schemas.openxmlformats.org/officeDocument/2006/relationships/image" Target="media/image28.png"/><Relationship Id="rId20" Type="http://schemas.openxmlformats.org/officeDocument/2006/relationships/hyperlink" Target="http://www.legislation.sa.gov.au/index.aspx?action=legref&amp;type=act&amp;legtitle=Return%20to%20Work%20Act%202014" TargetMode="External"/><Relationship Id="rId41" Type="http://schemas.openxmlformats.org/officeDocument/2006/relationships/hyperlink" Target="http://www.legislation.sa.gov.au/index.aspx?action=legref&amp;type=act&amp;legtitle=Road%20Traffic%20Act%201961" TargetMode="External"/><Relationship Id="rId62" Type="http://schemas.openxmlformats.org/officeDocument/2006/relationships/hyperlink" Target="http://www.legislation.sa.gov.au/index.aspx?action=legref&amp;type=act&amp;legtitle=Passenger%20Transport%20Act%201994" TargetMode="External"/><Relationship Id="rId83" Type="http://schemas.openxmlformats.org/officeDocument/2006/relationships/hyperlink" Target="http://www.legislation.sa.gov.au/index.aspx?action=legref&amp;type=subordleg&amp;legtitle=Australian%20Road%20Rules" TargetMode="External"/><Relationship Id="rId179" Type="http://schemas.openxmlformats.org/officeDocument/2006/relationships/hyperlink" Target="http://www.legislation.sa.gov.au/index.aspx?action=legref&amp;type=subordleg&amp;legtitle=Consent%20to%20Medical%20Treatment%20and%20Palliative%20Care%20Regulations%202014" TargetMode="External"/><Relationship Id="rId190" Type="http://schemas.openxmlformats.org/officeDocument/2006/relationships/hyperlink" Target="http://www.legislation.sa.gov.au/index.aspx?action=legref&amp;type=subordleg&amp;legtitle=Energy%20Products%20(Safety%20and%20Efficiency)%20Regulations%202012" TargetMode="External"/><Relationship Id="rId204" Type="http://schemas.openxmlformats.org/officeDocument/2006/relationships/hyperlink" Target="http://www.legislation.sa.gov.au/index.aspx?action=legref&amp;type=subordleg&amp;legtitle=Forestry%20Regulations%202013" TargetMode="External"/><Relationship Id="rId225" Type="http://schemas.openxmlformats.org/officeDocument/2006/relationships/hyperlink" Target="http://www.legislation.sa.gov.au/index.aspx?action=legref&amp;type=subordleg&amp;legtitle=National%20Parks%20and%20Wildlife%20(Hunting)%20Regulations%202011" TargetMode="External"/><Relationship Id="rId246" Type="http://schemas.openxmlformats.org/officeDocument/2006/relationships/hyperlink" Target="http://www.legislation.sa.gov.au/index.aspx?action=legref&amp;type=subordleg&amp;legtitle=Road%20Traffic%20(Miscellaneous)%20Regulations%202014" TargetMode="External"/><Relationship Id="rId267" Type="http://schemas.openxmlformats.org/officeDocument/2006/relationships/hyperlink" Target="http://www.legislation.sa.gov.au/index.aspx?action=legref&amp;type=subordleg&amp;legtitle=Witness%20Protection%20Regulations%202012" TargetMode="External"/><Relationship Id="rId288" Type="http://schemas.openxmlformats.org/officeDocument/2006/relationships/hyperlink" Target="https://www.energymining.sa.gov.au/industry/minerals-and-mining/mining/community-engagement-opportunities" TargetMode="External"/><Relationship Id="rId106" Type="http://schemas.openxmlformats.org/officeDocument/2006/relationships/hyperlink" Target="http://www.legislation.sa.gov.au/index.aspx?action=legref&amp;type=act&amp;legtitle=Motor%20Vehicles%20Act%201959" TargetMode="External"/><Relationship Id="rId127" Type="http://schemas.openxmlformats.org/officeDocument/2006/relationships/hyperlink" Target="http://www.legislation.sa.gov.au/index.aspx?action=legref&amp;type=act&amp;legtitle=Intervention%20Orders%20(Prevention%20of%20Abuse)%20Act%202009" TargetMode="External"/><Relationship Id="rId313" Type="http://schemas.openxmlformats.org/officeDocument/2006/relationships/hyperlink" Target="https://www.cityofpae.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Road%20Traffic%20Act%201961" TargetMode="External"/><Relationship Id="rId52" Type="http://schemas.openxmlformats.org/officeDocument/2006/relationships/hyperlink" Target="http://www.legislation.sa.gov.au/index.aspx?action=legref&amp;type=act&amp;legtitle=Road%20Traffic%20Act%201961" TargetMode="External"/><Relationship Id="rId73" Type="http://schemas.openxmlformats.org/officeDocument/2006/relationships/hyperlink" Target="http://www.legislation.sa.gov.au/index.aspx?action=legref&amp;type=subordleg&amp;legtitle=Motor%20Vehicles%20(National%20Heavy%20Vehicles%20Registration%20Fees)%20Regulations%202008" TargetMode="External"/><Relationship Id="rId94" Type="http://schemas.openxmlformats.org/officeDocument/2006/relationships/hyperlink" Target="http://www.legislation.sa.gov.au/index.aspx?action=legref&amp;type=act&amp;legtitle=Road%20Traffic%20Act%201961" TargetMode="External"/><Relationship Id="rId148" Type="http://schemas.openxmlformats.org/officeDocument/2006/relationships/hyperlink" Target="http://www.legislation.sa.gov.au/index.aspx?action=legref&amp;type=act&amp;legtitle=Residential%20Tenancies%20Act%201995" TargetMode="External"/><Relationship Id="rId169" Type="http://schemas.openxmlformats.org/officeDocument/2006/relationships/hyperlink" Target="http://www.legislation.sa.gov.au/index.aspx?action=legref&amp;type=subordleg&amp;legtitle=Building%20and%20Construction%20Industry%20Security%20of%20Payment%20Regulations%202011" TargetMode="External"/><Relationship Id="rId334" Type="http://schemas.openxmlformats.org/officeDocument/2006/relationships/hyperlink" Target="mailto:governmentgazettesa@sa.gov.au" TargetMode="External"/><Relationship Id="rId4" Type="http://schemas.openxmlformats.org/officeDocument/2006/relationships/settings" Target="settings.xml"/><Relationship Id="rId180" Type="http://schemas.openxmlformats.org/officeDocument/2006/relationships/hyperlink" Target="http://www.legislation.sa.gov.au/index.aspx?action=legref&amp;type=subordleg&amp;legtitle=Controlled%20Substances%20(Controlled%20Drugs%20Precursors%20and%20Plants)%20Regulations%202014" TargetMode="External"/><Relationship Id="rId215" Type="http://schemas.openxmlformats.org/officeDocument/2006/relationships/hyperlink" Target="http://www.legislation.sa.gov.au/index.aspx?action=legref&amp;type=subordleg&amp;legtitle=Livestock%20Regulations%202013" TargetMode="External"/><Relationship Id="rId236" Type="http://schemas.openxmlformats.org/officeDocument/2006/relationships/hyperlink" Target="http://www.legislation.sa.gov.au/index.aspx?action=legref&amp;type=subordleg&amp;legtitle=Public%20Corporations%20(Adelaide%20Festival%20Centre%20Trust)%20Regulations%202013" TargetMode="External"/><Relationship Id="rId257" Type="http://schemas.openxmlformats.org/officeDocument/2006/relationships/hyperlink" Target="http://www.legislation.sa.gov.au/index.aspx?action=legref&amp;type=subordleg&amp;legtitle=South%20Australian%20Public%20Health%20(Wastewater)%20Regulations%202013" TargetMode="External"/><Relationship Id="rId278" Type="http://schemas.openxmlformats.org/officeDocument/2006/relationships/hyperlink" Target="https://inclusive.sa.gov.au/" TargetMode="External"/><Relationship Id="rId303" Type="http://schemas.openxmlformats.org/officeDocument/2006/relationships/image" Target="media/image11.png"/><Relationship Id="rId42" Type="http://schemas.openxmlformats.org/officeDocument/2006/relationships/hyperlink" Target="http://www.legislation.sa.gov.au/index.aspx?action=legref&amp;type=subordleg&amp;legtitle=Road%20Traffic%20(Miscellaneous)%20Regulations%202014" TargetMode="External"/><Relationship Id="rId84" Type="http://schemas.openxmlformats.org/officeDocument/2006/relationships/hyperlink" Target="http://www.legislation.sa.gov.au/index.aspx?action=legref&amp;type=subordleg&amp;legtitle=Australian%20Road%20Rules" TargetMode="External"/><Relationship Id="rId138" Type="http://schemas.openxmlformats.org/officeDocument/2006/relationships/hyperlink" Target="http://www.legislation.sa.gov.au/index.aspx?action=legref&amp;type=act&amp;legtitle=Residential%20Tenancies%20Act%201995" TargetMode="External"/><Relationship Id="rId191" Type="http://schemas.openxmlformats.org/officeDocument/2006/relationships/hyperlink" Target="http://www.legislation.sa.gov.au/index.aspx?action=legref&amp;type=subordleg&amp;legtitle=Energy%20Resources%20Regulations%202013" TargetMode="External"/><Relationship Id="rId205" Type="http://schemas.openxmlformats.org/officeDocument/2006/relationships/hyperlink" Target="http://www.legislation.sa.gov.au/index.aspx?action=legref&amp;type=subordleg&amp;legtitle=Gas%20Regulations%202012" TargetMode="External"/><Relationship Id="rId247"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107" Type="http://schemas.openxmlformats.org/officeDocument/2006/relationships/hyperlink" Target="http://www.legislation.sa.gov.au/index.aspx?action=legref&amp;type=act&amp;legtitle=Motor%20Vehicles%20Act%201959" TargetMode="External"/><Relationship Id="rId289" Type="http://schemas.openxmlformats.org/officeDocument/2006/relationships/hyperlink" Target="mailto:dem.miningregrehab@sa.gov.au" TargetMode="External"/><Relationship Id="rId11" Type="http://schemas.openxmlformats.org/officeDocument/2006/relationships/footer" Target="footer1.xml"/><Relationship Id="rId53" Type="http://schemas.openxmlformats.org/officeDocument/2006/relationships/hyperlink" Target="http://www.legislation.sa.gov.au/index.aspx?action=legref&amp;type=act&amp;legtitle=Fines%20Enforcement%20and%20Debt%20Recovery%20Act%202017" TargetMode="External"/><Relationship Id="rId149" Type="http://schemas.openxmlformats.org/officeDocument/2006/relationships/hyperlink" Target="http://www.legislation.sa.gov.au/index.aspx?action=legref&amp;type=act&amp;legtitle=Residential%20Tenancies%20Act%201995" TargetMode="External"/><Relationship Id="rId314" Type="http://schemas.openxmlformats.org/officeDocument/2006/relationships/hyperlink" Target="https://www.ecsa.sa.gov.au" TargetMode="External"/><Relationship Id="rId95" Type="http://schemas.openxmlformats.org/officeDocument/2006/relationships/hyperlink" Target="http://www.legislation.sa.gov.au/index.aspx?action=legref&amp;type=subordleg&amp;legtitle=Australian%20Road%20Rules" TargetMode="External"/><Relationship Id="rId160" Type="http://schemas.openxmlformats.org/officeDocument/2006/relationships/hyperlink" Target="http://www.legislation.sa.gov.au/index.aspx?action=legref&amp;type=act&amp;legtitle=Residential%20Tenancies%20Regulations%202010" TargetMode="External"/><Relationship Id="rId216" Type="http://schemas.openxmlformats.org/officeDocument/2006/relationships/hyperlink" Target="http://www.legislation.sa.gov.au/index.aspx?action=legref&amp;type=subordleg&amp;legtitle=Local%20Government%20(Financial%20Management)%20Regulations%202011" TargetMode="External"/><Relationship Id="rId258" Type="http://schemas.openxmlformats.org/officeDocument/2006/relationships/hyperlink" Target="http://www.legislation.sa.gov.au/index.aspx?action=legref&amp;type=subordleg&amp;legtitle=Spent%20Convictions%20Regulations%202011" TargetMode="External"/><Relationship Id="rId22" Type="http://schemas.openxmlformats.org/officeDocument/2006/relationships/hyperlink" Target="http://www.legislation.sa.gov.au/index.aspx?action=legref&amp;type=act&amp;legtitle=Return%20to%20Work%20Act%202014" TargetMode="External"/><Relationship Id="rId64" Type="http://schemas.openxmlformats.org/officeDocument/2006/relationships/hyperlink" Target="http://www.legislation.sa.gov.au/index.aspx?action=legref&amp;type=act&amp;legtitle=Road%20Traffic%20Act%201961" TargetMode="External"/><Relationship Id="rId118" Type="http://schemas.openxmlformats.org/officeDocument/2006/relationships/hyperlink" Target="http://www.legislation.sa.gov.au/index.aspx?action=legref&amp;type=act&amp;legtitle=Residential%20Tenancies%20Act%201995" TargetMode="External"/><Relationship Id="rId325" Type="http://schemas.openxmlformats.org/officeDocument/2006/relationships/image" Target="media/image30.png"/><Relationship Id="rId171" Type="http://schemas.openxmlformats.org/officeDocument/2006/relationships/hyperlink" Target="http://www.legislation.sa.gov.au/index.aspx?action=legref&amp;type=subordleg&amp;legtitle=Burial%20and%20Cremation%20Regulations%202014" TargetMode="External"/><Relationship Id="rId227" Type="http://schemas.openxmlformats.org/officeDocument/2006/relationships/hyperlink" Target="http://www.legislation.sa.gov.au/index.aspx?action=legref&amp;type=subordleg&amp;legtitle=National%20Parks%20and%20Wildlife%20(Parking)%20Regulations%202012" TargetMode="External"/><Relationship Id="rId269" Type="http://schemas.openxmlformats.org/officeDocument/2006/relationships/hyperlink" Target="http://www.legislation.sa.gov.au/index.aspx?action=legref&amp;type=subordleg&amp;legtitle=Workers%20Liens%20Regulations%202014" TargetMode="External"/><Relationship Id="rId33" Type="http://schemas.openxmlformats.org/officeDocument/2006/relationships/hyperlink" Target="http://www.legislation.sa.gov.au/index.aspx?action=legref&amp;type=act&amp;legtitle=Road%20Traffic%20Act%201961" TargetMode="External"/><Relationship Id="rId129" Type="http://schemas.openxmlformats.org/officeDocument/2006/relationships/hyperlink" Target="http://www.legislation.sa.gov.au/index.aspx?action=legref&amp;type=act&amp;legtitle=Mental%20Health%20Act%202009" TargetMode="External"/><Relationship Id="rId280" Type="http://schemas.openxmlformats.org/officeDocument/2006/relationships/hyperlink" Target="https://inclusive.sa.gov.au/" TargetMode="External"/><Relationship Id="rId336" Type="http://schemas.openxmlformats.org/officeDocument/2006/relationships/hyperlink" Target="http://www.governmentgazette.sa.gov.au" TargetMode="External"/><Relationship Id="rId75" Type="http://schemas.openxmlformats.org/officeDocument/2006/relationships/hyperlink" Target="http://www.legislation.sa.gov.au/index.aspx?action=legref&amp;type=act&amp;legtitle=Road%20Traffic%20Act%201961" TargetMode="External"/><Relationship Id="rId140" Type="http://schemas.openxmlformats.org/officeDocument/2006/relationships/hyperlink" Target="http://www.legislation.sa.gov.au/index.aspx?action=legref&amp;type=act&amp;legtitle=Residential%20Tenancies%20Act%201995" TargetMode="External"/><Relationship Id="rId182" Type="http://schemas.openxmlformats.org/officeDocument/2006/relationships/hyperlink" Target="http://www.legislation.sa.gov.au/index.aspx?action=legref&amp;type=subordleg&amp;legtitle=Criminal%20Investigation%20(Covert%20Operations)%20Regulations%202014" TargetMode="External"/><Relationship Id="rId6" Type="http://schemas.openxmlformats.org/officeDocument/2006/relationships/footnotes" Target="footnotes.xml"/><Relationship Id="rId238" Type="http://schemas.openxmlformats.org/officeDocument/2006/relationships/hyperlink" Target="http://www.legislation.sa.gov.au/index.aspx?action=legref&amp;type=subordleg&amp;legtitle=Public%20Corporations%20(Lifetime%20Support%20Authority)%20Regulations%202013" TargetMode="External"/><Relationship Id="rId291" Type="http://schemas.openxmlformats.org/officeDocument/2006/relationships/hyperlink" Target="mailto:dem.miningregrehab@sa.gov.au" TargetMode="External"/><Relationship Id="rId305" Type="http://schemas.openxmlformats.org/officeDocument/2006/relationships/image" Target="media/image13.png"/><Relationship Id="rId44" Type="http://schemas.openxmlformats.org/officeDocument/2006/relationships/hyperlink" Target="http://www.legislation.sa.gov.au/index.aspx?action=legref&amp;type=act&amp;legtitle=Stamp%20Duties%20Act%201923" TargetMode="External"/><Relationship Id="rId86" Type="http://schemas.openxmlformats.org/officeDocument/2006/relationships/hyperlink" Target="http://www.legislation.sa.gov.au/index.aspx?action=legref&amp;type=act&amp;legtitle=Motor%20Vehicles%20Act%201959" TargetMode="External"/><Relationship Id="rId151" Type="http://schemas.openxmlformats.org/officeDocument/2006/relationships/hyperlink" Target="http://www.legislation.sa.gov.au/index.aspx?action=legref&amp;type=act&amp;legtitle=Residential%20Tenancies%20Act%201995" TargetMode="External"/><Relationship Id="rId193" Type="http://schemas.openxmlformats.org/officeDocument/2006/relationships/hyperlink" Target="http://www.legislation.sa.gov.au/index.aspx?action=legref&amp;type=subordleg&amp;legtitle=Explosives%20Regulations%202011" TargetMode="External"/><Relationship Id="rId207" Type="http://schemas.openxmlformats.org/officeDocument/2006/relationships/hyperlink" Target="http://www.legislation.sa.gov.au/index.aspx?action=legref&amp;type=subordleg&amp;legtitle=Heavy%20Vehicle%20National%20Law%20(South%20Australia)%20(Savings%20Transitional%20and%20Declaratory)%20Regulations%202013" TargetMode="External"/><Relationship Id="rId249" Type="http://schemas.openxmlformats.org/officeDocument/2006/relationships/hyperlink" Target="http://www.legislation.sa.gov.au/index.aspx?action=legref&amp;type=subordleg&amp;legtitle=Safe%20Drinking%20Water%20Regulations%202012" TargetMode="External"/><Relationship Id="rId13" Type="http://schemas.openxmlformats.org/officeDocument/2006/relationships/header" Target="header3.xml"/><Relationship Id="rId109" Type="http://schemas.openxmlformats.org/officeDocument/2006/relationships/hyperlink" Target="http://www.legislation.sa.gov.au/index.aspx?action=legref&amp;type=subordleg&amp;legtitle=Motor%20Vehicles%20Regulations%202010" TargetMode="External"/><Relationship Id="rId260" Type="http://schemas.openxmlformats.org/officeDocument/2006/relationships/hyperlink" Target="http://www.legislation.sa.gov.au/index.aspx?action=legref&amp;type=subordleg&amp;legtitle=State%20Records%20Regulations%202013" TargetMode="External"/><Relationship Id="rId316" Type="http://schemas.openxmlformats.org/officeDocument/2006/relationships/image" Target="media/image21.png"/><Relationship Id="rId55" Type="http://schemas.openxmlformats.org/officeDocument/2006/relationships/hyperlink" Target="http://www.legislation.sa.gov.au/index.aspx?action=legref&amp;type=act&amp;legtitle=Motor%20Vehicles%20Act%201959" TargetMode="External"/><Relationship Id="rId97" Type="http://schemas.openxmlformats.org/officeDocument/2006/relationships/hyperlink" Target="http://www.legislation.sa.gov.au/index.aspx?action=legref&amp;type=subordleg&amp;legtitle=Australian%20Road%20Rules" TargetMode="External"/><Relationship Id="rId120" Type="http://schemas.openxmlformats.org/officeDocument/2006/relationships/hyperlink" Target="http://www.legislation.sa.gov.au/index.aspx?action=legref&amp;type=act&amp;legtitle=Land%20Agents%20Act%201994" TargetMode="External"/><Relationship Id="rId162" Type="http://schemas.openxmlformats.org/officeDocument/2006/relationships/hyperlink" Target="http://www.legislation.sa.gov.au/index.aspx?action=legref&amp;type=act&amp;legtitle=Legislative%20Instruments%20Act%201978" TargetMode="External"/><Relationship Id="rId218" Type="http://schemas.openxmlformats.org/officeDocument/2006/relationships/hyperlink" Target="http://www.legislation.sa.gov.au/index.aspx?action=legref&amp;type=subordleg&amp;legtitle=Local%20Government%20(Procedures%20at%20Meetings)%20Regulations%202013" TargetMode="External"/><Relationship Id="rId271" Type="http://schemas.openxmlformats.org/officeDocument/2006/relationships/hyperlink" Target="http://www.legislation.sa.gov.au/index.aspx?action=legref&amp;type=subordleg&amp;legtitle=Family%20Relationships%20Regulations%202010" TargetMode="External"/><Relationship Id="rId24" Type="http://schemas.openxmlformats.org/officeDocument/2006/relationships/hyperlink" Target="http://www.legislation.sa.gov.au/index.aspx?action=legref&amp;type=act&amp;legtitle=Legislative%20Instruments%20Act%201978" TargetMode="External"/><Relationship Id="rId66" Type="http://schemas.openxmlformats.org/officeDocument/2006/relationships/hyperlink" Target="http://www.legislation.sa.gov.au/index.aspx?action=legref&amp;type=subordleg&amp;legtitle=Road%20Traffic%20(Miscellaneous)%20Regulations%202014" TargetMode="External"/><Relationship Id="rId131" Type="http://schemas.openxmlformats.org/officeDocument/2006/relationships/hyperlink" Target="http://www.legislation.sa.gov.au/index.aspx?action=legref&amp;type=act&amp;legtitle=Health%20Care%20Act%202008" TargetMode="External"/><Relationship Id="rId327"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australias-disability-strategy/outcomes/employment-and-financial-security/unemployment-gap" TargetMode="External"/><Relationship Id="rId13" Type="http://schemas.openxmlformats.org/officeDocument/2006/relationships/hyperlink" Target="https://humanrights.gov.au/our-work/disability-rights/creating-accessible-and-inclusive-workplace" TargetMode="External"/><Relationship Id="rId3" Type="http://schemas.openxmlformats.org/officeDocument/2006/relationships/hyperlink" Target="https://www.aihw.gov.au/reports/disability/people-with-disability-in-australia/contents/summary" TargetMode="External"/><Relationship Id="rId7" Type="http://schemas.openxmlformats.org/officeDocument/2006/relationships/hyperlink" Target="https://www.aihw.gov.au/australias-disability-strategy/outcomes/education-and-learning/year-12-completion" TargetMode="External"/><Relationship Id="rId12" Type="http://schemas.openxmlformats.org/officeDocument/2006/relationships/hyperlink" Target="https://www.abs.gov.au/statistics/health/disability/disability-ageing-and-carers-australia-summary-findings/latest-release" TargetMode="External"/><Relationship Id="rId2" Type="http://schemas.openxmlformats.org/officeDocument/2006/relationships/hyperlink" Target="https://www.indigenoushpf.gov.au/measures/1-14-disability" TargetMode="External"/><Relationship Id="rId1" Type="http://schemas.openxmlformats.org/officeDocument/2006/relationships/hyperlink" Target="https://www.abs.gov.au/statistics/health/disability/disability-ageing-and-carers-australia-summary-findings/2022" TargetMode="External"/><Relationship Id="rId6" Type="http://schemas.openxmlformats.org/officeDocument/2006/relationships/hyperlink" Target="https://www.abs.gov.au/statistics/health/disability/disability-ageing-and-carers-australia-summary-findings/latest-release" TargetMode="External"/><Relationship Id="rId11" Type="http://schemas.openxmlformats.org/officeDocument/2006/relationships/hyperlink" Target="https://www.dementia.org.au/about-dementia/dementia-facts-and-figures" TargetMode="External"/><Relationship Id="rId5" Type="http://schemas.openxmlformats.org/officeDocument/2006/relationships/hyperlink" Target="https://www.abs.gov.au/articles/children-and-young-people-disability-2022" TargetMode="External"/><Relationship Id="rId10" Type="http://schemas.openxmlformats.org/officeDocument/2006/relationships/hyperlink" Target="https://www.aihw.gov.au/australias-disability-strategy/outcomes/health-and-wellbeing/self-reported-health" TargetMode="External"/><Relationship Id="rId4" Type="http://schemas.openxmlformats.org/officeDocument/2006/relationships/hyperlink" Target="https://www.abs.gov.au/articles/children-and-young-people-disability-2022" TargetMode="External"/><Relationship Id="rId9" Type="http://schemas.openxmlformats.org/officeDocument/2006/relationships/hyperlink" Target="https://disability.royalcommission.gov.au/publications/final-report-volume-3-nature-and-extent-violence-abuse-neglect-and-exploit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173</TotalTime>
  <Pages>256</Pages>
  <Words>96752</Words>
  <Characters>551493</Characters>
  <Application>Microsoft Office Word</Application>
  <DocSecurity>0</DocSecurity>
  <Lines>4595</Lines>
  <Paragraphs>1293</Paragraphs>
  <ScaleCrop>false</ScaleCrop>
  <HeadingPairs>
    <vt:vector size="2" baseType="variant">
      <vt:variant>
        <vt:lpstr>Title</vt:lpstr>
      </vt:variant>
      <vt:variant>
        <vt:i4>1</vt:i4>
      </vt:variant>
    </vt:vector>
  </HeadingPairs>
  <TitlesOfParts>
    <vt:vector size="1" baseType="lpstr">
      <vt:lpstr>No. 47 - Thursday, 14 August 2025 (pp. 3217–3472)</vt:lpstr>
    </vt:vector>
  </TitlesOfParts>
  <Company>SA Government</Company>
  <LinksUpToDate>false</LinksUpToDate>
  <CharactersWithSpaces>646952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47 - Thursday, 14 August 2025 (pp. 3217–3472)</dc:title>
  <dc:subject/>
  <dc:creator>Jamie Eaton</dc:creator>
  <cp:keywords/>
  <cp:lastModifiedBy>Wheaton, Alicia (Service SA)</cp:lastModifiedBy>
  <cp:revision>20</cp:revision>
  <cp:lastPrinted>2025-08-14T01:40:00Z</cp:lastPrinted>
  <dcterms:created xsi:type="dcterms:W3CDTF">2025-08-13T07:23:00Z</dcterms:created>
  <dcterms:modified xsi:type="dcterms:W3CDTF">2025-08-14T04:01:00Z</dcterms:modified>
</cp:coreProperties>
</file>